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charts/chart8.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1E0" w:firstRow="1" w:lastRow="1" w:firstColumn="1" w:lastColumn="1" w:noHBand="0" w:noVBand="0"/>
      </w:tblPr>
      <w:tblGrid>
        <w:gridCol w:w="9428"/>
      </w:tblGrid>
      <w:tr w:rsidR="009021C4" w:rsidRPr="00C77E77" w:rsidTr="009021C4">
        <w:trPr>
          <w:trHeight w:val="13942"/>
        </w:trPr>
        <w:tc>
          <w:tcPr>
            <w:tcW w:w="9428" w:type="dxa"/>
            <w:shd w:val="clear" w:color="auto" w:fill="auto"/>
          </w:tcPr>
          <w:p w:rsidR="009021C4" w:rsidRPr="00C77E77" w:rsidRDefault="009021C4" w:rsidP="00C97C5C">
            <w:pPr>
              <w:rPr>
                <w:rFonts w:ascii="Times New Roman" w:hAnsi="Times New Roman" w:cs="Times New Roman"/>
                <w:sz w:val="32"/>
                <w:szCs w:val="32"/>
              </w:rPr>
            </w:pPr>
            <w:r w:rsidRPr="00C77E77">
              <w:rPr>
                <w:rFonts w:ascii="Times New Roman" w:eastAsia="標楷體" w:hAnsi="Times New Roman" w:cs="Times New Roman"/>
                <w:sz w:val="32"/>
                <w:szCs w:val="32"/>
              </w:rPr>
              <w:t>編號：</w:t>
            </w:r>
            <w:r w:rsidRPr="00C77E77">
              <w:rPr>
                <w:rFonts w:ascii="Times New Roman" w:eastAsia="標楷體" w:hAnsi="Times New Roman" w:cs="Times New Roman"/>
                <w:sz w:val="32"/>
                <w:szCs w:val="32"/>
              </w:rPr>
              <w:t>(105)042.0207</w:t>
            </w:r>
          </w:p>
          <w:p w:rsidR="009021C4" w:rsidRPr="00C77E77" w:rsidRDefault="009021C4" w:rsidP="00C97C5C">
            <w:pPr>
              <w:rPr>
                <w:rFonts w:ascii="Times New Roman" w:eastAsia="標楷體" w:hAnsi="Times New Roman" w:cs="Times New Roman"/>
              </w:rPr>
            </w:pPr>
          </w:p>
          <w:p w:rsidR="009021C4" w:rsidRPr="00C77E77" w:rsidRDefault="009021C4" w:rsidP="00C97C5C">
            <w:pPr>
              <w:rPr>
                <w:rFonts w:ascii="Times New Roman" w:hAnsi="Times New Roman" w:cs="Times New Roman"/>
              </w:rPr>
            </w:pPr>
          </w:p>
          <w:p w:rsidR="009021C4" w:rsidRPr="00C77E77" w:rsidRDefault="009021C4" w:rsidP="00C97C5C">
            <w:pPr>
              <w:rPr>
                <w:rFonts w:ascii="Times New Roman" w:hAnsi="Times New Roman" w:cs="Times New Roman"/>
              </w:rPr>
            </w:pPr>
          </w:p>
          <w:p w:rsidR="009021C4" w:rsidRPr="00C77E77" w:rsidRDefault="009021C4" w:rsidP="00C97C5C">
            <w:pPr>
              <w:rPr>
                <w:rFonts w:ascii="Times New Roman" w:hAnsi="Times New Roman" w:cs="Times New Roman"/>
              </w:rPr>
            </w:pPr>
          </w:p>
          <w:p w:rsidR="009021C4" w:rsidRPr="00C77E77" w:rsidRDefault="009021C4" w:rsidP="00C97C5C">
            <w:pPr>
              <w:rPr>
                <w:rFonts w:ascii="Times New Roman" w:hAnsi="Times New Roman" w:cs="Times New Roman"/>
              </w:rPr>
            </w:pPr>
          </w:p>
          <w:p w:rsidR="009021C4" w:rsidRPr="00C77E77" w:rsidRDefault="009021C4" w:rsidP="00C97C5C">
            <w:pPr>
              <w:rPr>
                <w:rFonts w:ascii="Times New Roman" w:hAnsi="Times New Roman" w:cs="Times New Roman"/>
              </w:rPr>
            </w:pPr>
          </w:p>
          <w:p w:rsidR="009021C4" w:rsidRPr="00C77E77" w:rsidRDefault="009021C4" w:rsidP="00C97C5C">
            <w:pPr>
              <w:jc w:val="center"/>
              <w:rPr>
                <w:rFonts w:ascii="Times New Roman" w:eastAsia="標楷體" w:hAnsi="Times New Roman" w:cs="Times New Roman"/>
                <w:b/>
                <w:spacing w:val="-16"/>
                <w:sz w:val="44"/>
                <w:szCs w:val="44"/>
              </w:rPr>
            </w:pPr>
            <w:r w:rsidRPr="00C77E77">
              <w:rPr>
                <w:rFonts w:ascii="Times New Roman" w:eastAsia="標楷體" w:hAnsi="Times New Roman" w:cs="Times New Roman"/>
                <w:color w:val="000000" w:themeColor="text1"/>
                <w:sz w:val="44"/>
                <w:szCs w:val="44"/>
                <w:shd w:val="clear" w:color="auto" w:fill="FFFFFF"/>
              </w:rPr>
              <w:t>東南亞及南亞經貿情勢暨策略規劃研究</w:t>
            </w:r>
          </w:p>
          <w:p w:rsidR="009021C4" w:rsidRPr="00C77E77" w:rsidRDefault="009021C4" w:rsidP="00C97C5C">
            <w:pPr>
              <w:jc w:val="center"/>
              <w:rPr>
                <w:rFonts w:ascii="Times New Roman" w:eastAsia="標楷體" w:hAnsi="Times New Roman" w:cs="Times New Roman"/>
                <w:b/>
                <w:sz w:val="72"/>
                <w:szCs w:val="72"/>
              </w:rPr>
            </w:pPr>
          </w:p>
          <w:p w:rsidR="009021C4" w:rsidRPr="00C77E77" w:rsidRDefault="009021C4" w:rsidP="00C97C5C">
            <w:pPr>
              <w:jc w:val="center"/>
              <w:rPr>
                <w:rFonts w:ascii="Times New Roman" w:eastAsia="標楷體" w:hAnsi="Times New Roman" w:cs="Times New Roman"/>
                <w:b/>
                <w:sz w:val="72"/>
                <w:szCs w:val="72"/>
              </w:rPr>
            </w:pPr>
          </w:p>
          <w:p w:rsidR="009021C4" w:rsidRPr="00C77E77" w:rsidRDefault="009021C4" w:rsidP="00C97C5C">
            <w:pPr>
              <w:rPr>
                <w:rFonts w:ascii="Times New Roman" w:eastAsia="標楷體" w:hAnsi="Times New Roman" w:cs="Times New Roman"/>
                <w:b/>
                <w:sz w:val="72"/>
                <w:szCs w:val="72"/>
              </w:rPr>
            </w:pPr>
          </w:p>
          <w:p w:rsidR="009021C4" w:rsidRPr="00C77E77" w:rsidRDefault="009021C4" w:rsidP="00C97C5C">
            <w:pPr>
              <w:jc w:val="center"/>
              <w:rPr>
                <w:rFonts w:ascii="Times New Roman" w:eastAsia="標楷體" w:hAnsi="Times New Roman" w:cs="Times New Roman"/>
                <w:b/>
                <w:sz w:val="32"/>
                <w:szCs w:val="32"/>
              </w:rPr>
            </w:pPr>
            <w:r w:rsidRPr="00C77E77">
              <w:rPr>
                <w:rFonts w:ascii="Times New Roman" w:eastAsia="標楷體" w:hAnsi="Times New Roman" w:cs="Times New Roman"/>
                <w:b/>
                <w:sz w:val="32"/>
                <w:szCs w:val="32"/>
              </w:rPr>
              <w:t>本書係研究者個人之觀點，不代表本會意見</w:t>
            </w:r>
          </w:p>
          <w:p w:rsidR="009021C4" w:rsidRPr="00C77E77" w:rsidRDefault="009021C4" w:rsidP="00C97C5C">
            <w:pPr>
              <w:spacing w:line="360" w:lineRule="exact"/>
              <w:jc w:val="both"/>
              <w:rPr>
                <w:rFonts w:ascii="Times New Roman" w:eastAsia="標楷體" w:hAnsi="Times New Roman" w:cs="Times New Roman"/>
                <w:b/>
                <w:sz w:val="72"/>
                <w:szCs w:val="72"/>
              </w:rPr>
            </w:pPr>
          </w:p>
          <w:p w:rsidR="009021C4" w:rsidRPr="00C77E77" w:rsidRDefault="009021C4" w:rsidP="00C97C5C">
            <w:pPr>
              <w:spacing w:line="360" w:lineRule="exact"/>
              <w:jc w:val="both"/>
              <w:rPr>
                <w:rFonts w:ascii="Times New Roman" w:eastAsia="標楷體" w:hAnsi="Times New Roman" w:cs="Times New Roman"/>
                <w:b/>
                <w:sz w:val="72"/>
                <w:szCs w:val="72"/>
              </w:rPr>
            </w:pPr>
          </w:p>
          <w:p w:rsidR="009021C4" w:rsidRPr="00C77E77" w:rsidRDefault="009021C4" w:rsidP="00C97C5C">
            <w:pPr>
              <w:spacing w:line="360" w:lineRule="exact"/>
              <w:jc w:val="both"/>
              <w:rPr>
                <w:rFonts w:ascii="Times New Roman" w:eastAsia="標楷體" w:hAnsi="Times New Roman" w:cs="Times New Roman"/>
                <w:b/>
                <w:sz w:val="72"/>
                <w:szCs w:val="72"/>
              </w:rPr>
            </w:pPr>
          </w:p>
          <w:p w:rsidR="009021C4" w:rsidRPr="00C77E77" w:rsidRDefault="009021C4" w:rsidP="00C97C5C">
            <w:pPr>
              <w:spacing w:line="360" w:lineRule="exact"/>
              <w:jc w:val="both"/>
              <w:rPr>
                <w:rFonts w:ascii="Times New Roman" w:eastAsia="標楷體" w:hAnsi="Times New Roman" w:cs="Times New Roman"/>
                <w:b/>
                <w:sz w:val="72"/>
                <w:szCs w:val="72"/>
              </w:rPr>
            </w:pPr>
          </w:p>
          <w:p w:rsidR="009021C4" w:rsidRPr="00C77E77" w:rsidRDefault="009021C4" w:rsidP="00C97C5C">
            <w:pPr>
              <w:spacing w:line="360" w:lineRule="exact"/>
              <w:jc w:val="both"/>
              <w:rPr>
                <w:rFonts w:ascii="Times New Roman" w:eastAsia="標楷體" w:hAnsi="Times New Roman" w:cs="Times New Roman"/>
                <w:b/>
                <w:sz w:val="72"/>
                <w:szCs w:val="72"/>
              </w:rPr>
            </w:pPr>
          </w:p>
          <w:p w:rsidR="009021C4" w:rsidRPr="00C77E77" w:rsidRDefault="009021C4" w:rsidP="00C97C5C">
            <w:pPr>
              <w:spacing w:line="360" w:lineRule="exact"/>
              <w:jc w:val="both"/>
              <w:rPr>
                <w:rFonts w:ascii="Times New Roman" w:eastAsia="標楷體" w:hAnsi="Times New Roman" w:cs="Times New Roman"/>
                <w:b/>
                <w:sz w:val="72"/>
                <w:szCs w:val="72"/>
              </w:rPr>
            </w:pPr>
          </w:p>
          <w:p w:rsidR="009021C4" w:rsidRPr="00C77E77" w:rsidRDefault="009021C4" w:rsidP="00C97C5C">
            <w:pPr>
              <w:widowControl/>
              <w:jc w:val="center"/>
              <w:rPr>
                <w:rFonts w:ascii="Times New Roman" w:eastAsia="標楷體" w:hAnsi="Times New Roman" w:cs="Times New Roman"/>
                <w:b/>
                <w:sz w:val="48"/>
                <w:szCs w:val="48"/>
              </w:rPr>
            </w:pPr>
            <w:r w:rsidRPr="00C77E77">
              <w:rPr>
                <w:rFonts w:ascii="Times New Roman" w:eastAsia="標楷體" w:hAnsi="Times New Roman" w:cs="Times New Roman"/>
                <w:b/>
                <w:sz w:val="48"/>
                <w:szCs w:val="48"/>
              </w:rPr>
              <w:t>國家發展委員會</w:t>
            </w:r>
            <w:r w:rsidRPr="00C77E77">
              <w:rPr>
                <w:rFonts w:ascii="Times New Roman" w:eastAsia="標楷體" w:hAnsi="Times New Roman" w:cs="Times New Roman"/>
                <w:b/>
                <w:sz w:val="48"/>
                <w:szCs w:val="48"/>
              </w:rPr>
              <w:t xml:space="preserve"> </w:t>
            </w:r>
          </w:p>
          <w:p w:rsidR="009021C4" w:rsidRPr="00C77E77" w:rsidRDefault="009021C4" w:rsidP="00C97C5C">
            <w:pPr>
              <w:widowControl/>
              <w:jc w:val="center"/>
              <w:rPr>
                <w:rFonts w:ascii="Times New Roman" w:eastAsia="標楷體" w:hAnsi="Times New Roman" w:cs="Times New Roman"/>
                <w:b/>
                <w:sz w:val="52"/>
                <w:szCs w:val="52"/>
              </w:rPr>
            </w:pPr>
            <w:r w:rsidRPr="00C77E77">
              <w:rPr>
                <w:rFonts w:ascii="Times New Roman" w:eastAsia="標楷體" w:hAnsi="Times New Roman" w:cs="Times New Roman"/>
                <w:b/>
                <w:sz w:val="48"/>
                <w:szCs w:val="48"/>
              </w:rPr>
              <w:t>中華民國</w:t>
            </w:r>
            <w:r w:rsidRPr="00C77E77">
              <w:rPr>
                <w:rFonts w:ascii="Times New Roman" w:eastAsia="標楷體" w:hAnsi="Times New Roman" w:cs="Times New Roman"/>
                <w:b/>
                <w:sz w:val="48"/>
                <w:szCs w:val="48"/>
              </w:rPr>
              <w:t>105</w:t>
            </w:r>
            <w:r w:rsidRPr="00C77E77">
              <w:rPr>
                <w:rFonts w:ascii="Times New Roman" w:eastAsia="標楷體" w:hAnsi="Times New Roman" w:cs="Times New Roman"/>
                <w:b/>
                <w:sz w:val="48"/>
                <w:szCs w:val="48"/>
              </w:rPr>
              <w:t>年</w:t>
            </w:r>
            <w:r w:rsidRPr="00C77E77">
              <w:rPr>
                <w:rFonts w:ascii="Times New Roman" w:eastAsia="標楷體" w:hAnsi="Times New Roman" w:cs="Times New Roman"/>
                <w:b/>
                <w:sz w:val="48"/>
                <w:szCs w:val="48"/>
              </w:rPr>
              <w:t>12</w:t>
            </w:r>
            <w:r w:rsidRPr="00C77E77">
              <w:rPr>
                <w:rFonts w:ascii="Times New Roman" w:eastAsia="標楷體" w:hAnsi="Times New Roman" w:cs="Times New Roman"/>
                <w:b/>
                <w:sz w:val="48"/>
                <w:szCs w:val="48"/>
              </w:rPr>
              <w:t>月</w:t>
            </w:r>
          </w:p>
        </w:tc>
      </w:tr>
    </w:tbl>
    <w:sdt>
      <w:sdtPr>
        <w:rPr>
          <w:rFonts w:ascii="Times New Roman" w:eastAsia="標楷體" w:hAnsi="Times New Roman" w:cs="Times New Roman"/>
          <w:sz w:val="52"/>
          <w:szCs w:val="52"/>
        </w:rPr>
        <w:id w:val="1566988752"/>
        <w:docPartObj>
          <w:docPartGallery w:val="Cover Pages"/>
          <w:docPartUnique/>
        </w:docPartObj>
      </w:sdtPr>
      <w:sdtEndPr>
        <w:rPr>
          <w:b/>
          <w:bCs/>
          <w:sz w:val="24"/>
          <w:szCs w:val="24"/>
        </w:rPr>
      </w:sdtEndPr>
      <w:sdtContent>
        <w:p w:rsidR="005948C6" w:rsidRPr="00C77E77" w:rsidRDefault="005948C6" w:rsidP="009902E3">
          <w:pPr>
            <w:spacing w:line="360" w:lineRule="auto"/>
            <w:ind w:rightChars="-24" w:right="-58"/>
            <w:rPr>
              <w:rFonts w:ascii="Times New Roman" w:eastAsia="標楷體" w:hAnsi="Times New Roman" w:cs="Times New Roman"/>
              <w:sz w:val="52"/>
              <w:szCs w:val="52"/>
            </w:rPr>
          </w:pPr>
        </w:p>
        <w:p w:rsidR="005948C6" w:rsidRPr="00C77E77" w:rsidRDefault="005948C6">
          <w:pPr>
            <w:widowControl/>
            <w:rPr>
              <w:rFonts w:ascii="Times New Roman" w:eastAsia="標楷體" w:hAnsi="Times New Roman" w:cs="Times New Roman"/>
              <w:sz w:val="52"/>
              <w:szCs w:val="52"/>
            </w:rPr>
          </w:pPr>
          <w:r w:rsidRPr="00C77E77">
            <w:rPr>
              <w:rFonts w:ascii="Times New Roman" w:eastAsia="標楷體" w:hAnsi="Times New Roman" w:cs="Times New Roman"/>
              <w:sz w:val="52"/>
              <w:szCs w:val="52"/>
            </w:rPr>
            <w:br w:type="page"/>
          </w:r>
        </w:p>
        <w:p w:rsidR="005948C6" w:rsidRPr="00C77E77" w:rsidRDefault="005948C6" w:rsidP="009021C4">
          <w:pPr>
            <w:spacing w:line="520" w:lineRule="exact"/>
            <w:rPr>
              <w:rFonts w:ascii="Times New Roman" w:eastAsia="標楷體" w:hAnsi="Times New Roman" w:cs="Times New Roman"/>
              <w:sz w:val="32"/>
              <w:szCs w:val="32"/>
            </w:rPr>
          </w:pPr>
        </w:p>
        <w:p w:rsidR="009021C4" w:rsidRPr="00C77E77" w:rsidRDefault="009021C4" w:rsidP="009021C4">
          <w:pPr>
            <w:spacing w:line="520" w:lineRule="exact"/>
            <w:rPr>
              <w:rFonts w:ascii="Times New Roman" w:hAnsi="Times New Roman" w:cs="Times New Roman"/>
              <w:sz w:val="32"/>
              <w:szCs w:val="32"/>
            </w:rPr>
          </w:pPr>
          <w:r w:rsidRPr="00C77E77">
            <w:rPr>
              <w:rFonts w:ascii="Times New Roman" w:eastAsia="標楷體" w:hAnsi="Times New Roman" w:cs="Times New Roman"/>
              <w:sz w:val="32"/>
              <w:szCs w:val="32"/>
            </w:rPr>
            <w:t>編號：</w:t>
          </w:r>
          <w:r w:rsidRPr="00C77E77">
            <w:rPr>
              <w:rFonts w:ascii="Times New Roman" w:eastAsia="標楷體" w:hAnsi="Times New Roman" w:cs="Times New Roman"/>
              <w:sz w:val="32"/>
              <w:szCs w:val="32"/>
            </w:rPr>
            <w:t>(105)042.0207</w:t>
          </w:r>
        </w:p>
        <w:p w:rsidR="009021C4" w:rsidRPr="00C77E77" w:rsidRDefault="009021C4" w:rsidP="009021C4">
          <w:pPr>
            <w:spacing w:line="520" w:lineRule="exact"/>
            <w:rPr>
              <w:rFonts w:ascii="Times New Roman" w:eastAsia="標楷體" w:hAnsi="Times New Roman" w:cs="Times New Roman"/>
              <w:sz w:val="28"/>
              <w:szCs w:val="28"/>
            </w:rPr>
          </w:pPr>
        </w:p>
        <w:p w:rsidR="009021C4" w:rsidRPr="00C77E77" w:rsidRDefault="009021C4" w:rsidP="009021C4">
          <w:pPr>
            <w:rPr>
              <w:rFonts w:ascii="Times New Roman" w:hAnsi="Times New Roman" w:cs="Times New Roman"/>
            </w:rPr>
          </w:pPr>
        </w:p>
        <w:p w:rsidR="009021C4" w:rsidRPr="00C77E77" w:rsidRDefault="009021C4" w:rsidP="009021C4">
          <w:pPr>
            <w:rPr>
              <w:rFonts w:ascii="Times New Roman" w:hAnsi="Times New Roman" w:cs="Times New Roman"/>
            </w:rPr>
          </w:pPr>
        </w:p>
        <w:p w:rsidR="009021C4" w:rsidRPr="00C77E77" w:rsidRDefault="009021C4" w:rsidP="009021C4">
          <w:pPr>
            <w:rPr>
              <w:rFonts w:ascii="Times New Roman" w:hAnsi="Times New Roman" w:cs="Times New Roman"/>
            </w:rPr>
          </w:pPr>
        </w:p>
        <w:p w:rsidR="009021C4" w:rsidRPr="00C77E77" w:rsidRDefault="009021C4" w:rsidP="009021C4">
          <w:pPr>
            <w:jc w:val="center"/>
            <w:rPr>
              <w:rFonts w:ascii="Times New Roman" w:eastAsia="標楷體" w:hAnsi="Times New Roman" w:cs="Times New Roman"/>
              <w:b/>
              <w:sz w:val="44"/>
              <w:szCs w:val="44"/>
            </w:rPr>
          </w:pPr>
          <w:r w:rsidRPr="00C77E77">
            <w:rPr>
              <w:rFonts w:ascii="Times New Roman" w:eastAsia="標楷體" w:hAnsi="Times New Roman" w:cs="Times New Roman"/>
              <w:b/>
              <w:color w:val="212121"/>
              <w:sz w:val="44"/>
              <w:szCs w:val="44"/>
              <w:shd w:val="clear" w:color="auto" w:fill="FFFFFF"/>
            </w:rPr>
            <w:t>東南亞及南亞經貿情勢暨策略規劃研究</w:t>
          </w:r>
        </w:p>
        <w:p w:rsidR="009021C4" w:rsidRPr="00C77E77" w:rsidRDefault="009021C4" w:rsidP="009021C4">
          <w:pPr>
            <w:jc w:val="center"/>
            <w:rPr>
              <w:rFonts w:ascii="Times New Roman" w:eastAsia="標楷體" w:hAnsi="Times New Roman" w:cs="Times New Roman"/>
              <w:b/>
              <w:sz w:val="48"/>
              <w:szCs w:val="48"/>
            </w:rPr>
          </w:pPr>
        </w:p>
        <w:p w:rsidR="009021C4" w:rsidRPr="00C77E77" w:rsidRDefault="009021C4" w:rsidP="009021C4">
          <w:pPr>
            <w:rPr>
              <w:rFonts w:ascii="Times New Roman" w:hAnsi="Times New Roman" w:cs="Times New Roman"/>
            </w:rPr>
          </w:pPr>
        </w:p>
        <w:p w:rsidR="009021C4" w:rsidRPr="00C77E77" w:rsidRDefault="009021C4" w:rsidP="009021C4">
          <w:pPr>
            <w:ind w:left="1560"/>
            <w:rPr>
              <w:rFonts w:ascii="Times New Roman" w:eastAsia="標楷體" w:hAnsi="Times New Roman" w:cs="Times New Roman"/>
              <w:color w:val="000000"/>
              <w:kern w:val="0"/>
              <w:sz w:val="32"/>
              <w:szCs w:val="32"/>
            </w:rPr>
          </w:pPr>
          <w:r w:rsidRPr="00C77E77">
            <w:rPr>
              <w:rFonts w:ascii="Times New Roman" w:eastAsia="標楷體" w:hAnsi="Times New Roman" w:cs="Times New Roman"/>
              <w:color w:val="000000"/>
              <w:kern w:val="0"/>
              <w:sz w:val="32"/>
              <w:szCs w:val="32"/>
            </w:rPr>
            <w:t>委託單位：國家發展委員會</w:t>
          </w:r>
        </w:p>
        <w:p w:rsidR="009021C4" w:rsidRPr="00C77E77" w:rsidRDefault="009021C4" w:rsidP="009021C4">
          <w:pPr>
            <w:ind w:leftChars="649" w:left="1558"/>
            <w:rPr>
              <w:rFonts w:ascii="Times New Roman" w:eastAsia="標楷體" w:hAnsi="Times New Roman" w:cs="Times New Roman"/>
              <w:color w:val="000000"/>
              <w:kern w:val="0"/>
              <w:sz w:val="32"/>
              <w:szCs w:val="32"/>
            </w:rPr>
          </w:pPr>
          <w:r w:rsidRPr="00C77E77">
            <w:rPr>
              <w:rFonts w:ascii="Times New Roman" w:eastAsia="標楷體" w:hAnsi="Times New Roman" w:cs="Times New Roman"/>
              <w:color w:val="000000"/>
              <w:kern w:val="0"/>
              <w:sz w:val="32"/>
              <w:szCs w:val="32"/>
            </w:rPr>
            <w:t>研究單位：財團法人臺灣經濟研究院新興市場研究中心</w:t>
          </w:r>
        </w:p>
        <w:p w:rsidR="00D87039" w:rsidRPr="00C77E77" w:rsidRDefault="00D87039" w:rsidP="00D87039">
          <w:pPr>
            <w:spacing w:line="560" w:lineRule="exact"/>
            <w:ind w:leftChars="650" w:left="1560"/>
            <w:rPr>
              <w:rFonts w:ascii="Times New Roman" w:eastAsia="標楷體" w:hAnsi="Times New Roman" w:cs="Times New Roman"/>
              <w:sz w:val="32"/>
              <w:szCs w:val="32"/>
            </w:rPr>
          </w:pPr>
          <w:r w:rsidRPr="00C77E77">
            <w:rPr>
              <w:rFonts w:ascii="Times New Roman" w:eastAsia="標楷體" w:hAnsi="Times New Roman" w:cs="Times New Roman"/>
              <w:spacing w:val="20"/>
              <w:kern w:val="0"/>
              <w:sz w:val="32"/>
              <w:szCs w:val="32"/>
              <w:fitText w:val="1760" w:id="1286889731"/>
            </w:rPr>
            <w:t>研究主持</w:t>
          </w:r>
          <w:r w:rsidRPr="00C77E77">
            <w:rPr>
              <w:rFonts w:ascii="Times New Roman" w:eastAsia="標楷體" w:hAnsi="Times New Roman" w:cs="Times New Roman"/>
              <w:kern w:val="0"/>
              <w:sz w:val="32"/>
              <w:szCs w:val="32"/>
              <w:fitText w:val="1760" w:id="1286889731"/>
            </w:rPr>
            <w:t>人</w:t>
          </w:r>
          <w:r w:rsidRPr="00C77E77">
            <w:rPr>
              <w:rFonts w:ascii="Times New Roman" w:eastAsia="標楷體" w:hAnsi="Times New Roman" w:cs="Times New Roman"/>
              <w:sz w:val="32"/>
              <w:szCs w:val="32"/>
            </w:rPr>
            <w:t>：譚瑾瑜</w:t>
          </w:r>
          <w:r w:rsidRPr="00C77E77">
            <w:rPr>
              <w:rFonts w:ascii="Times New Roman" w:eastAsia="標楷體" w:hAnsi="Times New Roman" w:cs="Times New Roman"/>
              <w:sz w:val="32"/>
              <w:szCs w:val="32"/>
            </w:rPr>
            <w:t xml:space="preserve"> </w:t>
          </w:r>
          <w:r w:rsidRPr="00C77E77">
            <w:rPr>
              <w:rFonts w:ascii="Times New Roman" w:eastAsia="標楷體" w:hAnsi="Times New Roman" w:cs="Times New Roman"/>
              <w:sz w:val="32"/>
              <w:szCs w:val="32"/>
            </w:rPr>
            <w:t>博士</w:t>
          </w:r>
        </w:p>
        <w:p w:rsidR="00D87039" w:rsidRPr="00C77E77" w:rsidRDefault="00D87039" w:rsidP="00D87039">
          <w:pPr>
            <w:spacing w:line="560" w:lineRule="exact"/>
            <w:ind w:leftChars="650" w:left="1560"/>
            <w:rPr>
              <w:rFonts w:ascii="Times New Roman" w:eastAsia="標楷體" w:hAnsi="Times New Roman" w:cs="Times New Roman"/>
              <w:sz w:val="32"/>
              <w:szCs w:val="32"/>
            </w:rPr>
          </w:pPr>
          <w:r w:rsidRPr="00C77E77">
            <w:rPr>
              <w:rFonts w:ascii="Times New Roman" w:eastAsia="標楷體" w:hAnsi="Times New Roman" w:cs="Times New Roman"/>
              <w:spacing w:val="20"/>
              <w:kern w:val="0"/>
              <w:sz w:val="32"/>
              <w:szCs w:val="32"/>
              <w:fitText w:val="1760" w:id="1286889732"/>
            </w:rPr>
            <w:t>協同主持</w:t>
          </w:r>
          <w:r w:rsidRPr="00C77E77">
            <w:rPr>
              <w:rFonts w:ascii="Times New Roman" w:eastAsia="標楷體" w:hAnsi="Times New Roman" w:cs="Times New Roman"/>
              <w:kern w:val="0"/>
              <w:sz w:val="32"/>
              <w:szCs w:val="32"/>
              <w:fitText w:val="1760" w:id="1286889732"/>
            </w:rPr>
            <w:t>人</w:t>
          </w:r>
          <w:r w:rsidRPr="00C77E77">
            <w:rPr>
              <w:rFonts w:ascii="Times New Roman" w:eastAsia="標楷體" w:hAnsi="Times New Roman" w:cs="Times New Roman"/>
              <w:sz w:val="32"/>
              <w:szCs w:val="32"/>
            </w:rPr>
            <w:t>：陳華昇</w:t>
          </w:r>
          <w:r w:rsidRPr="00C77E77">
            <w:rPr>
              <w:rFonts w:ascii="Times New Roman" w:eastAsia="標楷體" w:hAnsi="Times New Roman" w:cs="Times New Roman"/>
              <w:sz w:val="32"/>
              <w:szCs w:val="32"/>
            </w:rPr>
            <w:t xml:space="preserve"> </w:t>
          </w:r>
          <w:r w:rsidRPr="00C77E77">
            <w:rPr>
              <w:rFonts w:ascii="Times New Roman" w:eastAsia="標楷體" w:hAnsi="Times New Roman" w:cs="Times New Roman"/>
              <w:sz w:val="32"/>
              <w:szCs w:val="32"/>
            </w:rPr>
            <w:t>博士</w:t>
          </w:r>
        </w:p>
        <w:p w:rsidR="00D87039" w:rsidRPr="00C77E77" w:rsidRDefault="00D87039" w:rsidP="00D87039">
          <w:pPr>
            <w:spacing w:line="560" w:lineRule="exact"/>
            <w:ind w:leftChars="650" w:left="1560" w:firstLineChars="650" w:firstLine="2080"/>
            <w:rPr>
              <w:rFonts w:ascii="Times New Roman" w:eastAsia="標楷體" w:hAnsi="Times New Roman" w:cs="Times New Roman"/>
              <w:sz w:val="32"/>
              <w:szCs w:val="32"/>
            </w:rPr>
          </w:pPr>
          <w:r w:rsidRPr="00C77E77">
            <w:rPr>
              <w:rFonts w:ascii="Times New Roman" w:eastAsia="標楷體" w:hAnsi="Times New Roman" w:cs="Times New Roman"/>
              <w:sz w:val="32"/>
              <w:szCs w:val="32"/>
            </w:rPr>
            <w:t>方天賜</w:t>
          </w:r>
          <w:r w:rsidRPr="00C77E77">
            <w:rPr>
              <w:rFonts w:ascii="Times New Roman" w:eastAsia="標楷體" w:hAnsi="Times New Roman" w:cs="Times New Roman"/>
              <w:sz w:val="32"/>
              <w:szCs w:val="32"/>
            </w:rPr>
            <w:t xml:space="preserve"> </w:t>
          </w:r>
          <w:r w:rsidRPr="00C77E77">
            <w:rPr>
              <w:rFonts w:ascii="Times New Roman" w:eastAsia="標楷體" w:hAnsi="Times New Roman" w:cs="Times New Roman"/>
              <w:sz w:val="32"/>
              <w:szCs w:val="32"/>
            </w:rPr>
            <w:t>博士</w:t>
          </w:r>
        </w:p>
        <w:p w:rsidR="00D87039" w:rsidRPr="00C77E77" w:rsidRDefault="00D87039" w:rsidP="00D87039">
          <w:pPr>
            <w:spacing w:line="560" w:lineRule="exact"/>
            <w:ind w:leftChars="650" w:left="1560"/>
            <w:rPr>
              <w:rFonts w:ascii="Times New Roman" w:eastAsia="標楷體" w:hAnsi="Times New Roman" w:cs="Times New Roman"/>
              <w:sz w:val="32"/>
              <w:szCs w:val="32"/>
            </w:rPr>
          </w:pPr>
          <w:r w:rsidRPr="00C77E77">
            <w:rPr>
              <w:rFonts w:ascii="Times New Roman" w:eastAsia="標楷體" w:hAnsi="Times New Roman" w:cs="Times New Roman"/>
              <w:spacing w:val="200"/>
              <w:kern w:val="0"/>
              <w:sz w:val="32"/>
              <w:szCs w:val="32"/>
              <w:fitText w:val="1760" w:id="1286889733"/>
            </w:rPr>
            <w:t>研究</w:t>
          </w:r>
          <w:r w:rsidRPr="00C77E77">
            <w:rPr>
              <w:rFonts w:ascii="Times New Roman" w:eastAsia="標楷體" w:hAnsi="Times New Roman" w:cs="Times New Roman"/>
              <w:kern w:val="0"/>
              <w:sz w:val="32"/>
              <w:szCs w:val="32"/>
              <w:fitText w:val="1760" w:id="1286889733"/>
            </w:rPr>
            <w:t>員</w:t>
          </w:r>
          <w:r w:rsidRPr="00C77E77">
            <w:rPr>
              <w:rFonts w:ascii="Times New Roman" w:eastAsia="標楷體" w:hAnsi="Times New Roman" w:cs="Times New Roman"/>
              <w:sz w:val="32"/>
              <w:szCs w:val="32"/>
            </w:rPr>
            <w:t>：林祈昱</w:t>
          </w:r>
        </w:p>
        <w:p w:rsidR="00D87039" w:rsidRPr="00C77E77" w:rsidRDefault="00D87039" w:rsidP="00D87039">
          <w:pPr>
            <w:widowControl/>
            <w:shd w:val="clear" w:color="auto" w:fill="FFFFFF"/>
            <w:ind w:leftChars="650" w:left="1560" w:firstLineChars="664" w:firstLine="2125"/>
            <w:rPr>
              <w:rFonts w:ascii="Times New Roman" w:eastAsia="標楷體" w:hAnsi="Times New Roman" w:cs="Times New Roman"/>
              <w:sz w:val="32"/>
              <w:szCs w:val="32"/>
            </w:rPr>
          </w:pPr>
          <w:r w:rsidRPr="00C77E77">
            <w:rPr>
              <w:rFonts w:ascii="Times New Roman" w:eastAsia="標楷體" w:hAnsi="Times New Roman" w:cs="Times New Roman"/>
              <w:sz w:val="32"/>
              <w:szCs w:val="32"/>
            </w:rPr>
            <w:t>唐豪駿</w:t>
          </w:r>
        </w:p>
        <w:p w:rsidR="009021C4" w:rsidRPr="00C77E77" w:rsidRDefault="009021C4" w:rsidP="00D87039">
          <w:pPr>
            <w:widowControl/>
            <w:shd w:val="clear" w:color="auto" w:fill="FFFFFF"/>
            <w:ind w:leftChars="649" w:left="1558"/>
            <w:rPr>
              <w:rFonts w:ascii="Times New Roman" w:eastAsia="標楷體" w:hAnsi="Times New Roman" w:cs="Times New Roman"/>
              <w:color w:val="000000"/>
              <w:spacing w:val="-10"/>
              <w:kern w:val="0"/>
              <w:sz w:val="32"/>
              <w:szCs w:val="32"/>
            </w:rPr>
          </w:pPr>
          <w:r w:rsidRPr="00C77E77">
            <w:rPr>
              <w:rFonts w:ascii="Times New Roman" w:eastAsia="標楷體" w:hAnsi="Times New Roman" w:cs="Times New Roman"/>
              <w:color w:val="000000"/>
              <w:spacing w:val="-10"/>
              <w:kern w:val="0"/>
              <w:sz w:val="32"/>
              <w:szCs w:val="32"/>
            </w:rPr>
            <w:t>研究期程：中華民國</w:t>
          </w:r>
          <w:r w:rsidRPr="00C77E77">
            <w:rPr>
              <w:rFonts w:ascii="Times New Roman" w:eastAsia="標楷體" w:hAnsi="Times New Roman" w:cs="Times New Roman"/>
              <w:color w:val="000000"/>
              <w:spacing w:val="-10"/>
              <w:kern w:val="0"/>
              <w:sz w:val="32"/>
              <w:szCs w:val="32"/>
            </w:rPr>
            <w:t>105</w:t>
          </w:r>
          <w:r w:rsidRPr="00C77E77">
            <w:rPr>
              <w:rFonts w:ascii="Times New Roman" w:eastAsia="標楷體" w:hAnsi="Times New Roman" w:cs="Times New Roman"/>
              <w:color w:val="000000"/>
              <w:spacing w:val="-10"/>
              <w:kern w:val="0"/>
              <w:sz w:val="32"/>
              <w:szCs w:val="32"/>
            </w:rPr>
            <w:t>年</w:t>
          </w:r>
          <w:r w:rsidRPr="00C77E77">
            <w:rPr>
              <w:rFonts w:ascii="Times New Roman" w:eastAsia="標楷體" w:hAnsi="Times New Roman" w:cs="Times New Roman"/>
              <w:color w:val="000000"/>
              <w:spacing w:val="-10"/>
              <w:kern w:val="0"/>
              <w:sz w:val="32"/>
              <w:szCs w:val="32"/>
            </w:rPr>
            <w:t>6</w:t>
          </w:r>
          <w:r w:rsidRPr="00C77E77">
            <w:rPr>
              <w:rFonts w:ascii="Times New Roman" w:eastAsia="標楷體" w:hAnsi="Times New Roman" w:cs="Times New Roman"/>
              <w:color w:val="000000"/>
              <w:spacing w:val="-10"/>
              <w:kern w:val="0"/>
              <w:sz w:val="32"/>
              <w:szCs w:val="32"/>
            </w:rPr>
            <w:t>月至</w:t>
          </w:r>
          <w:r w:rsidRPr="00C77E77">
            <w:rPr>
              <w:rFonts w:ascii="Times New Roman" w:eastAsia="標楷體" w:hAnsi="Times New Roman" w:cs="Times New Roman"/>
              <w:color w:val="000000"/>
              <w:spacing w:val="-10"/>
              <w:kern w:val="0"/>
              <w:sz w:val="32"/>
              <w:szCs w:val="32"/>
            </w:rPr>
            <w:t>105</w:t>
          </w:r>
          <w:r w:rsidRPr="00C77E77">
            <w:rPr>
              <w:rFonts w:ascii="Times New Roman" w:eastAsia="標楷體" w:hAnsi="Times New Roman" w:cs="Times New Roman"/>
              <w:color w:val="000000"/>
              <w:spacing w:val="-10"/>
              <w:kern w:val="0"/>
              <w:sz w:val="32"/>
              <w:szCs w:val="32"/>
            </w:rPr>
            <w:t>年</w:t>
          </w:r>
          <w:r w:rsidRPr="00C77E77">
            <w:rPr>
              <w:rFonts w:ascii="Times New Roman" w:eastAsia="標楷體" w:hAnsi="Times New Roman" w:cs="Times New Roman"/>
              <w:color w:val="000000"/>
              <w:spacing w:val="-10"/>
              <w:kern w:val="0"/>
              <w:sz w:val="32"/>
              <w:szCs w:val="32"/>
            </w:rPr>
            <w:t>12</w:t>
          </w:r>
          <w:r w:rsidRPr="00C77E77">
            <w:rPr>
              <w:rFonts w:ascii="Times New Roman" w:eastAsia="標楷體" w:hAnsi="Times New Roman" w:cs="Times New Roman"/>
              <w:color w:val="000000"/>
              <w:spacing w:val="-10"/>
              <w:kern w:val="0"/>
              <w:sz w:val="32"/>
              <w:szCs w:val="32"/>
            </w:rPr>
            <w:t>月</w:t>
          </w:r>
        </w:p>
        <w:p w:rsidR="009021C4" w:rsidRPr="00C77E77" w:rsidRDefault="009021C4" w:rsidP="009021C4">
          <w:pPr>
            <w:widowControl/>
            <w:shd w:val="clear" w:color="auto" w:fill="FFFFFF"/>
            <w:ind w:left="1560"/>
            <w:rPr>
              <w:rFonts w:ascii="Times New Roman" w:eastAsia="標楷體" w:hAnsi="Times New Roman" w:cs="Times New Roman"/>
              <w:color w:val="000000"/>
              <w:kern w:val="0"/>
              <w:sz w:val="32"/>
              <w:szCs w:val="32"/>
            </w:rPr>
          </w:pPr>
          <w:r w:rsidRPr="00C77E77">
            <w:rPr>
              <w:rFonts w:ascii="Times New Roman" w:eastAsia="標楷體" w:hAnsi="Times New Roman" w:cs="Times New Roman"/>
              <w:color w:val="000000"/>
              <w:kern w:val="0"/>
              <w:sz w:val="32"/>
              <w:szCs w:val="32"/>
            </w:rPr>
            <w:t>研究經費：新臺幣</w:t>
          </w:r>
          <w:r w:rsidRPr="00C77E77">
            <w:rPr>
              <w:rFonts w:ascii="Times New Roman" w:eastAsia="標楷體" w:hAnsi="Times New Roman" w:cs="Times New Roman"/>
              <w:color w:val="000000"/>
              <w:kern w:val="0"/>
              <w:sz w:val="32"/>
              <w:szCs w:val="32"/>
            </w:rPr>
            <w:t>143</w:t>
          </w:r>
          <w:r w:rsidRPr="00C77E77">
            <w:rPr>
              <w:rFonts w:ascii="Times New Roman" w:eastAsia="標楷體" w:hAnsi="Times New Roman" w:cs="Times New Roman"/>
              <w:color w:val="000000"/>
              <w:kern w:val="0"/>
              <w:sz w:val="32"/>
              <w:szCs w:val="32"/>
            </w:rPr>
            <w:t>萬元</w:t>
          </w:r>
        </w:p>
        <w:p w:rsidR="009021C4" w:rsidRPr="00C77E77" w:rsidRDefault="009021C4" w:rsidP="009021C4">
          <w:pPr>
            <w:rPr>
              <w:rFonts w:ascii="Times New Roman" w:hAnsi="Times New Roman" w:cs="Times New Roman"/>
            </w:rPr>
          </w:pPr>
        </w:p>
        <w:p w:rsidR="009021C4" w:rsidRPr="00C77E77" w:rsidRDefault="009021C4" w:rsidP="009021C4">
          <w:pPr>
            <w:rPr>
              <w:rFonts w:ascii="Times New Roman" w:hAnsi="Times New Roman" w:cs="Times New Roman"/>
            </w:rPr>
          </w:pPr>
        </w:p>
        <w:p w:rsidR="009021C4" w:rsidRPr="00C77E77" w:rsidRDefault="009021C4" w:rsidP="009021C4">
          <w:pPr>
            <w:rPr>
              <w:rFonts w:ascii="Times New Roman" w:hAnsi="Times New Roman" w:cs="Times New Roman"/>
            </w:rPr>
          </w:pPr>
        </w:p>
        <w:p w:rsidR="009021C4" w:rsidRPr="00C77E77" w:rsidRDefault="009021C4" w:rsidP="009021C4">
          <w:pPr>
            <w:rPr>
              <w:rFonts w:ascii="Times New Roman" w:hAnsi="Times New Roman" w:cs="Times New Roman"/>
            </w:rPr>
          </w:pPr>
        </w:p>
        <w:p w:rsidR="009021C4" w:rsidRPr="00C77E77" w:rsidRDefault="009021C4" w:rsidP="009021C4">
          <w:pPr>
            <w:rPr>
              <w:rFonts w:ascii="Times New Roman" w:hAnsi="Times New Roman" w:cs="Times New Roman"/>
            </w:rPr>
          </w:pPr>
        </w:p>
        <w:p w:rsidR="009021C4" w:rsidRPr="00C77E77" w:rsidRDefault="009021C4" w:rsidP="009021C4">
          <w:pPr>
            <w:jc w:val="center"/>
            <w:rPr>
              <w:rFonts w:ascii="Times New Roman" w:eastAsia="標楷體" w:hAnsi="Times New Roman" w:cs="Times New Roman"/>
              <w:b/>
              <w:sz w:val="48"/>
              <w:szCs w:val="48"/>
            </w:rPr>
          </w:pPr>
          <w:r w:rsidRPr="00C77E77">
            <w:rPr>
              <w:rFonts w:ascii="Times New Roman" w:eastAsia="標楷體" w:hAnsi="Times New Roman" w:cs="Times New Roman"/>
              <w:b/>
              <w:sz w:val="48"/>
              <w:szCs w:val="48"/>
            </w:rPr>
            <w:t>國家發展委員會</w:t>
          </w:r>
          <w:r w:rsidRPr="00C77E77">
            <w:rPr>
              <w:rFonts w:ascii="Times New Roman" w:eastAsia="標楷體" w:hAnsi="Times New Roman" w:cs="Times New Roman"/>
              <w:b/>
              <w:sz w:val="48"/>
              <w:szCs w:val="48"/>
            </w:rPr>
            <w:t xml:space="preserve"> </w:t>
          </w:r>
        </w:p>
        <w:p w:rsidR="009021C4" w:rsidRPr="00C77E77" w:rsidRDefault="009021C4" w:rsidP="009021C4">
          <w:pPr>
            <w:jc w:val="center"/>
            <w:rPr>
              <w:rFonts w:ascii="Times New Roman" w:eastAsia="標楷體" w:hAnsi="Times New Roman" w:cs="Times New Roman"/>
              <w:b/>
              <w:sz w:val="48"/>
              <w:szCs w:val="48"/>
            </w:rPr>
          </w:pPr>
          <w:r w:rsidRPr="00C77E77">
            <w:rPr>
              <w:rFonts w:ascii="Times New Roman" w:eastAsia="標楷體" w:hAnsi="Times New Roman" w:cs="Times New Roman"/>
              <w:b/>
              <w:sz w:val="48"/>
              <w:szCs w:val="48"/>
            </w:rPr>
            <w:t>中華民國</w:t>
          </w:r>
          <w:r w:rsidRPr="00C77E77">
            <w:rPr>
              <w:rFonts w:ascii="Times New Roman" w:eastAsia="標楷體" w:hAnsi="Times New Roman" w:cs="Times New Roman"/>
              <w:b/>
              <w:sz w:val="48"/>
              <w:szCs w:val="48"/>
            </w:rPr>
            <w:t>105</w:t>
          </w:r>
          <w:r w:rsidRPr="00C77E77">
            <w:rPr>
              <w:rFonts w:ascii="Times New Roman" w:eastAsia="標楷體" w:hAnsi="Times New Roman" w:cs="Times New Roman"/>
              <w:b/>
              <w:sz w:val="48"/>
              <w:szCs w:val="48"/>
            </w:rPr>
            <w:t>年</w:t>
          </w:r>
          <w:r w:rsidRPr="00C77E77">
            <w:rPr>
              <w:rFonts w:ascii="Times New Roman" w:eastAsia="標楷體" w:hAnsi="Times New Roman" w:cs="Times New Roman"/>
              <w:b/>
              <w:sz w:val="48"/>
              <w:szCs w:val="48"/>
            </w:rPr>
            <w:t>12</w:t>
          </w:r>
          <w:r w:rsidRPr="00C77E77">
            <w:rPr>
              <w:rFonts w:ascii="Times New Roman" w:eastAsia="標楷體" w:hAnsi="Times New Roman" w:cs="Times New Roman"/>
              <w:b/>
              <w:sz w:val="48"/>
              <w:szCs w:val="48"/>
            </w:rPr>
            <w:t>月</w:t>
          </w:r>
        </w:p>
        <w:p w:rsidR="005948C6" w:rsidRPr="00C77E77" w:rsidRDefault="005948C6">
          <w:pPr>
            <w:widowControl/>
            <w:rPr>
              <w:rFonts w:ascii="Times New Roman" w:eastAsia="標楷體" w:hAnsi="Times New Roman" w:cs="Times New Roman"/>
              <w:bCs/>
              <w:sz w:val="48"/>
              <w:szCs w:val="48"/>
            </w:rPr>
          </w:pPr>
        </w:p>
        <w:p w:rsidR="005948C6" w:rsidRPr="00C77E77" w:rsidRDefault="005948C6">
          <w:pPr>
            <w:widowControl/>
            <w:rPr>
              <w:rFonts w:ascii="Times New Roman" w:eastAsia="標楷體" w:hAnsi="Times New Roman" w:cs="Times New Roman"/>
              <w:bCs/>
              <w:sz w:val="48"/>
              <w:szCs w:val="48"/>
            </w:rPr>
          </w:pPr>
          <w:r w:rsidRPr="00C77E77">
            <w:rPr>
              <w:rFonts w:ascii="Times New Roman" w:eastAsia="標楷體" w:hAnsi="Times New Roman" w:cs="Times New Roman"/>
              <w:bCs/>
              <w:sz w:val="48"/>
              <w:szCs w:val="48"/>
            </w:rPr>
            <w:br w:type="page"/>
          </w:r>
        </w:p>
        <w:p w:rsidR="005948C6" w:rsidRPr="00C77E77" w:rsidRDefault="005948C6" w:rsidP="005948C6">
          <w:pPr>
            <w:spacing w:beforeLines="50" w:before="180" w:afterLines="50" w:after="180" w:line="500" w:lineRule="exact"/>
            <w:jc w:val="center"/>
            <w:rPr>
              <w:rFonts w:ascii="Times New Roman" w:eastAsia="標楷體" w:hAnsi="Times New Roman" w:cs="Times New Roman"/>
              <w:b/>
              <w:color w:val="000000" w:themeColor="text1"/>
              <w:sz w:val="28"/>
              <w:szCs w:val="28"/>
              <w:shd w:val="clear" w:color="auto" w:fill="FFFFFF"/>
            </w:rPr>
          </w:pPr>
          <w:r w:rsidRPr="00C77E77">
            <w:rPr>
              <w:rFonts w:ascii="Times New Roman" w:eastAsia="標楷體" w:hAnsi="Times New Roman" w:cs="Times New Roman"/>
              <w:b/>
              <w:color w:val="000000" w:themeColor="text1"/>
              <w:sz w:val="28"/>
              <w:szCs w:val="28"/>
              <w:shd w:val="clear" w:color="auto" w:fill="FFFFFF"/>
            </w:rPr>
            <w:lastRenderedPageBreak/>
            <w:t>摘要</w:t>
          </w:r>
        </w:p>
        <w:p w:rsidR="005948C6" w:rsidRPr="00C77E77" w:rsidRDefault="005948C6" w:rsidP="000F5A1E">
          <w:pPr>
            <w:spacing w:beforeLines="50" w:before="180" w:afterLines="50" w:after="180" w:line="500" w:lineRule="exact"/>
            <w:ind w:firstLineChars="202" w:firstLine="566"/>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本研究計畫透過全面分析東南亞及印度之政治、經濟、社會條件與經貿情勢，就政府規劃之十大系統輸出產業，包括電子收費、綠色運輸、智慧物流、智慧健康、智慧校園、電子化政府、</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照明、雲端系統、石化、太陽能等，以及政府正戮力推行之「電子商務」、「新農業」等「</w:t>
          </w:r>
          <w:r w:rsidRPr="00C77E77">
            <w:rPr>
              <w:rFonts w:ascii="Times New Roman" w:eastAsia="標楷體" w:hAnsi="Times New Roman" w:cs="Times New Roman"/>
              <w:color w:val="000000" w:themeColor="text1"/>
              <w:sz w:val="28"/>
              <w:szCs w:val="28"/>
            </w:rPr>
            <w:t>10+2</w:t>
          </w:r>
          <w:r w:rsidRPr="00C77E77">
            <w:rPr>
              <w:rFonts w:ascii="Times New Roman" w:eastAsia="標楷體" w:hAnsi="Times New Roman" w:cs="Times New Roman"/>
              <w:color w:val="000000" w:themeColor="text1"/>
              <w:sz w:val="28"/>
              <w:szCs w:val="28"/>
            </w:rPr>
            <w:t>」產業研擬促進雙贏的策略建議，俾利政府作為未來「新南向政策」之規劃參考。</w:t>
          </w:r>
        </w:p>
        <w:p w:rsidR="005948C6" w:rsidRPr="00C77E77" w:rsidRDefault="005948C6" w:rsidP="000F5A1E">
          <w:pPr>
            <w:spacing w:beforeLines="50" w:before="180" w:afterLines="50" w:after="180" w:line="500" w:lineRule="exact"/>
            <w:ind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過往</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灣出口到東協市場的產品以中間財居多，由</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灣出口關鍵零組件到當地生產、組裝成最終產品。然而</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年我國與東協貿易雙邊貿易由盛轉衰，引發各界高度重視。究其原因，除來自東協共同體內部成員間關稅大幅降低所帶來的貿易移轉效果，且東協已經完成與中國大陸、日本、韓國等國家之</w:t>
          </w:r>
          <w:r w:rsidRPr="00C77E77">
            <w:rPr>
              <w:rFonts w:ascii="Times New Roman" w:eastAsia="標楷體" w:hAnsi="Times New Roman" w:cs="Times New Roman"/>
              <w:color w:val="000000" w:themeColor="text1"/>
              <w:sz w:val="28"/>
              <w:szCs w:val="28"/>
            </w:rPr>
            <w:t>FTA</w:t>
          </w:r>
          <w:r w:rsidRPr="00C77E77">
            <w:rPr>
              <w:rFonts w:ascii="Times New Roman" w:eastAsia="標楷體" w:hAnsi="Times New Roman" w:cs="Times New Roman"/>
              <w:color w:val="000000" w:themeColor="text1"/>
              <w:sz w:val="28"/>
              <w:szCs w:val="28"/>
            </w:rPr>
            <w:t>簽署，不利我國出口產品競爭力。另外，</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灣產業出口結構失衡，以中間財為大宗的紅海式價格競爭已面臨瓶頸。加上近年各國逐步降低自國外進口零組件，改由國內生產或轉向當地採購，亦衝擊了臺灣之出口。為改變仰賴中間材的出口形態，行政院自</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推出十大系統輸出方案，希冀轉型為系統或終端消費產品輸出模式。政府並推動「輔導電商建立東協跨境營運生態體系計畫」，以聯合艦隊方式輔導電商業者前進東協。同時針對東協與印度農業生產技術的廣大需求及龐大商機，業已啟動農業新南向政策。</w:t>
          </w:r>
        </w:p>
        <w:p w:rsidR="005948C6" w:rsidRPr="00C77E77" w:rsidRDefault="005948C6" w:rsidP="0001327A">
          <w:pPr>
            <w:pStyle w:val="ab"/>
            <w:numPr>
              <w:ilvl w:val="0"/>
              <w:numId w:val="139"/>
            </w:numPr>
            <w:spacing w:beforeLines="50" w:before="180" w:afterLines="50" w:after="180" w:line="500" w:lineRule="exact"/>
            <w:ind w:leftChars="0"/>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w:t>
          </w:r>
          <w:r w:rsidRPr="00C77E77">
            <w:rPr>
              <w:rFonts w:ascii="Times New Roman" w:eastAsia="標楷體" w:hAnsi="Times New Roman" w:cs="Times New Roman"/>
              <w:b/>
              <w:color w:val="000000" w:themeColor="text1"/>
              <w:sz w:val="28"/>
              <w:szCs w:val="28"/>
            </w:rPr>
            <w:t>10+2</w:t>
          </w:r>
          <w:r w:rsidRPr="00C77E77">
            <w:rPr>
              <w:rFonts w:ascii="Times New Roman" w:eastAsia="標楷體" w:hAnsi="Times New Roman" w:cs="Times New Roman"/>
              <w:b/>
              <w:color w:val="000000" w:themeColor="text1"/>
              <w:sz w:val="28"/>
              <w:szCs w:val="28"/>
            </w:rPr>
            <w:t>」產業南向發展之整體佈局建議</w:t>
          </w:r>
        </w:p>
        <w:p w:rsidR="005948C6" w:rsidRPr="00C77E77" w:rsidRDefault="005948C6" w:rsidP="00D322D0">
          <w:pPr>
            <w:spacing w:beforeLines="50" w:before="180" w:afterLines="50" w:after="180" w:line="500" w:lineRule="exact"/>
            <w:ind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由於東南亞國家與印度各國無論在國情、文化與經濟發展程度等差別迥異，「</w:t>
          </w:r>
          <w:r w:rsidRPr="00C77E77">
            <w:rPr>
              <w:rFonts w:ascii="Times New Roman" w:eastAsia="標楷體" w:hAnsi="Times New Roman" w:cs="Times New Roman"/>
              <w:color w:val="000000" w:themeColor="text1"/>
              <w:sz w:val="28"/>
              <w:szCs w:val="28"/>
            </w:rPr>
            <w:t>10+2</w:t>
          </w:r>
          <w:r w:rsidRPr="00C77E77">
            <w:rPr>
              <w:rFonts w:ascii="Times New Roman" w:eastAsia="標楷體" w:hAnsi="Times New Roman" w:cs="Times New Roman"/>
              <w:color w:val="000000" w:themeColor="text1"/>
              <w:sz w:val="28"/>
              <w:szCs w:val="28"/>
            </w:rPr>
            <w:t>」產業之輸出需要考慮其推動上的先決條件及前提，包括電力供應、供應鏈完整性等當地政經發展現況及產業環境，以利後續推動。因系統輸出涵蓋生產製造、拓銷、後續服務等上中下游產業，且需動員眾多廠商，因此強化</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灣產品的實力與形象至為關鍵。建議作法包括：（</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）凝聚共識，聚焦亮點。基於政府資源有限，發展策略應有所聚焦，培養幾個鮮明有成的大型產業，先從在臺灣建立示範場域做起，然後由專責單位帶領眾廠商到世界行銷推廣整廠輸出。（</w:t>
          </w:r>
          <w:r w:rsidRPr="00C77E77">
            <w:rPr>
              <w:rFonts w:ascii="Times New Roman" w:eastAsia="標楷體" w:hAnsi="Times New Roman" w:cs="Times New Roman"/>
              <w:color w:val="000000" w:themeColor="text1"/>
              <w:sz w:val="28"/>
              <w:szCs w:val="28"/>
            </w:rPr>
            <w:t>2</w:t>
          </w:r>
          <w:r w:rsidRPr="00C77E77">
            <w:rPr>
              <w:rFonts w:ascii="Times New Roman" w:eastAsia="標楷體" w:hAnsi="Times New Roman" w:cs="Times New Roman"/>
              <w:color w:val="000000" w:themeColor="text1"/>
              <w:sz w:val="28"/>
              <w:szCs w:val="28"/>
            </w:rPr>
            <w:t>）消除市場的進入障礙。包括排除各種關稅與非關</w:t>
          </w:r>
          <w:r w:rsidRPr="00C77E77">
            <w:rPr>
              <w:rFonts w:ascii="Times New Roman" w:eastAsia="標楷體" w:hAnsi="Times New Roman" w:cs="Times New Roman"/>
              <w:color w:val="000000" w:themeColor="text1"/>
              <w:sz w:val="28"/>
              <w:szCs w:val="28"/>
            </w:rPr>
            <w:lastRenderedPageBreak/>
            <w:t>稅壁壘；促使每種產業的標準能與國際接軌；提供即時性、全面性的商情與法律資訊；尋找可信賴的窗口；靈活與第三國合作。（</w:t>
          </w:r>
          <w:r w:rsidRPr="00C77E77">
            <w:rPr>
              <w:rFonts w:ascii="Times New Roman" w:eastAsia="標楷體" w:hAnsi="Times New Roman" w:cs="Times New Roman"/>
              <w:color w:val="000000" w:themeColor="text1"/>
              <w:sz w:val="28"/>
              <w:szCs w:val="28"/>
            </w:rPr>
            <w:t>3</w:t>
          </w:r>
          <w:r w:rsidRPr="00C77E77">
            <w:rPr>
              <w:rFonts w:ascii="Times New Roman" w:eastAsia="標楷體" w:hAnsi="Times New Roman" w:cs="Times New Roman"/>
              <w:color w:val="000000" w:themeColor="text1"/>
              <w:sz w:val="28"/>
              <w:szCs w:val="28"/>
            </w:rPr>
            <w:t>）從當地國家需求出發。「智慧」型系統整合技術應訴求降低風險、提昇素質與安全性，不能搶走當地人的工作。並且以「破壞式創新」的思維滿足當地人對局部功能、便宜解決方案之需求。</w:t>
          </w:r>
        </w:p>
        <w:p w:rsidR="005948C6" w:rsidRPr="00C77E77" w:rsidRDefault="005948C6" w:rsidP="0001327A">
          <w:pPr>
            <w:pStyle w:val="ab"/>
            <w:numPr>
              <w:ilvl w:val="0"/>
              <w:numId w:val="139"/>
            </w:numPr>
            <w:spacing w:beforeLines="50" w:before="180" w:afterLines="50" w:after="180" w:line="500" w:lineRule="exact"/>
            <w:ind w:leftChars="0"/>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w:t>
          </w:r>
          <w:r w:rsidRPr="00C77E77">
            <w:rPr>
              <w:rFonts w:ascii="Times New Roman" w:eastAsia="標楷體" w:hAnsi="Times New Roman" w:cs="Times New Roman"/>
              <w:b/>
              <w:color w:val="000000" w:themeColor="text1"/>
              <w:sz w:val="28"/>
              <w:szCs w:val="28"/>
            </w:rPr>
            <w:t>10+2</w:t>
          </w:r>
          <w:r w:rsidRPr="00C77E77">
            <w:rPr>
              <w:rFonts w:ascii="Times New Roman" w:eastAsia="標楷體" w:hAnsi="Times New Roman" w:cs="Times New Roman"/>
              <w:b/>
              <w:color w:val="000000" w:themeColor="text1"/>
              <w:sz w:val="28"/>
              <w:szCs w:val="28"/>
            </w:rPr>
            <w:t>」產業南向發展之個別產業建議</w:t>
          </w:r>
        </w:p>
        <w:p w:rsidR="005948C6" w:rsidRPr="00C77E77" w:rsidRDefault="005948C6" w:rsidP="00D322D0">
          <w:pPr>
            <w:tabs>
              <w:tab w:val="left" w:pos="2"/>
            </w:tabs>
            <w:spacing w:beforeLines="50" w:before="180" w:afterLines="50" w:after="180" w:line="500" w:lineRule="exact"/>
            <w:ind w:left="2"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新農業</w:t>
          </w:r>
          <w:r w:rsidRPr="00C77E77">
            <w:rPr>
              <w:rFonts w:ascii="Times New Roman" w:eastAsia="標楷體" w:hAnsi="Times New Roman" w:cs="Times New Roman"/>
              <w:color w:val="000000" w:themeColor="text1"/>
              <w:sz w:val="28"/>
              <w:szCs w:val="28"/>
            </w:rPr>
            <w:t>：為拓展外銷、分散風險、兼顧糧食安全，</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可盤點我國外銷優勢農產品，分析各國獎勵項目，連結「五加二」產業中智慧機械方案，積極參展並進行清真認證。</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加速與尚未洽簽農業合作協議國家進行農業技術合作，推動雙邊簽署合作協議與農業加值，培養農貿人才。</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應排除農產品外銷關稅與非關稅障礙，建立定期諮商與合作機制，透過國際諮商談判爭取優惠彈性待遇。</w:t>
          </w:r>
        </w:p>
        <w:p w:rsidR="005948C6" w:rsidRPr="00C77E77" w:rsidRDefault="005948C6" w:rsidP="00D322D0">
          <w:pPr>
            <w:tabs>
              <w:tab w:val="left" w:pos="2"/>
            </w:tabs>
            <w:spacing w:beforeLines="50" w:before="180" w:afterLines="50" w:after="180" w:line="500" w:lineRule="exact"/>
            <w:ind w:left="2"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電子商務</w:t>
          </w:r>
          <w:r w:rsidRPr="00C77E77">
            <w:rPr>
              <w:rFonts w:ascii="Times New Roman" w:eastAsia="標楷體" w:hAnsi="Times New Roman" w:cs="Times New Roman"/>
              <w:color w:val="000000" w:themeColor="text1"/>
              <w:sz w:val="28"/>
              <w:szCs w:val="28"/>
            </w:rPr>
            <w:t>：透過電商促進貿易可突破</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灣國內市場較小之侷限。</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應培養能夠運用網路平臺進行跨國銷售的行銷人才，研究新興市場的情資、消費行為、產業趨勢，並研發有特色之商品。</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應界定上中下游產業，找出臺灣競爭優勢，選擇城市或國家深耕。</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需因應未來電商衍生出的商業規範跟傳統規範的衝突之處。</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電子收費</w:t>
          </w:r>
          <w:r w:rsidRPr="00C77E77">
            <w:rPr>
              <w:rFonts w:ascii="Times New Roman" w:eastAsia="標楷體" w:hAnsi="Times New Roman" w:cs="Times New Roman"/>
              <w:color w:val="000000" w:themeColor="text1"/>
              <w:sz w:val="28"/>
              <w:szCs w:val="28"/>
            </w:rPr>
            <w:t>：提供顧問規劃、建置工程等專業技術服務，可助我經驗與能力拓展，惟需注意掌握重要之</w:t>
          </w:r>
          <w:r w:rsidRPr="00C77E77">
            <w:rPr>
              <w:rFonts w:ascii="Times New Roman" w:eastAsia="標楷體" w:hAnsi="Times New Roman" w:cs="Times New Roman"/>
              <w:color w:val="000000" w:themeColor="text1"/>
              <w:sz w:val="28"/>
              <w:szCs w:val="28"/>
            </w:rPr>
            <w:t>know-how</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應爭取馬來西亞、泰國、印尼、菲律賓、越南及汶萊等基礎道路建設和電力網絡較完善國家的公共標案，必要時可採人工與電子收費並行的方式。</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可在寮國、柬埔寨、緬甸等國從路網、收費系統等協助改善基礎建設。</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可將</w:t>
          </w:r>
          <w:r w:rsidRPr="00C77E77">
            <w:rPr>
              <w:rFonts w:ascii="Times New Roman" w:eastAsia="標楷體" w:hAnsi="Times New Roman" w:cs="Times New Roman"/>
              <w:color w:val="000000" w:themeColor="text1"/>
              <w:sz w:val="28"/>
              <w:szCs w:val="28"/>
            </w:rPr>
            <w:t>ETC</w:t>
          </w:r>
          <w:r w:rsidRPr="00C77E77">
            <w:rPr>
              <w:rFonts w:ascii="Times New Roman" w:eastAsia="標楷體" w:hAnsi="Times New Roman" w:cs="Times New Roman"/>
              <w:color w:val="000000" w:themeColor="text1"/>
              <w:sz w:val="28"/>
              <w:szCs w:val="28"/>
            </w:rPr>
            <w:t>運用至印度的智慧城市規劃。</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智慧校園</w:t>
          </w:r>
          <w:r w:rsidRPr="00C77E77">
            <w:rPr>
              <w:rFonts w:ascii="Times New Roman" w:eastAsia="標楷體" w:hAnsi="Times New Roman" w:cs="Times New Roman"/>
              <w:color w:val="000000" w:themeColor="text1"/>
              <w:sz w:val="28"/>
              <w:szCs w:val="28"/>
            </w:rPr>
            <w:t>：教育產業在語言的理解上非常重要，須長期經營，可</w:t>
          </w:r>
          <w:r w:rsidRPr="00C77E77">
            <w:rPr>
              <w:rFonts w:ascii="Times New Roman" w:eastAsia="標楷體" w:hAnsi="Times New Roman" w:cs="Times New Roman"/>
              <w:color w:val="000000" w:themeColor="text1"/>
              <w:kern w:val="0"/>
              <w:sz w:val="28"/>
              <w:szCs w:val="28"/>
            </w:rPr>
            <w:t>促進教育資源分享，並適度紓解</w:t>
          </w:r>
          <w:r w:rsidRPr="00C77E77">
            <w:rPr>
              <w:rFonts w:ascii="Times New Roman" w:eastAsia="標楷體" w:hAnsi="Times New Roman" w:cs="Times New Roman"/>
              <w:color w:val="000000" w:themeColor="text1"/>
              <w:sz w:val="28"/>
              <w:szCs w:val="28"/>
            </w:rPr>
            <w:t>我師資過剩問題。</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先在</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灣建立示範區，同時在當地選定特定地區導入示範佈局。</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可運用我新住民優勢，將我國優異教材</w:t>
          </w:r>
          <w:r w:rsidRPr="00C77E77">
            <w:rPr>
              <w:rFonts w:ascii="Times New Roman" w:eastAsia="標楷體" w:hAnsi="Times New Roman" w:cs="Times New Roman"/>
              <w:color w:val="000000" w:themeColor="text1"/>
              <w:sz w:val="28"/>
              <w:szCs w:val="28"/>
            </w:rPr>
            <w:lastRenderedPageBreak/>
            <w:t>翻譯成當地語言，提供教育資源。</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應培養對寮國、柬埔寨、緬甸之瞭解，協助改善當地教育環境。</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電子化政府</w:t>
          </w:r>
          <w:r w:rsidRPr="00C77E77">
            <w:rPr>
              <w:rFonts w:ascii="Times New Roman" w:eastAsia="標楷體" w:hAnsi="Times New Roman" w:cs="Times New Roman"/>
              <w:color w:val="000000" w:themeColor="text1"/>
              <w:sz w:val="28"/>
              <w:szCs w:val="28"/>
            </w:rPr>
            <w:t>：進行制度與規範的顧問服務，能增進知識與實務交流，但需留意</w:t>
          </w:r>
          <w:r w:rsidRPr="00C77E77">
            <w:rPr>
              <w:rFonts w:ascii="Times New Roman" w:eastAsia="標楷體" w:hAnsi="Times New Roman" w:cs="Times New Roman"/>
              <w:color w:val="000000" w:themeColor="text1"/>
              <w:sz w:val="28"/>
              <w:szCs w:val="28"/>
            </w:rPr>
            <w:t>know-how</w:t>
          </w:r>
          <w:r w:rsidRPr="00C77E77">
            <w:rPr>
              <w:rFonts w:ascii="Times New Roman" w:eastAsia="標楷體" w:hAnsi="Times New Roman" w:cs="Times New Roman"/>
              <w:color w:val="000000" w:themeColor="text1"/>
              <w:sz w:val="28"/>
              <w:szCs w:val="28"/>
            </w:rPr>
            <w:t>的保護。</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來說，因電子化政府涉及政治議題，</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灣可先在國內建置示範區，促進雙方合作，提供東協及印度參考，改善當地行政效率與資訊透明度。</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可在印度發展智慧監控、智慧路燈、無線網路、國防安全、環保衛等產業。</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方面，政府應提前建立寮國、柬埔寨、緬甸的信息資料庫。</w:t>
          </w:r>
          <w:r w:rsidRPr="00C77E77">
            <w:rPr>
              <w:rFonts w:ascii="Times New Roman" w:eastAsia="標楷體" w:hAnsi="Times New Roman" w:cs="Times New Roman"/>
              <w:color w:val="000000" w:themeColor="text1"/>
              <w:sz w:val="28"/>
              <w:szCs w:val="28"/>
            </w:rPr>
            <w:t xml:space="preserve"> </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智慧物流：</w:t>
          </w:r>
          <w:r w:rsidRPr="00C77E77">
            <w:rPr>
              <w:rFonts w:ascii="Times New Roman" w:eastAsia="標楷體" w:hAnsi="Times New Roman" w:cs="Times New Roman"/>
              <w:color w:val="000000" w:themeColor="text1"/>
              <w:sz w:val="28"/>
              <w:szCs w:val="28"/>
            </w:rPr>
            <w:t>拓展海外市場有助突破</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灣國內市場規模較小之侷限，還可搭配電商趨勢。</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先由公單位先在臺灣建置示範區。</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應選擇有具完善基礎設施及相關資訊及電子化整合平臺的國家，針對個別地區或國家制定的行銷策略。</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可協助寮、柬、緬等國有關道路建設、電力設備、資通訊及網路等基礎建設。</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雲端系統：</w:t>
          </w:r>
          <w:r w:rsidRPr="00C77E77">
            <w:rPr>
              <w:rFonts w:ascii="Times New Roman" w:eastAsia="標楷體" w:hAnsi="Times New Roman" w:cs="Times New Roman"/>
              <w:color w:val="000000" w:themeColor="text1"/>
              <w:sz w:val="28"/>
              <w:szCs w:val="28"/>
            </w:rPr>
            <w:t>現階段業者多以國內市場為主，欲拓展海外在</w:t>
          </w:r>
          <w:r w:rsidRPr="00C77E77">
            <w:rPr>
              <w:rFonts w:ascii="Times New Roman" w:eastAsia="標楷體" w:hAnsi="Times New Roman" w:cs="Times New Roman"/>
              <w:i/>
              <w:color w:val="000000" w:themeColor="text1"/>
              <w:sz w:val="28"/>
              <w:szCs w:val="28"/>
            </w:rPr>
            <w:t>短期內</w:t>
          </w:r>
          <w:r w:rsidRPr="00C77E77">
            <w:rPr>
              <w:rFonts w:ascii="Times New Roman" w:eastAsia="標楷體" w:hAnsi="Times New Roman" w:cs="Times New Roman"/>
              <w:color w:val="000000" w:themeColor="text1"/>
              <w:sz w:val="28"/>
              <w:szCs w:val="28"/>
            </w:rPr>
            <w:t>可選擇電力供應相對穩定、連網品質及頻寬較佳之國家進行異業結盟與客製化服務。</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可針對泰、菲、印度等基礎建設不足但已開始推動電子化的國家合作。</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可協助越南、印尼、緬甸、柬埔寨、寮國等國的人才培育、法規建置、基礎建設架構建立等。</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智慧醫療</w:t>
          </w:r>
          <w:r w:rsidRPr="00C77E77">
            <w:rPr>
              <w:rFonts w:ascii="Times New Roman" w:eastAsia="標楷體" w:hAnsi="Times New Roman" w:cs="Times New Roman"/>
              <w:color w:val="000000" w:themeColor="text1"/>
              <w:sz w:val="28"/>
              <w:szCs w:val="28"/>
            </w:rPr>
            <w:t>：觀光醫療、智慧醫材的合作潛力高。</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可推動與印度之醫療觀光，拓銷與泰國保健食品及美妝保養品。</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可推動我</w:t>
          </w:r>
          <w:r w:rsidRPr="00C77E77">
            <w:rPr>
              <w:rFonts w:ascii="Times New Roman" w:eastAsia="標楷體" w:hAnsi="Times New Roman" w:cs="Times New Roman"/>
              <w:color w:val="000000" w:themeColor="text1"/>
              <w:sz w:val="28"/>
              <w:szCs w:val="28"/>
            </w:rPr>
            <w:t>NGO</w:t>
          </w:r>
          <w:r w:rsidRPr="00C77E77">
            <w:rPr>
              <w:rFonts w:ascii="Times New Roman" w:eastAsia="標楷體" w:hAnsi="Times New Roman" w:cs="Times New Roman"/>
              <w:color w:val="000000" w:themeColor="text1"/>
              <w:sz w:val="28"/>
              <w:szCs w:val="28"/>
            </w:rPr>
            <w:t>團體與印度醫療團體合作行動醫療服務，加強醫療院所交流，推動醫材電子化、拓銷中高階醫材。</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應打造數位醫療平</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太陽能</w:t>
          </w:r>
          <w:r w:rsidRPr="00C77E77">
            <w:rPr>
              <w:rFonts w:ascii="Times New Roman" w:eastAsia="標楷體" w:hAnsi="Times New Roman" w:cs="Times New Roman"/>
              <w:color w:val="000000" w:themeColor="text1"/>
              <w:sz w:val="28"/>
              <w:szCs w:val="28"/>
            </w:rPr>
            <w:t>：為協助製造業者擺脫薄利困境，</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政府宜提供相關資訊，並協助</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商取得金融服務。</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由於太陽能製造業的毛利逐漸降低，政府宜輔導國內業者投入系統設置整合服務業。</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為因應新興市場的保護主義與本地條款，政府宜積極洽簽</w:t>
          </w:r>
          <w:r w:rsidRPr="00C77E77">
            <w:rPr>
              <w:rFonts w:ascii="Times New Roman" w:eastAsia="標楷體" w:hAnsi="Times New Roman" w:cs="Times New Roman"/>
              <w:color w:val="000000" w:themeColor="text1"/>
              <w:sz w:val="28"/>
              <w:szCs w:val="28"/>
            </w:rPr>
            <w:t>FTA</w:t>
          </w:r>
          <w:r w:rsidRPr="00C77E77">
            <w:rPr>
              <w:rFonts w:ascii="Times New Roman" w:eastAsia="標楷體" w:hAnsi="Times New Roman" w:cs="Times New Roman"/>
              <w:color w:val="000000" w:themeColor="text1"/>
              <w:sz w:val="28"/>
              <w:szCs w:val="28"/>
            </w:rPr>
            <w:t>。</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lastRenderedPageBreak/>
            <w:t>LED</w:t>
          </w:r>
          <w:r w:rsidRPr="00C77E77">
            <w:rPr>
              <w:rFonts w:ascii="Times New Roman" w:eastAsia="標楷體" w:hAnsi="Times New Roman" w:cs="Times New Roman"/>
              <w:color w:val="000000" w:themeColor="text1"/>
              <w:sz w:val="28"/>
              <w:szCs w:val="28"/>
            </w:rPr>
            <w:t>：我國</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路燈、</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車用照明符合東協與印度市場需求。業者擴大市場</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政府宜協助</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商熟悉當地法規，協助爭取政府標案。</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應整併下游廠商，擴大規模與競爭力，主打品牌形象。</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建議與往來頻繁之國家先行洽談</w:t>
          </w:r>
          <w:r w:rsidRPr="00C77E77">
            <w:rPr>
              <w:rFonts w:ascii="Times New Roman" w:eastAsia="標楷體" w:hAnsi="Times New Roman" w:cs="Times New Roman"/>
              <w:color w:val="000000" w:themeColor="text1"/>
              <w:sz w:val="28"/>
              <w:szCs w:val="28"/>
            </w:rPr>
            <w:t>FTA</w:t>
          </w:r>
          <w:r w:rsidRPr="00C77E77">
            <w:rPr>
              <w:rFonts w:ascii="Times New Roman" w:eastAsia="標楷體" w:hAnsi="Times New Roman" w:cs="Times New Roman"/>
              <w:color w:val="000000" w:themeColor="text1"/>
              <w:sz w:val="28"/>
              <w:szCs w:val="28"/>
            </w:rPr>
            <w:t>。</w:t>
          </w:r>
        </w:p>
        <w:p w:rsidR="005948C6" w:rsidRPr="00C77E77" w:rsidRDefault="005948C6" w:rsidP="00D322D0">
          <w:pPr>
            <w:tabs>
              <w:tab w:val="left" w:pos="2"/>
            </w:tabs>
            <w:spacing w:beforeLines="50" w:before="180" w:afterLines="50" w:after="180" w:line="500" w:lineRule="exact"/>
            <w:ind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綠色運輸</w:t>
          </w:r>
          <w:r w:rsidRPr="00C77E77">
            <w:rPr>
              <w:rFonts w:ascii="Times New Roman" w:eastAsia="標楷體" w:hAnsi="Times New Roman" w:cs="Times New Roman"/>
              <w:color w:val="000000" w:themeColor="text1"/>
              <w:sz w:val="28"/>
              <w:szCs w:val="28"/>
            </w:rPr>
            <w:t>：我國自動機車、自動腳踏車在東協與印度較具發展潛力。</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應協助廠商形成電動車產業的跨國供應鏈。</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可與當地連鎖產業合作設置充電站與維修站。</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應發展品牌形象。</w:t>
          </w:r>
        </w:p>
        <w:p w:rsidR="005948C6" w:rsidRPr="00C77E77" w:rsidRDefault="005948C6" w:rsidP="00D322D0">
          <w:pPr>
            <w:tabs>
              <w:tab w:val="left" w:pos="2"/>
            </w:tabs>
            <w:spacing w:beforeLines="50" w:before="180" w:afterLines="50" w:after="180" w:line="500" w:lineRule="exact"/>
            <w:ind w:left="2" w:firstLine="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石化</w:t>
          </w:r>
          <w:r w:rsidRPr="00C77E77">
            <w:rPr>
              <w:rFonts w:ascii="Times New Roman" w:eastAsia="標楷體" w:hAnsi="Times New Roman" w:cs="Times New Roman"/>
              <w:color w:val="000000" w:themeColor="text1"/>
              <w:sz w:val="28"/>
              <w:szCs w:val="28"/>
            </w:rPr>
            <w:t>：石化業者在南向合作的過程中發展高值化，可符合我國循環經濟方向。</w:t>
          </w:r>
          <w:r w:rsidRPr="00C77E77">
            <w:rPr>
              <w:rFonts w:ascii="Times New Roman" w:eastAsia="標楷體" w:hAnsi="Times New Roman" w:cs="Times New Roman"/>
              <w:i/>
              <w:color w:val="000000" w:themeColor="text1"/>
              <w:sz w:val="28"/>
              <w:szCs w:val="28"/>
            </w:rPr>
            <w:t>短期</w:t>
          </w:r>
          <w:r w:rsidRPr="00C77E77">
            <w:rPr>
              <w:rFonts w:ascii="Times New Roman" w:eastAsia="標楷體" w:hAnsi="Times New Roman" w:cs="Times New Roman"/>
              <w:color w:val="000000" w:themeColor="text1"/>
              <w:sz w:val="28"/>
              <w:szCs w:val="28"/>
            </w:rPr>
            <w:t>應加速簽訂關稅減讓等合作協議。</w:t>
          </w:r>
          <w:r w:rsidRPr="00C77E77">
            <w:rPr>
              <w:rFonts w:ascii="Times New Roman" w:eastAsia="標楷體" w:hAnsi="Times New Roman" w:cs="Times New Roman"/>
              <w:i/>
              <w:color w:val="000000" w:themeColor="text1"/>
              <w:sz w:val="28"/>
              <w:szCs w:val="28"/>
            </w:rPr>
            <w:t>中期</w:t>
          </w:r>
          <w:r w:rsidRPr="00C77E77">
            <w:rPr>
              <w:rFonts w:ascii="Times New Roman" w:eastAsia="標楷體" w:hAnsi="Times New Roman" w:cs="Times New Roman"/>
              <w:color w:val="000000" w:themeColor="text1"/>
              <w:sz w:val="28"/>
              <w:szCs w:val="28"/>
            </w:rPr>
            <w:t>可協助業者爭取石化園區跨國合作開發案。</w:t>
          </w:r>
          <w:r w:rsidRPr="00C77E77">
            <w:rPr>
              <w:rFonts w:ascii="Times New Roman" w:eastAsia="標楷體" w:hAnsi="Times New Roman" w:cs="Times New Roman"/>
              <w:i/>
              <w:color w:val="000000" w:themeColor="text1"/>
              <w:sz w:val="28"/>
              <w:szCs w:val="28"/>
            </w:rPr>
            <w:t>長期</w:t>
          </w:r>
          <w:r w:rsidRPr="00C77E77">
            <w:rPr>
              <w:rFonts w:ascii="Times New Roman" w:eastAsia="標楷體" w:hAnsi="Times New Roman" w:cs="Times New Roman"/>
              <w:color w:val="000000" w:themeColor="text1"/>
              <w:sz w:val="28"/>
              <w:szCs w:val="28"/>
            </w:rPr>
            <w:t>需輔導石化高值化。</w:t>
          </w:r>
        </w:p>
        <w:p w:rsidR="005948C6" w:rsidRPr="00C77E77" w:rsidRDefault="005948C6" w:rsidP="0001327A">
          <w:pPr>
            <w:pStyle w:val="ab"/>
            <w:numPr>
              <w:ilvl w:val="0"/>
              <w:numId w:val="139"/>
            </w:numPr>
            <w:spacing w:beforeLines="50" w:before="180" w:afterLines="50" w:after="180" w:line="500" w:lineRule="exact"/>
            <w:ind w:leftChars="0"/>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新南向政策之其它相關建議</w:t>
          </w:r>
        </w:p>
        <w:p w:rsidR="009021C4" w:rsidRPr="00C77E77" w:rsidRDefault="005948C6" w:rsidP="00D322D0">
          <w:pPr>
            <w:widowControl/>
            <w:spacing w:beforeLines="50" w:before="180" w:afterLines="50" w:after="180" w:line="500" w:lineRule="exact"/>
            <w:jc w:val="both"/>
            <w:rPr>
              <w:rFonts w:ascii="Times New Roman" w:eastAsia="標楷體" w:hAnsi="Times New Roman" w:cs="Times New Roman"/>
              <w:bCs/>
              <w:sz w:val="28"/>
              <w:szCs w:val="28"/>
            </w:rPr>
          </w:pP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發展多元化的合作模式：學習日韓協助建設基礎設施與文化外交；與星泰馬聚焦經貿合作議題；與緬寮柬發展農業、教育、衛生等援助項目；與印度、越南加強國防安全、智慧監控、無線網路等；分包中國大陸一帶一路之高鐵建案。（</w:t>
          </w:r>
          <w:r w:rsidRPr="00C77E77">
            <w:rPr>
              <w:rFonts w:ascii="Times New Roman" w:eastAsia="標楷體" w:hAnsi="Times New Roman" w:cs="Times New Roman"/>
              <w:color w:val="000000" w:themeColor="text1"/>
              <w:sz w:val="28"/>
              <w:szCs w:val="28"/>
            </w:rPr>
            <w:t>2</w:t>
          </w:r>
          <w:r w:rsidRPr="00C77E77">
            <w:rPr>
              <w:rFonts w:ascii="Times New Roman" w:eastAsia="標楷體" w:hAnsi="Times New Roman" w:cs="Times New Roman"/>
              <w:color w:val="000000" w:themeColor="text1"/>
              <w:sz w:val="28"/>
              <w:szCs w:val="28"/>
            </w:rPr>
            <w:t>）強化商情掌握</w:t>
          </w:r>
          <w:r w:rsidR="00D60544" w:rsidRPr="00C77E77">
            <w:rPr>
              <w:rFonts w:ascii="Times New Roman" w:eastAsia="標楷體" w:hAnsi="Times New Roman" w:cs="Times New Roman"/>
              <w:color w:val="000000" w:themeColor="text1"/>
              <w:sz w:val="28"/>
              <w:szCs w:val="28"/>
            </w:rPr>
            <w:t>：翻譯整理其他國家的東南亞情資；建構各國產業鏈路徑圖；協助臺商會之影響力。</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3</w:t>
          </w:r>
          <w:r w:rsidRPr="00C77E77">
            <w:rPr>
              <w:rFonts w:ascii="Times New Roman" w:eastAsia="標楷體" w:hAnsi="Times New Roman" w:cs="Times New Roman"/>
              <w:color w:val="000000" w:themeColor="text1"/>
              <w:sz w:val="28"/>
              <w:szCs w:val="28"/>
            </w:rPr>
            <w:t>）人才培育：</w:t>
          </w:r>
          <w:r w:rsidR="00D60544" w:rsidRPr="00C77E77">
            <w:rPr>
              <w:rFonts w:ascii="Times New Roman" w:eastAsia="標楷體" w:hAnsi="Times New Roman" w:cs="Times New Roman"/>
              <w:color w:val="000000" w:themeColor="text1"/>
              <w:sz w:val="28"/>
              <w:szCs w:val="28"/>
            </w:rPr>
            <w:t>開放來</w:t>
          </w:r>
          <w:r w:rsidR="00E524DA" w:rsidRPr="00C77E77">
            <w:rPr>
              <w:rFonts w:ascii="Times New Roman" w:eastAsia="標楷體" w:hAnsi="Times New Roman" w:cs="Times New Roman"/>
              <w:color w:val="000000" w:themeColor="text1"/>
              <w:sz w:val="28"/>
              <w:szCs w:val="28"/>
            </w:rPr>
            <w:t>臺</w:t>
          </w:r>
          <w:r w:rsidR="00D60544" w:rsidRPr="00C77E77">
            <w:rPr>
              <w:rFonts w:ascii="Times New Roman" w:eastAsia="標楷體" w:hAnsi="Times New Roman" w:cs="Times New Roman"/>
              <w:color w:val="000000" w:themeColor="text1"/>
              <w:sz w:val="28"/>
              <w:szCs w:val="28"/>
            </w:rPr>
            <w:t>學習技職及中文；提高優質外勞留臺誘因。</w:t>
          </w:r>
        </w:p>
        <w:p w:rsidR="009021C4" w:rsidRPr="00C77E77" w:rsidRDefault="009021C4" w:rsidP="00D322D0">
          <w:pPr>
            <w:spacing w:line="360" w:lineRule="auto"/>
            <w:ind w:rightChars="-24" w:right="-58"/>
            <w:jc w:val="both"/>
            <w:rPr>
              <w:rFonts w:ascii="Times New Roman" w:eastAsia="標楷體" w:hAnsi="Times New Roman" w:cs="Times New Roman"/>
              <w:bCs/>
              <w:sz w:val="48"/>
              <w:szCs w:val="48"/>
            </w:rPr>
          </w:pPr>
        </w:p>
        <w:p w:rsidR="009021C4" w:rsidRPr="00C77E77" w:rsidRDefault="009021C4">
          <w:pPr>
            <w:widowControl/>
            <w:rPr>
              <w:rFonts w:ascii="Times New Roman" w:eastAsia="標楷體" w:hAnsi="Times New Roman" w:cs="Times New Roman"/>
              <w:bCs/>
              <w:sz w:val="48"/>
              <w:szCs w:val="48"/>
            </w:rPr>
          </w:pPr>
        </w:p>
        <w:p w:rsidR="00213488" w:rsidRPr="00C77E77" w:rsidRDefault="00213488" w:rsidP="00246FBB">
          <w:pPr>
            <w:spacing w:line="560" w:lineRule="exact"/>
            <w:ind w:leftChars="707" w:left="1697" w:firstLine="2"/>
            <w:rPr>
              <w:rFonts w:ascii="Times New Roman" w:eastAsia="標楷體" w:hAnsi="Times New Roman" w:cs="Times New Roman"/>
              <w:sz w:val="32"/>
              <w:szCs w:val="32"/>
            </w:rPr>
          </w:pPr>
        </w:p>
        <w:p w:rsidR="00B915C9" w:rsidRPr="00C77E77" w:rsidRDefault="00B915C9" w:rsidP="00B915C9">
          <w:pPr>
            <w:tabs>
              <w:tab w:val="left" w:pos="-120"/>
            </w:tabs>
            <w:kinsoku w:val="0"/>
            <w:autoSpaceDE w:val="0"/>
            <w:autoSpaceDN w:val="0"/>
            <w:spacing w:line="360" w:lineRule="auto"/>
            <w:ind w:left="540" w:hanging="540"/>
            <w:jc w:val="both"/>
            <w:textAlignment w:val="center"/>
            <w:rPr>
              <w:rFonts w:ascii="Times New Roman" w:eastAsia="標楷體" w:hAnsi="Times New Roman" w:cs="Times New Roman"/>
              <w:sz w:val="28"/>
              <w:szCs w:val="28"/>
            </w:rPr>
          </w:pPr>
        </w:p>
        <w:p w:rsidR="00213488" w:rsidRPr="00C77E77" w:rsidRDefault="00213488" w:rsidP="00213488">
          <w:pPr>
            <w:jc w:val="center"/>
            <w:rPr>
              <w:rFonts w:ascii="Times New Roman" w:eastAsia="標楷體" w:hAnsi="Times New Roman" w:cs="Times New Roman"/>
            </w:rPr>
          </w:pPr>
        </w:p>
        <w:p w:rsidR="00C720DE" w:rsidRPr="00C77E77" w:rsidRDefault="00C720DE">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B915C9" w:rsidRPr="00C77E77" w:rsidRDefault="001A77E5" w:rsidP="00F1320B">
          <w:pPr>
            <w:tabs>
              <w:tab w:val="left" w:pos="-120"/>
            </w:tabs>
            <w:kinsoku w:val="0"/>
            <w:autoSpaceDE w:val="0"/>
            <w:autoSpaceDN w:val="0"/>
            <w:spacing w:beforeLines="50" w:before="180" w:afterLines="50" w:after="180" w:line="500" w:lineRule="exact"/>
            <w:ind w:left="540" w:hanging="540"/>
            <w:jc w:val="center"/>
            <w:textAlignment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lastRenderedPageBreak/>
            <w:t>Abstract</w:t>
          </w:r>
        </w:p>
        <w:p w:rsidR="001A77E5" w:rsidRPr="00C77E77" w:rsidRDefault="001A77E5" w:rsidP="00CE4191">
          <w:pPr>
            <w:tabs>
              <w:tab w:val="left" w:pos="-120"/>
            </w:tabs>
            <w:kinsoku w:val="0"/>
            <w:autoSpaceDE w:val="0"/>
            <w:autoSpaceDN w:val="0"/>
            <w:spacing w:beforeLines="50" w:before="180"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In order to make suggestions for “New-Southbound Policy”, this project holistically surveyed “New-Southbound” countries and our “10+2” industrial policies. First, we comprehensively analyzed the politics, economics, social and trading conditions in Southeast Asia and India. Second, we examined our government’s “10+2” industrial policies, which are e-commerce, new agriculture, and the top 10 Turnkey Solutions (System Integration Solution Export) including electronic toll collection (ETC), the green transportation, smart logistics, smart health, smart campus, e-government, LED lighting, cloud systems, petrochemical, and solar power. Third, we evaluated the opportunities and challenges of development and cooperation on “10+2” industries with the New-Southbound countries. Finally, we develop suggestions and win-win strategies for our government on "New Southbound Policy”.</w:t>
          </w:r>
        </w:p>
        <w:p w:rsidR="001A77E5" w:rsidRPr="00C77E77" w:rsidRDefault="002B1F6C" w:rsidP="00F1320B">
          <w:pPr>
            <w:tabs>
              <w:tab w:val="left" w:pos="-120"/>
            </w:tabs>
            <w:kinsoku w:val="0"/>
            <w:autoSpaceDE w:val="0"/>
            <w:autoSpaceDN w:val="0"/>
            <w:spacing w:beforeLines="50" w:before="180" w:afterLines="50" w:after="180" w:line="500" w:lineRule="exact"/>
            <w:jc w:val="both"/>
            <w:textAlignment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fldChar w:fldCharType="begin"/>
          </w:r>
          <w:r w:rsidRPr="00C77E77">
            <w:rPr>
              <w:rFonts w:ascii="Times New Roman" w:eastAsia="標楷體" w:hAnsi="Times New Roman" w:cs="Times New Roman"/>
              <w:b/>
              <w:sz w:val="28"/>
              <w:szCs w:val="28"/>
            </w:rPr>
            <w:instrText xml:space="preserve"> = 1 \* ROMAN </w:instrText>
          </w:r>
          <w:r w:rsidRPr="00C77E77">
            <w:rPr>
              <w:rFonts w:ascii="Times New Roman" w:eastAsia="標楷體" w:hAnsi="Times New Roman" w:cs="Times New Roman"/>
              <w:b/>
              <w:sz w:val="28"/>
              <w:szCs w:val="28"/>
            </w:rPr>
            <w:fldChar w:fldCharType="separate"/>
          </w:r>
          <w:r w:rsidRPr="00C77E77">
            <w:rPr>
              <w:rFonts w:ascii="Times New Roman" w:eastAsia="標楷體" w:hAnsi="Times New Roman" w:cs="Times New Roman"/>
              <w:b/>
              <w:noProof/>
              <w:sz w:val="28"/>
              <w:szCs w:val="28"/>
            </w:rPr>
            <w:t>I</w:t>
          </w:r>
          <w:r w:rsidRPr="00C77E77">
            <w:rPr>
              <w:rFonts w:ascii="Times New Roman" w:eastAsia="標楷體" w:hAnsi="Times New Roman" w:cs="Times New Roman"/>
              <w:b/>
              <w:sz w:val="28"/>
              <w:szCs w:val="28"/>
            </w:rPr>
            <w:fldChar w:fldCharType="end"/>
          </w:r>
          <w:r w:rsidRPr="00C77E77">
            <w:rPr>
              <w:rFonts w:ascii="Times New Roman" w:eastAsia="標楷體" w:hAnsi="Times New Roman" w:cs="Times New Roman"/>
              <w:b/>
              <w:sz w:val="28"/>
              <w:szCs w:val="28"/>
            </w:rPr>
            <w:t>. Overall suggestions on “10+2” industries toward the South</w:t>
          </w:r>
        </w:p>
        <w:p w:rsidR="002B1F6C" w:rsidRPr="00C77E77" w:rsidRDefault="002B1F6C" w:rsidP="00CE4191">
          <w:pPr>
            <w:tabs>
              <w:tab w:val="left" w:pos="-120"/>
            </w:tabs>
            <w:kinsoku w:val="0"/>
            <w:autoSpaceDE w:val="0"/>
            <w:autoSpaceDN w:val="0"/>
            <w:spacing w:beforeLines="50" w:before="180"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The development of local politics, economic, and cultural among Southeast Asian countries and India are quite different. To facilitate policy follow-up and promotion, the output of the "10 + 2" industry needs to consider the preconditions in these countries, such as power supply, the integrity of the supply chain, industrial environment, local political and economic situation.</w:t>
          </w:r>
        </w:p>
        <w:p w:rsidR="002B1F6C" w:rsidRPr="00C77E77" w:rsidRDefault="002B1F6C" w:rsidP="00CE4191">
          <w:pPr>
            <w:tabs>
              <w:tab w:val="left" w:pos="-120"/>
            </w:tabs>
            <w:kinsoku w:val="0"/>
            <w:autoSpaceDE w:val="0"/>
            <w:autoSpaceDN w:val="0"/>
            <w:spacing w:beforeLines="50" w:before="180"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The distinguishing feature of Turnkey Solutions is it covers upstream and downstream industries. The System Integration Solution are going to motivative many enterprises. Therefore, it is very important to enhance strength and image of Taiwanese products.</w:t>
          </w:r>
        </w:p>
        <w:p w:rsidR="002B1F6C" w:rsidRPr="00C77E77" w:rsidRDefault="002B1F6C" w:rsidP="00CE4191">
          <w:pPr>
            <w:tabs>
              <w:tab w:val="left" w:pos="-120"/>
            </w:tabs>
            <w:kinsoku w:val="0"/>
            <w:autoSpaceDE w:val="0"/>
            <w:autoSpaceDN w:val="0"/>
            <w:spacing w:beforeLines="50" w:before="180"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The suggestions are the followings. First, we need to make consensus and focus on highlights industries. Since governmental resources are limited, the developmental strategies should focus on specific large industries. We could start </w:t>
          </w:r>
          <w:r w:rsidRPr="00C77E77">
            <w:rPr>
              <w:rFonts w:ascii="Times New Roman" w:eastAsia="標楷體" w:hAnsi="Times New Roman" w:cs="Times New Roman"/>
              <w:sz w:val="28"/>
              <w:szCs w:val="28"/>
            </w:rPr>
            <w:lastRenderedPageBreak/>
            <w:t>by demonstration area/reference site in Taiwan, then the whole Turnkey Solution and relevant enterprises could be led by the dedicated governmental agency to global promotions.</w:t>
          </w:r>
        </w:p>
        <w:p w:rsidR="002B1F6C" w:rsidRPr="00C77E77" w:rsidRDefault="00F81485" w:rsidP="00CE4191">
          <w:pPr>
            <w:tabs>
              <w:tab w:val="left" w:pos="-120"/>
            </w:tabs>
            <w:kinsoku w:val="0"/>
            <w:autoSpaceDE w:val="0"/>
            <w:autoSpaceDN w:val="0"/>
            <w:spacing w:beforeLines="50" w:before="180"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Second, eliminate barriers to market access. Including to eliminate on various tariff and non-tariff barriers, upgrade to the standards of each industry with international standards, provide immediate and comprehensive business and legal information, find a reliable contact, and cooperate with third countries flexibly.</w:t>
          </w:r>
        </w:p>
        <w:p w:rsidR="00F81485" w:rsidRPr="00C77E77" w:rsidRDefault="00833579" w:rsidP="00CE4191">
          <w:pPr>
            <w:tabs>
              <w:tab w:val="left" w:pos="-120"/>
            </w:tabs>
            <w:kinsoku w:val="0"/>
            <w:autoSpaceDE w:val="0"/>
            <w:autoSpaceDN w:val="0"/>
            <w:spacing w:beforeLines="50" w:before="180"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Third, starting from the needs of local countries. "Smart" system integration technologies are applied to reduce risk, improve quality and safety. The solutions are not going to take away jobs from the locals. These are “disruptive innovations”, which will meet the locals' needs on partial functions and cheaper solutions.</w:t>
          </w:r>
        </w:p>
        <w:p w:rsidR="00833579" w:rsidRPr="00C77E77" w:rsidRDefault="00531C02" w:rsidP="00F1320B">
          <w:pPr>
            <w:tabs>
              <w:tab w:val="left" w:pos="-120"/>
            </w:tabs>
            <w:kinsoku w:val="0"/>
            <w:autoSpaceDE w:val="0"/>
            <w:autoSpaceDN w:val="0"/>
            <w:spacing w:beforeLines="50" w:before="180" w:afterLines="50" w:after="180" w:line="500" w:lineRule="exact"/>
            <w:jc w:val="both"/>
            <w:textAlignment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fldChar w:fldCharType="begin"/>
          </w:r>
          <w:r w:rsidRPr="00C77E77">
            <w:rPr>
              <w:rFonts w:ascii="Times New Roman" w:eastAsia="標楷體" w:hAnsi="Times New Roman" w:cs="Times New Roman"/>
              <w:b/>
              <w:sz w:val="28"/>
              <w:szCs w:val="28"/>
            </w:rPr>
            <w:instrText xml:space="preserve"> = 2 \* ROMAN </w:instrText>
          </w:r>
          <w:r w:rsidRPr="00C77E77">
            <w:rPr>
              <w:rFonts w:ascii="Times New Roman" w:eastAsia="標楷體" w:hAnsi="Times New Roman" w:cs="Times New Roman"/>
              <w:b/>
              <w:sz w:val="28"/>
              <w:szCs w:val="28"/>
            </w:rPr>
            <w:fldChar w:fldCharType="separate"/>
          </w:r>
          <w:r w:rsidRPr="00C77E77">
            <w:rPr>
              <w:rFonts w:ascii="Times New Roman" w:eastAsia="標楷體" w:hAnsi="Times New Roman" w:cs="Times New Roman"/>
              <w:b/>
              <w:noProof/>
              <w:sz w:val="28"/>
              <w:szCs w:val="28"/>
            </w:rPr>
            <w:t>II</w:t>
          </w:r>
          <w:r w:rsidRPr="00C77E77">
            <w:rPr>
              <w:rFonts w:ascii="Times New Roman" w:eastAsia="標楷體" w:hAnsi="Times New Roman" w:cs="Times New Roman"/>
              <w:b/>
              <w:sz w:val="28"/>
              <w:szCs w:val="28"/>
            </w:rPr>
            <w:fldChar w:fldCharType="end"/>
          </w:r>
          <w:r w:rsidRPr="00C77E77">
            <w:rPr>
              <w:rFonts w:ascii="Times New Roman" w:eastAsia="標楷體" w:hAnsi="Times New Roman" w:cs="Times New Roman"/>
              <w:b/>
              <w:sz w:val="28"/>
              <w:szCs w:val="28"/>
            </w:rPr>
            <w:t>. Individual suggestions on “10+2” industries toward the South</w:t>
          </w:r>
        </w:p>
        <w:p w:rsidR="001A77E5" w:rsidRPr="00C77E77" w:rsidRDefault="00D74830" w:rsidP="00F1320B">
          <w:pPr>
            <w:tabs>
              <w:tab w:val="left" w:pos="-120"/>
            </w:tabs>
            <w:kinsoku w:val="0"/>
            <w:autoSpaceDE w:val="0"/>
            <w:autoSpaceDN w:val="0"/>
            <w:spacing w:beforeLines="50" w:before="180"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New agriculture</w:t>
          </w:r>
          <w:r w:rsidRPr="00C77E77">
            <w:rPr>
              <w:rFonts w:ascii="Times New Roman" w:eastAsia="標楷體" w:hAnsi="Times New Roman" w:cs="Times New Roman"/>
              <w:sz w:val="28"/>
              <w:szCs w:val="28"/>
            </w:rPr>
            <w:t>: Figure out our agricultural products with export advantages. To survey agricultural policies of Southbound countries with specific national sponsors. To actively participate in exhibitions and get halal certification. To make linkage with “smart machinery” and “new agricultural” from current “5+2” industrial policy in Taiwan.</w:t>
          </w:r>
        </w:p>
        <w:p w:rsidR="00D0077C" w:rsidRPr="00C77E77" w:rsidRDefault="00D0077C"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E-commerce</w:t>
          </w:r>
          <w:r w:rsidRPr="00C77E77">
            <w:rPr>
              <w:rFonts w:ascii="Times New Roman" w:eastAsia="標楷體" w:hAnsi="Times New Roman" w:cs="Times New Roman"/>
              <w:sz w:val="28"/>
              <w:szCs w:val="28"/>
            </w:rPr>
            <w:t xml:space="preserve">: </w:t>
          </w:r>
          <w:r w:rsidR="00B263CD" w:rsidRPr="00C77E77">
            <w:rPr>
              <w:rFonts w:ascii="Times New Roman" w:eastAsia="標楷體" w:hAnsi="Times New Roman" w:cs="Times New Roman"/>
              <w:sz w:val="28"/>
              <w:szCs w:val="28"/>
            </w:rPr>
            <w:t xml:space="preserve">Since the domestic markets are not large enough, we should survey the online markets in emerging countries and reach international markets. </w:t>
          </w:r>
          <w:r w:rsidRPr="00C77E77">
            <w:rPr>
              <w:rFonts w:ascii="Times New Roman" w:eastAsia="標楷體" w:hAnsi="Times New Roman" w:cs="Times New Roman"/>
              <w:sz w:val="28"/>
              <w:szCs w:val="28"/>
            </w:rPr>
            <w:t>We should survey the online markets in emerging countries. The survey includes consumer behavior, industry trending. Also, we have to train marketing talents for cross-border e-commerce.</w:t>
          </w:r>
        </w:p>
        <w:p w:rsidR="00D0077C" w:rsidRPr="00C77E77" w:rsidRDefault="00FC5D43"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Electronic toll collection</w:t>
          </w:r>
          <w:r w:rsidRPr="00C77E77">
            <w:rPr>
              <w:rFonts w:ascii="Times New Roman" w:eastAsia="標楷體" w:hAnsi="Times New Roman" w:cs="Times New Roman"/>
              <w:sz w:val="28"/>
              <w:szCs w:val="28"/>
            </w:rPr>
            <w:t xml:space="preserve">: To bid government projects of constructions in those countries with better infrastructure like public roads and electricity </w:t>
          </w:r>
          <w:r w:rsidRPr="00C77E77">
            <w:rPr>
              <w:rFonts w:ascii="Times New Roman" w:eastAsia="標楷體" w:hAnsi="Times New Roman" w:cs="Times New Roman"/>
              <w:sz w:val="28"/>
              <w:szCs w:val="28"/>
            </w:rPr>
            <w:lastRenderedPageBreak/>
            <w:t>networks. These countries might be Malaysia, Thailand, Indonesia, Philippines, Vietnam, and Brunei. It is feasible to adopt manual and electronic charging at the same time.</w:t>
          </w:r>
        </w:p>
        <w:p w:rsidR="00947211" w:rsidRPr="00C77E77" w:rsidRDefault="00947211"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Smart campus</w:t>
          </w:r>
          <w:r w:rsidRPr="00C77E77">
            <w:rPr>
              <w:rFonts w:ascii="Times New Roman" w:eastAsia="標楷體" w:hAnsi="Times New Roman" w:cs="Times New Roman"/>
              <w:sz w:val="28"/>
              <w:szCs w:val="28"/>
            </w:rPr>
            <w:t xml:space="preserve">: </w:t>
          </w:r>
          <w:r w:rsidR="00B263CD" w:rsidRPr="00C77E77">
            <w:rPr>
              <w:rFonts w:ascii="Times New Roman" w:eastAsia="標楷體" w:hAnsi="Times New Roman" w:cs="Times New Roman"/>
              <w:sz w:val="28"/>
              <w:szCs w:val="28"/>
            </w:rPr>
            <w:t xml:space="preserve">The international education industry is based on an understanding of cultures and languages. </w:t>
          </w:r>
          <w:r w:rsidRPr="00C77E77">
            <w:rPr>
              <w:rFonts w:ascii="Times New Roman" w:eastAsia="標楷體" w:hAnsi="Times New Roman" w:cs="Times New Roman"/>
              <w:sz w:val="28"/>
              <w:szCs w:val="28"/>
            </w:rPr>
            <w:t>Starting by demonstration area/reference site in Taiwan. Meanwhile, select a suitable site in southbound countries for sample layout.</w:t>
          </w:r>
        </w:p>
        <w:p w:rsidR="00947211" w:rsidRPr="00C77E77" w:rsidRDefault="00947211"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E-government</w:t>
          </w:r>
          <w:r w:rsidRPr="00C77E77">
            <w:rPr>
              <w:rFonts w:ascii="Times New Roman" w:eastAsia="標楷體" w:hAnsi="Times New Roman" w:cs="Times New Roman"/>
              <w:sz w:val="28"/>
              <w:szCs w:val="28"/>
            </w:rPr>
            <w:t>: Since e-government involves political issues, Taiwan can make demonstration first, then try to cooperate with the ASEAN and India's governments, in order to improve administrative efficiency and transparency of information.</w:t>
          </w:r>
          <w:r w:rsidR="00B263CD" w:rsidRPr="00C77E77">
            <w:rPr>
              <w:rFonts w:ascii="Times New Roman" w:eastAsia="標楷體" w:hAnsi="Times New Roman" w:cs="Times New Roman"/>
              <w:sz w:val="28"/>
              <w:szCs w:val="28"/>
            </w:rPr>
            <w:t xml:space="preserve"> It is also important to note that our businesses should protect their intellectual property and know-how.</w:t>
          </w:r>
        </w:p>
        <w:p w:rsidR="00947211" w:rsidRPr="00C77E77" w:rsidRDefault="00B83BBA"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Smart logistics</w:t>
          </w:r>
          <w:r w:rsidRPr="00C77E77">
            <w:rPr>
              <w:rFonts w:ascii="Times New Roman" w:eastAsia="標楷體" w:hAnsi="Times New Roman" w:cs="Times New Roman"/>
              <w:sz w:val="28"/>
              <w:szCs w:val="28"/>
            </w:rPr>
            <w:t xml:space="preserve">: </w:t>
          </w:r>
          <w:r w:rsidR="00B263CD" w:rsidRPr="00C77E77">
            <w:rPr>
              <w:rFonts w:ascii="Times New Roman" w:eastAsia="標楷體" w:hAnsi="Times New Roman" w:cs="Times New Roman"/>
              <w:sz w:val="28"/>
              <w:szCs w:val="28"/>
            </w:rPr>
            <w:t xml:space="preserve">Because Taiwan's domestic logistics market is too small, we should use online marketing to enter international logistics system. </w:t>
          </w:r>
          <w:r w:rsidRPr="00C77E77">
            <w:rPr>
              <w:rFonts w:ascii="Times New Roman" w:eastAsia="標楷體" w:hAnsi="Times New Roman" w:cs="Times New Roman"/>
              <w:sz w:val="28"/>
              <w:szCs w:val="28"/>
            </w:rPr>
            <w:t>Our government can make dem</w:t>
          </w:r>
          <w:r w:rsidR="00B263CD" w:rsidRPr="00C77E77">
            <w:rPr>
              <w:rFonts w:ascii="Times New Roman" w:eastAsia="標楷體" w:hAnsi="Times New Roman" w:cs="Times New Roman"/>
              <w:sz w:val="28"/>
              <w:szCs w:val="28"/>
            </w:rPr>
            <w:t>onstration area in Taiwan first to show our strength and invite the companies and officials in ASEAN and India to visit.</w:t>
          </w:r>
        </w:p>
        <w:p w:rsidR="00B83BBA" w:rsidRPr="00C77E77" w:rsidRDefault="00C7364E"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Cloud system</w:t>
          </w:r>
          <w:r w:rsidRPr="00C77E77">
            <w:rPr>
              <w:rFonts w:ascii="Times New Roman" w:eastAsia="標楷體" w:hAnsi="Times New Roman" w:cs="Times New Roman"/>
              <w:sz w:val="28"/>
              <w:szCs w:val="28"/>
            </w:rPr>
            <w:t xml:space="preserve">: </w:t>
          </w:r>
          <w:r w:rsidR="00B263CD" w:rsidRPr="00C77E77">
            <w:rPr>
              <w:rFonts w:ascii="Times New Roman" w:eastAsia="標楷體" w:hAnsi="Times New Roman" w:cs="Times New Roman"/>
              <w:sz w:val="28"/>
              <w:szCs w:val="28"/>
            </w:rPr>
            <w:t xml:space="preserve">To enter the emerging market, </w:t>
          </w:r>
          <w:r w:rsidRPr="00C77E77">
            <w:rPr>
              <w:rFonts w:ascii="Times New Roman" w:eastAsia="標楷體" w:hAnsi="Times New Roman" w:cs="Times New Roman"/>
              <w:sz w:val="28"/>
              <w:szCs w:val="28"/>
            </w:rPr>
            <w:t>For those countries with relatively stable power supply, better regional networking and bandwidth quality, higher development of e-government, we could develop cross-industry alliance and customized services.</w:t>
          </w:r>
        </w:p>
        <w:p w:rsidR="00C7364E" w:rsidRPr="00C77E77" w:rsidRDefault="006E6EEE"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Smart health</w:t>
          </w:r>
          <w:r w:rsidRPr="00C77E77">
            <w:rPr>
              <w:rFonts w:ascii="Times New Roman" w:eastAsia="標楷體" w:hAnsi="Times New Roman" w:cs="Times New Roman"/>
              <w:sz w:val="28"/>
              <w:szCs w:val="28"/>
            </w:rPr>
            <w:t xml:space="preserve">: </w:t>
          </w:r>
          <w:r w:rsidR="00B263CD" w:rsidRPr="00C77E77">
            <w:rPr>
              <w:rFonts w:ascii="Times New Roman" w:eastAsia="標楷體" w:hAnsi="Times New Roman" w:cs="Times New Roman"/>
              <w:sz w:val="28"/>
              <w:szCs w:val="28"/>
            </w:rPr>
            <w:t xml:space="preserve">In developing countries, there are plenty of business potentials in Medical tourism and medical equipment. </w:t>
          </w:r>
          <w:r w:rsidRPr="00C77E77">
            <w:rPr>
              <w:rFonts w:ascii="Times New Roman" w:eastAsia="標楷體" w:hAnsi="Times New Roman" w:cs="Times New Roman"/>
              <w:sz w:val="28"/>
              <w:szCs w:val="28"/>
            </w:rPr>
            <w:t>We could promote bilateral medical tourism with India. And promote health food and beauty care products with Thailand.</w:t>
          </w:r>
        </w:p>
        <w:p w:rsidR="006E6EEE" w:rsidRPr="00C77E77" w:rsidRDefault="005E767E"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Solar energy</w:t>
          </w:r>
          <w:r w:rsidRPr="00C77E77">
            <w:rPr>
              <w:rFonts w:ascii="Times New Roman" w:eastAsia="標楷體" w:hAnsi="Times New Roman" w:cs="Times New Roman"/>
              <w:sz w:val="28"/>
              <w:szCs w:val="28"/>
            </w:rPr>
            <w:t xml:space="preserve">: </w:t>
          </w:r>
          <w:r w:rsidR="00B263CD" w:rsidRPr="00C77E77">
            <w:rPr>
              <w:rFonts w:ascii="Times New Roman" w:eastAsia="標楷體" w:hAnsi="Times New Roman" w:cs="Times New Roman"/>
              <w:sz w:val="28"/>
              <w:szCs w:val="28"/>
            </w:rPr>
            <w:t>To avoid losses and earn sufficient profits, o</w:t>
          </w:r>
          <w:r w:rsidRPr="00C77E77">
            <w:rPr>
              <w:rFonts w:ascii="Times New Roman" w:eastAsia="標楷體" w:hAnsi="Times New Roman" w:cs="Times New Roman"/>
              <w:sz w:val="28"/>
              <w:szCs w:val="28"/>
            </w:rPr>
            <w:t>ur government could provide relevant information, and to help Taiwanese enterprises to get financial services.</w:t>
          </w:r>
          <w:r w:rsidR="00B263CD" w:rsidRPr="00C77E77">
            <w:rPr>
              <w:rFonts w:ascii="Times New Roman" w:eastAsia="標楷體" w:hAnsi="Times New Roman" w:cs="Times New Roman"/>
              <w:sz w:val="28"/>
              <w:szCs w:val="28"/>
            </w:rPr>
            <w:t xml:space="preserve"> It is also important to speed up the signing of Free Trade </w:t>
          </w:r>
          <w:r w:rsidR="00B263CD" w:rsidRPr="00C77E77">
            <w:rPr>
              <w:rFonts w:ascii="Times New Roman" w:eastAsia="標楷體" w:hAnsi="Times New Roman" w:cs="Times New Roman"/>
              <w:sz w:val="28"/>
              <w:szCs w:val="28"/>
            </w:rPr>
            <w:lastRenderedPageBreak/>
            <w:t>Agreement with the ASEAN and India's governments.</w:t>
          </w:r>
        </w:p>
        <w:p w:rsidR="005E767E" w:rsidRPr="00C77E77" w:rsidRDefault="009479D1"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LED</w:t>
          </w:r>
          <w:r w:rsidRPr="00C77E77">
            <w:rPr>
              <w:rFonts w:ascii="Times New Roman" w:eastAsia="標楷體" w:hAnsi="Times New Roman" w:cs="Times New Roman"/>
              <w:sz w:val="28"/>
              <w:szCs w:val="28"/>
            </w:rPr>
            <w:t xml:space="preserve">: </w:t>
          </w:r>
          <w:r w:rsidR="00B263CD" w:rsidRPr="00C77E77">
            <w:rPr>
              <w:rFonts w:ascii="Times New Roman" w:eastAsia="標楷體" w:hAnsi="Times New Roman" w:cs="Times New Roman"/>
              <w:sz w:val="28"/>
              <w:szCs w:val="28"/>
            </w:rPr>
            <w:t xml:space="preserve">Taiwan’s LED Street lights and LED automotive lighting modules are highly competitive in the ASEAN and India markets. </w:t>
          </w:r>
          <w:r w:rsidRPr="00C77E77">
            <w:rPr>
              <w:rFonts w:ascii="Times New Roman" w:eastAsia="標楷體" w:hAnsi="Times New Roman" w:cs="Times New Roman"/>
              <w:sz w:val="28"/>
              <w:szCs w:val="28"/>
            </w:rPr>
            <w:t>Our government could assist Taiwanese enterprises to get familiar with local laws and regulations, and help them bid for government projects.</w:t>
          </w:r>
        </w:p>
        <w:p w:rsidR="009479D1" w:rsidRPr="00C77E77" w:rsidRDefault="009479D1"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Green transportation</w:t>
          </w:r>
          <w:r w:rsidRPr="00C77E77">
            <w:rPr>
              <w:rFonts w:ascii="Times New Roman" w:eastAsia="標楷體" w:hAnsi="Times New Roman" w:cs="Times New Roman"/>
              <w:sz w:val="28"/>
              <w:szCs w:val="28"/>
            </w:rPr>
            <w:t xml:space="preserve">: </w:t>
          </w:r>
          <w:r w:rsidR="00507B5E" w:rsidRPr="00C77E77">
            <w:rPr>
              <w:rFonts w:ascii="Times New Roman" w:eastAsia="標楷體" w:hAnsi="Times New Roman" w:cs="Times New Roman"/>
              <w:sz w:val="28"/>
              <w:szCs w:val="28"/>
            </w:rPr>
            <w:t xml:space="preserve">Taiwan’s electric motorcycles and electric bicycles are highly competitive in the ASEAN and India markets. </w:t>
          </w:r>
          <w:r w:rsidRPr="00C77E77">
            <w:rPr>
              <w:rFonts w:ascii="Times New Roman" w:eastAsia="標楷體" w:hAnsi="Times New Roman" w:cs="Times New Roman"/>
              <w:sz w:val="28"/>
              <w:szCs w:val="28"/>
            </w:rPr>
            <w:t>Our government could help manufacturers to form transnational supply chain of electric vehicle industry.</w:t>
          </w:r>
        </w:p>
        <w:p w:rsidR="009479D1" w:rsidRPr="00C77E77" w:rsidRDefault="0003755E" w:rsidP="00CE4191">
          <w:pPr>
            <w:tabs>
              <w:tab w:val="left" w:pos="-120"/>
            </w:tabs>
            <w:kinsoku w:val="0"/>
            <w:autoSpaceDE w:val="0"/>
            <w:autoSpaceDN w:val="0"/>
            <w:spacing w:line="500" w:lineRule="exact"/>
            <w:ind w:firstLineChars="202" w:firstLine="566"/>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b/>
              <w:sz w:val="28"/>
              <w:szCs w:val="28"/>
            </w:rPr>
            <w:t>Petrochemical</w:t>
          </w:r>
          <w:r w:rsidRPr="00C77E77">
            <w:rPr>
              <w:rFonts w:ascii="Times New Roman" w:eastAsia="標楷體" w:hAnsi="Times New Roman" w:cs="Times New Roman"/>
              <w:sz w:val="28"/>
              <w:szCs w:val="28"/>
            </w:rPr>
            <w:t xml:space="preserve">: </w:t>
          </w:r>
          <w:r w:rsidR="00507B5E" w:rsidRPr="00C77E77">
            <w:rPr>
              <w:rFonts w:ascii="Times New Roman" w:eastAsia="標楷體" w:hAnsi="Times New Roman" w:cs="Times New Roman"/>
              <w:sz w:val="28"/>
              <w:szCs w:val="28"/>
            </w:rPr>
            <w:t xml:space="preserve">The circular economy aims to eradicate waste throughout the life cycles and uses of products and their components. </w:t>
          </w:r>
          <w:r w:rsidRPr="00C77E77">
            <w:rPr>
              <w:rFonts w:ascii="Times New Roman" w:eastAsia="標楷體" w:hAnsi="Times New Roman" w:cs="Times New Roman"/>
              <w:sz w:val="28"/>
              <w:szCs w:val="28"/>
            </w:rPr>
            <w:t>Our government could speed up the signing of tariff reductions and other relevant cooperation agreements.</w:t>
          </w:r>
        </w:p>
        <w:p w:rsidR="0003755E" w:rsidRPr="00C77E77" w:rsidRDefault="00470100" w:rsidP="00F1320B">
          <w:pPr>
            <w:tabs>
              <w:tab w:val="left" w:pos="-120"/>
            </w:tabs>
            <w:kinsoku w:val="0"/>
            <w:autoSpaceDE w:val="0"/>
            <w:autoSpaceDN w:val="0"/>
            <w:spacing w:beforeLines="50" w:before="180" w:afterLines="50" w:after="180" w:line="500" w:lineRule="exact"/>
            <w:jc w:val="both"/>
            <w:textAlignment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fldChar w:fldCharType="begin"/>
          </w:r>
          <w:r w:rsidRPr="00C77E77">
            <w:rPr>
              <w:rFonts w:ascii="Times New Roman" w:eastAsia="標楷體" w:hAnsi="Times New Roman" w:cs="Times New Roman"/>
              <w:b/>
              <w:sz w:val="28"/>
              <w:szCs w:val="28"/>
            </w:rPr>
            <w:instrText xml:space="preserve"> = 3 \* ROMAN </w:instrText>
          </w:r>
          <w:r w:rsidRPr="00C77E77">
            <w:rPr>
              <w:rFonts w:ascii="Times New Roman" w:eastAsia="標楷體" w:hAnsi="Times New Roman" w:cs="Times New Roman"/>
              <w:b/>
              <w:sz w:val="28"/>
              <w:szCs w:val="28"/>
            </w:rPr>
            <w:fldChar w:fldCharType="separate"/>
          </w:r>
          <w:r w:rsidRPr="00C77E77">
            <w:rPr>
              <w:rFonts w:ascii="Times New Roman" w:eastAsia="標楷體" w:hAnsi="Times New Roman" w:cs="Times New Roman"/>
              <w:b/>
              <w:noProof/>
              <w:sz w:val="28"/>
              <w:szCs w:val="28"/>
            </w:rPr>
            <w:t>III</w:t>
          </w:r>
          <w:r w:rsidRPr="00C77E77">
            <w:rPr>
              <w:rFonts w:ascii="Times New Roman" w:eastAsia="標楷體" w:hAnsi="Times New Roman" w:cs="Times New Roman"/>
              <w:b/>
              <w:sz w:val="28"/>
              <w:szCs w:val="28"/>
            </w:rPr>
            <w:fldChar w:fldCharType="end"/>
          </w:r>
          <w:r w:rsidRPr="00C77E77">
            <w:rPr>
              <w:rFonts w:ascii="Times New Roman" w:eastAsia="標楷體" w:hAnsi="Times New Roman" w:cs="Times New Roman"/>
              <w:b/>
              <w:sz w:val="28"/>
              <w:szCs w:val="28"/>
            </w:rPr>
            <w:t>. Other suggestions on New-southbound Policy</w:t>
          </w:r>
        </w:p>
        <w:p w:rsidR="00003B33" w:rsidRPr="00C77E77" w:rsidRDefault="00176607" w:rsidP="00CE4191">
          <w:pPr>
            <w:tabs>
              <w:tab w:val="left" w:pos="-120"/>
            </w:tabs>
            <w:kinsoku w:val="0"/>
            <w:autoSpaceDE w:val="0"/>
            <w:autoSpaceDN w:val="0"/>
            <w:spacing w:beforeLines="50" w:before="180" w:line="500" w:lineRule="exact"/>
            <w:jc w:val="both"/>
            <w:textAlignment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ab/>
          </w:r>
          <w:r w:rsidR="00003B33" w:rsidRPr="00C77E77">
            <w:rPr>
              <w:rFonts w:ascii="Times New Roman" w:eastAsia="標楷體" w:hAnsi="Times New Roman" w:cs="Times New Roman"/>
              <w:sz w:val="28"/>
              <w:szCs w:val="28"/>
            </w:rPr>
            <w:t xml:space="preserve">First, the issues and types of cooperation should be a wide range and multivariate, such as infrastructure development and cultural diplomacy. We could help set the standard for agriculture, education and health infrastructures in Myanmar, Laos and Cambodia. With India and Vietnam, we can cooperate in the national defense programs, monitor systems and wireless networks. We can also cooperate with China in its high-speed rail building. Second, the survey on business information should be strengthened. We could translate publications about the ASEAN and India from other countries to analysis and participate in global production chains. It is also important to enhance the influence of Taiwanese Chambers of Commerce. Third, our government could build a talent pool of professionals to enrich our human resources. Encouraging the ASEAN and India people to learn Chinese or technology in Taiwan. Creating incentive plans to </w:t>
          </w:r>
          <w:r w:rsidR="00C8117F" w:rsidRPr="00C77E77">
            <w:rPr>
              <w:rFonts w:ascii="Times New Roman" w:eastAsia="標楷體" w:hAnsi="Times New Roman" w:cs="Times New Roman"/>
              <w:sz w:val="28"/>
              <w:szCs w:val="28"/>
            </w:rPr>
            <w:t>motivate outstanding talents to live and work</w:t>
          </w:r>
          <w:r w:rsidR="00003B33" w:rsidRPr="00C77E77">
            <w:rPr>
              <w:rFonts w:ascii="Times New Roman" w:eastAsia="標楷體" w:hAnsi="Times New Roman" w:cs="Times New Roman"/>
              <w:sz w:val="28"/>
              <w:szCs w:val="28"/>
            </w:rPr>
            <w:t xml:space="preserve"> in Taiwan.</w:t>
          </w:r>
        </w:p>
        <w:p w:rsidR="00003B33" w:rsidRPr="00C77E77" w:rsidRDefault="00003B33" w:rsidP="00003B33">
          <w:pPr>
            <w:rPr>
              <w:rFonts w:ascii="Times New Roman" w:eastAsia="標楷體" w:hAnsi="Times New Roman" w:cs="Times New Roman"/>
              <w:b/>
              <w:sz w:val="40"/>
              <w:szCs w:val="40"/>
            </w:rPr>
            <w:sectPr w:rsidR="00003B33" w:rsidRPr="00C77E77" w:rsidSect="006F5CFF">
              <w:footerReference w:type="default" r:id="rId8"/>
              <w:type w:val="oddPage"/>
              <w:pgSz w:w="11906" w:h="16838"/>
              <w:pgMar w:top="1440" w:right="1276" w:bottom="1440" w:left="1418" w:header="851" w:footer="992" w:gutter="0"/>
              <w:pgNumType w:start="0"/>
              <w:cols w:space="425"/>
              <w:titlePg/>
              <w:docGrid w:type="lines" w:linePitch="360"/>
            </w:sectPr>
          </w:pPr>
        </w:p>
        <w:p w:rsidR="006F5CFF" w:rsidRPr="00C77E77" w:rsidRDefault="00296773" w:rsidP="006859D5">
          <w:pPr>
            <w:rPr>
              <w:rFonts w:ascii="Times New Roman" w:eastAsia="標楷體" w:hAnsi="Times New Roman" w:cs="Times New Roman"/>
              <w:szCs w:val="24"/>
            </w:rPr>
          </w:pPr>
        </w:p>
      </w:sdtContent>
    </w:sdt>
    <w:p w:rsidR="002D5ACE" w:rsidRPr="00296773" w:rsidRDefault="001A3731" w:rsidP="00296773">
      <w:pPr>
        <w:widowControl/>
        <w:jc w:val="center"/>
        <w:rPr>
          <w:rFonts w:ascii="Times New Roman" w:eastAsia="標楷體" w:hAnsi="Times New Roman" w:cs="Times New Roman"/>
          <w:b/>
          <w:sz w:val="36"/>
          <w:szCs w:val="36"/>
        </w:rPr>
      </w:pPr>
      <w:r w:rsidRPr="00296773">
        <w:rPr>
          <w:rFonts w:ascii="Times New Roman" w:eastAsia="標楷體" w:hAnsi="Times New Roman" w:cs="Times New Roman"/>
          <w:b/>
          <w:sz w:val="36"/>
          <w:szCs w:val="36"/>
        </w:rPr>
        <w:t>目錄</w:t>
      </w:r>
    </w:p>
    <w:p w:rsidR="006859D5" w:rsidRPr="006859D5" w:rsidRDefault="002D5ACE" w:rsidP="006859D5">
      <w:pPr>
        <w:pStyle w:val="11"/>
        <w:rPr>
          <w:rFonts w:asciiTheme="minorHAnsi" w:eastAsiaTheme="minorEastAsia" w:hAnsiTheme="minorHAnsi" w:cstheme="minorBidi"/>
          <w:sz w:val="24"/>
          <w:szCs w:val="24"/>
        </w:rPr>
      </w:pPr>
      <w:r w:rsidRPr="006859D5">
        <w:rPr>
          <w:sz w:val="24"/>
          <w:szCs w:val="24"/>
        </w:rPr>
        <w:fldChar w:fldCharType="begin"/>
      </w:r>
      <w:r w:rsidRPr="006859D5">
        <w:rPr>
          <w:sz w:val="24"/>
          <w:szCs w:val="24"/>
        </w:rPr>
        <w:instrText xml:space="preserve"> TOC \o "1-2" \h \z \u </w:instrText>
      </w:r>
      <w:r w:rsidRPr="006859D5">
        <w:rPr>
          <w:sz w:val="24"/>
          <w:szCs w:val="24"/>
        </w:rPr>
        <w:fldChar w:fldCharType="separate"/>
      </w:r>
      <w:hyperlink w:anchor="_Toc470676306" w:history="1">
        <w:r w:rsidR="006859D5" w:rsidRPr="006859D5">
          <w:rPr>
            <w:rStyle w:val="aa"/>
            <w:rFonts w:hint="eastAsia"/>
            <w:sz w:val="24"/>
            <w:szCs w:val="24"/>
          </w:rPr>
          <w:t>第一章</w:t>
        </w:r>
        <w:r w:rsidR="006859D5" w:rsidRPr="006859D5">
          <w:rPr>
            <w:rStyle w:val="aa"/>
            <w:sz w:val="24"/>
            <w:szCs w:val="24"/>
          </w:rPr>
          <w:t xml:space="preserve"> </w:t>
        </w:r>
        <w:r w:rsidR="006859D5" w:rsidRPr="006859D5">
          <w:rPr>
            <w:rStyle w:val="aa"/>
            <w:rFonts w:hint="eastAsia"/>
            <w:sz w:val="24"/>
            <w:szCs w:val="24"/>
          </w:rPr>
          <w:t>緒論</w:t>
        </w:r>
        <w:r w:rsidR="006859D5" w:rsidRPr="006859D5">
          <w:rPr>
            <w:webHidden/>
            <w:sz w:val="24"/>
            <w:szCs w:val="24"/>
          </w:rPr>
          <w:tab/>
        </w:r>
        <w:r w:rsidR="006859D5" w:rsidRPr="006859D5">
          <w:rPr>
            <w:webHidden/>
            <w:sz w:val="24"/>
            <w:szCs w:val="24"/>
          </w:rPr>
          <w:fldChar w:fldCharType="begin"/>
        </w:r>
        <w:r w:rsidR="006859D5" w:rsidRPr="006859D5">
          <w:rPr>
            <w:webHidden/>
            <w:sz w:val="24"/>
            <w:szCs w:val="24"/>
          </w:rPr>
          <w:instrText xml:space="preserve"> PAGEREF _Toc470676306 \h </w:instrText>
        </w:r>
        <w:r w:rsidR="006859D5" w:rsidRPr="006859D5">
          <w:rPr>
            <w:webHidden/>
            <w:sz w:val="24"/>
            <w:szCs w:val="24"/>
          </w:rPr>
        </w:r>
        <w:r w:rsidR="006859D5" w:rsidRPr="006859D5">
          <w:rPr>
            <w:webHidden/>
            <w:sz w:val="24"/>
            <w:szCs w:val="24"/>
          </w:rPr>
          <w:fldChar w:fldCharType="separate"/>
        </w:r>
        <w:r w:rsidR="006859D5" w:rsidRPr="006859D5">
          <w:rPr>
            <w:webHidden/>
            <w:sz w:val="24"/>
            <w:szCs w:val="24"/>
          </w:rPr>
          <w:t>1</w:t>
        </w:r>
        <w:r w:rsidR="006859D5" w:rsidRPr="006859D5">
          <w:rPr>
            <w:webHidden/>
            <w:sz w:val="24"/>
            <w:szCs w:val="24"/>
          </w:rPr>
          <w:fldChar w:fldCharType="end"/>
        </w:r>
      </w:hyperlink>
    </w:p>
    <w:p w:rsidR="006859D5" w:rsidRPr="006859D5" w:rsidRDefault="006859D5" w:rsidP="006859D5">
      <w:pPr>
        <w:pStyle w:val="21"/>
        <w:rPr>
          <w:noProof/>
        </w:rPr>
      </w:pPr>
      <w:hyperlink w:anchor="_Toc470676307" w:history="1">
        <w:r w:rsidRPr="006859D5">
          <w:rPr>
            <w:rStyle w:val="aa"/>
            <w:rFonts w:ascii="Times New Roman" w:eastAsia="標楷體" w:hAnsi="Times New Roman" w:cs="Times New Roman" w:hint="eastAsia"/>
            <w:noProof/>
            <w:spacing w:val="14"/>
            <w:szCs w:val="24"/>
          </w:rPr>
          <w:t>第一節</w:t>
        </w:r>
        <w:r w:rsidRPr="006859D5">
          <w:rPr>
            <w:noProof/>
          </w:rPr>
          <w:tab/>
        </w:r>
        <w:r w:rsidRPr="006859D5">
          <w:rPr>
            <w:rStyle w:val="aa"/>
            <w:rFonts w:ascii="Times New Roman" w:eastAsia="標楷體" w:hAnsi="Times New Roman" w:cs="Times New Roman" w:hint="eastAsia"/>
            <w:noProof/>
            <w:spacing w:val="14"/>
            <w:szCs w:val="24"/>
          </w:rPr>
          <w:t>研究動機與目的</w:t>
        </w:r>
        <w:r w:rsidRPr="006859D5">
          <w:rPr>
            <w:noProof/>
            <w:webHidden/>
          </w:rPr>
          <w:tab/>
        </w:r>
        <w:r w:rsidRPr="006859D5">
          <w:rPr>
            <w:noProof/>
            <w:webHidden/>
          </w:rPr>
          <w:fldChar w:fldCharType="begin"/>
        </w:r>
        <w:r w:rsidRPr="006859D5">
          <w:rPr>
            <w:noProof/>
            <w:webHidden/>
          </w:rPr>
          <w:instrText xml:space="preserve"> PAGEREF _Toc470676307 \h </w:instrText>
        </w:r>
        <w:r w:rsidRPr="006859D5">
          <w:rPr>
            <w:noProof/>
            <w:webHidden/>
          </w:rPr>
        </w:r>
        <w:r w:rsidRPr="006859D5">
          <w:rPr>
            <w:noProof/>
            <w:webHidden/>
          </w:rPr>
          <w:fldChar w:fldCharType="separate"/>
        </w:r>
        <w:r w:rsidRPr="006859D5">
          <w:rPr>
            <w:noProof/>
            <w:webHidden/>
          </w:rPr>
          <w:t>1</w:t>
        </w:r>
        <w:r w:rsidRPr="006859D5">
          <w:rPr>
            <w:noProof/>
            <w:webHidden/>
          </w:rPr>
          <w:fldChar w:fldCharType="end"/>
        </w:r>
      </w:hyperlink>
    </w:p>
    <w:p w:rsidR="006859D5" w:rsidRPr="006859D5" w:rsidRDefault="006859D5" w:rsidP="006859D5">
      <w:pPr>
        <w:pStyle w:val="21"/>
        <w:rPr>
          <w:noProof/>
        </w:rPr>
      </w:pPr>
      <w:hyperlink w:anchor="_Toc470676308" w:history="1">
        <w:r w:rsidRPr="006859D5">
          <w:rPr>
            <w:rStyle w:val="aa"/>
            <w:rFonts w:ascii="Times New Roman" w:eastAsia="標楷體" w:hAnsi="Times New Roman" w:cs="Times New Roman" w:hint="eastAsia"/>
            <w:noProof/>
            <w:spacing w:val="14"/>
            <w:szCs w:val="24"/>
          </w:rPr>
          <w:t>第二節</w:t>
        </w:r>
        <w:r w:rsidRPr="006859D5">
          <w:rPr>
            <w:noProof/>
          </w:rPr>
          <w:tab/>
        </w:r>
        <w:r w:rsidRPr="006859D5">
          <w:rPr>
            <w:rStyle w:val="aa"/>
            <w:rFonts w:ascii="Times New Roman" w:eastAsia="標楷體" w:hAnsi="Times New Roman" w:cs="Times New Roman" w:hint="eastAsia"/>
            <w:noProof/>
            <w:spacing w:val="14"/>
            <w:szCs w:val="24"/>
          </w:rPr>
          <w:t>研究方法與架構</w:t>
        </w:r>
        <w:r w:rsidRPr="006859D5">
          <w:rPr>
            <w:noProof/>
            <w:webHidden/>
          </w:rPr>
          <w:tab/>
        </w:r>
        <w:r w:rsidRPr="006859D5">
          <w:rPr>
            <w:noProof/>
            <w:webHidden/>
          </w:rPr>
          <w:fldChar w:fldCharType="begin"/>
        </w:r>
        <w:r w:rsidRPr="006859D5">
          <w:rPr>
            <w:noProof/>
            <w:webHidden/>
          </w:rPr>
          <w:instrText xml:space="preserve"> PAGEREF _Toc470676308 \h </w:instrText>
        </w:r>
        <w:r w:rsidRPr="006859D5">
          <w:rPr>
            <w:noProof/>
            <w:webHidden/>
          </w:rPr>
        </w:r>
        <w:r w:rsidRPr="006859D5">
          <w:rPr>
            <w:noProof/>
            <w:webHidden/>
          </w:rPr>
          <w:fldChar w:fldCharType="separate"/>
        </w:r>
        <w:r w:rsidRPr="006859D5">
          <w:rPr>
            <w:noProof/>
            <w:webHidden/>
          </w:rPr>
          <w:t>8</w:t>
        </w:r>
        <w:r w:rsidRPr="006859D5">
          <w:rPr>
            <w:noProof/>
            <w:webHidden/>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09" w:history="1">
        <w:r w:rsidRPr="006859D5">
          <w:rPr>
            <w:rStyle w:val="aa"/>
            <w:rFonts w:hint="eastAsia"/>
            <w:spacing w:val="14"/>
            <w:sz w:val="24"/>
            <w:szCs w:val="24"/>
          </w:rPr>
          <w:t>第二章</w:t>
        </w:r>
        <w:r w:rsidRPr="006859D5">
          <w:rPr>
            <w:rStyle w:val="aa"/>
            <w:spacing w:val="14"/>
            <w:sz w:val="24"/>
            <w:szCs w:val="24"/>
          </w:rPr>
          <w:t xml:space="preserve"> </w:t>
        </w:r>
        <w:r w:rsidRPr="006859D5">
          <w:rPr>
            <w:rStyle w:val="aa"/>
            <w:rFonts w:hint="eastAsia"/>
            <w:spacing w:val="14"/>
            <w:sz w:val="24"/>
            <w:szCs w:val="24"/>
          </w:rPr>
          <w:t>我國與東南亞、印度之雙向經貿概況</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_Toc470676309 \h </w:instrText>
        </w:r>
        <w:r w:rsidRPr="006859D5">
          <w:rPr>
            <w:webHidden/>
            <w:sz w:val="24"/>
            <w:szCs w:val="24"/>
          </w:rPr>
        </w:r>
        <w:r w:rsidRPr="006859D5">
          <w:rPr>
            <w:webHidden/>
            <w:sz w:val="24"/>
            <w:szCs w:val="24"/>
          </w:rPr>
          <w:fldChar w:fldCharType="separate"/>
        </w:r>
        <w:r w:rsidRPr="006859D5">
          <w:rPr>
            <w:webHidden/>
            <w:sz w:val="24"/>
            <w:szCs w:val="24"/>
          </w:rPr>
          <w:t>15</w:t>
        </w:r>
        <w:r w:rsidRPr="006859D5">
          <w:rPr>
            <w:webHidden/>
            <w:sz w:val="24"/>
            <w:szCs w:val="24"/>
          </w:rPr>
          <w:fldChar w:fldCharType="end"/>
        </w:r>
      </w:hyperlink>
    </w:p>
    <w:p w:rsidR="006859D5" w:rsidRPr="006859D5" w:rsidRDefault="006859D5" w:rsidP="006859D5">
      <w:pPr>
        <w:pStyle w:val="21"/>
        <w:rPr>
          <w:noProof/>
        </w:rPr>
      </w:pPr>
      <w:hyperlink w:anchor="_Toc470676310" w:history="1">
        <w:r w:rsidRPr="006859D5">
          <w:rPr>
            <w:rStyle w:val="aa"/>
            <w:rFonts w:ascii="Times New Roman" w:eastAsia="標楷體" w:hAnsi="Times New Roman" w:cs="Times New Roman" w:hint="eastAsia"/>
            <w:noProof/>
            <w:spacing w:val="14"/>
            <w:szCs w:val="24"/>
          </w:rPr>
          <w:t>第一節</w:t>
        </w:r>
        <w:r w:rsidRPr="006859D5">
          <w:rPr>
            <w:noProof/>
          </w:rPr>
          <w:tab/>
        </w:r>
        <w:r w:rsidRPr="006859D5">
          <w:rPr>
            <w:rStyle w:val="aa"/>
            <w:rFonts w:ascii="Times New Roman" w:eastAsia="標楷體" w:hAnsi="Times New Roman" w:cs="Times New Roman" w:hint="eastAsia"/>
            <w:noProof/>
            <w:spacing w:val="14"/>
            <w:szCs w:val="24"/>
          </w:rPr>
          <w:t>我國東南亞及印度經貿發展政策之回顧與展望</w:t>
        </w:r>
        <w:r w:rsidRPr="006859D5">
          <w:rPr>
            <w:noProof/>
            <w:webHidden/>
          </w:rPr>
          <w:tab/>
        </w:r>
        <w:r w:rsidRPr="006859D5">
          <w:rPr>
            <w:noProof/>
            <w:webHidden/>
          </w:rPr>
          <w:fldChar w:fldCharType="begin"/>
        </w:r>
        <w:r w:rsidRPr="006859D5">
          <w:rPr>
            <w:noProof/>
            <w:webHidden/>
          </w:rPr>
          <w:instrText xml:space="preserve"> PAGEREF _Toc470676310 \h </w:instrText>
        </w:r>
        <w:r w:rsidRPr="006859D5">
          <w:rPr>
            <w:noProof/>
            <w:webHidden/>
          </w:rPr>
        </w:r>
        <w:r w:rsidRPr="006859D5">
          <w:rPr>
            <w:noProof/>
            <w:webHidden/>
          </w:rPr>
          <w:fldChar w:fldCharType="separate"/>
        </w:r>
        <w:r w:rsidRPr="006859D5">
          <w:rPr>
            <w:noProof/>
            <w:webHidden/>
          </w:rPr>
          <w:t>15</w:t>
        </w:r>
        <w:r w:rsidRPr="006859D5">
          <w:rPr>
            <w:noProof/>
            <w:webHidden/>
          </w:rPr>
          <w:fldChar w:fldCharType="end"/>
        </w:r>
      </w:hyperlink>
    </w:p>
    <w:p w:rsidR="006859D5" w:rsidRPr="006859D5" w:rsidRDefault="006859D5" w:rsidP="006859D5">
      <w:pPr>
        <w:pStyle w:val="21"/>
        <w:rPr>
          <w:noProof/>
        </w:rPr>
      </w:pPr>
      <w:hyperlink w:anchor="_Toc470676311" w:history="1">
        <w:r w:rsidRPr="006859D5">
          <w:rPr>
            <w:rStyle w:val="aa"/>
            <w:rFonts w:ascii="Times New Roman" w:eastAsia="標楷體" w:hAnsi="Times New Roman" w:cs="Times New Roman" w:hint="eastAsia"/>
            <w:noProof/>
            <w:szCs w:val="24"/>
          </w:rPr>
          <w:t>第二節</w:t>
        </w:r>
        <w:r w:rsidRPr="006859D5">
          <w:rPr>
            <w:noProof/>
          </w:rPr>
          <w:tab/>
        </w:r>
        <w:r w:rsidRPr="006859D5">
          <w:rPr>
            <w:rStyle w:val="aa"/>
            <w:rFonts w:ascii="Times New Roman" w:eastAsia="標楷體" w:hAnsi="Times New Roman" w:cs="Times New Roman" w:hint="eastAsia"/>
            <w:noProof/>
            <w:szCs w:val="24"/>
          </w:rPr>
          <w:t>我國與東南亞及印度雙向貿易與投資概況</w:t>
        </w:r>
        <w:r w:rsidRPr="006859D5">
          <w:rPr>
            <w:noProof/>
            <w:webHidden/>
          </w:rPr>
          <w:tab/>
        </w:r>
        <w:r w:rsidRPr="006859D5">
          <w:rPr>
            <w:noProof/>
            <w:webHidden/>
          </w:rPr>
          <w:fldChar w:fldCharType="begin"/>
        </w:r>
        <w:r w:rsidRPr="006859D5">
          <w:rPr>
            <w:noProof/>
            <w:webHidden/>
          </w:rPr>
          <w:instrText xml:space="preserve"> PAGEREF _Toc470676311 \h </w:instrText>
        </w:r>
        <w:r w:rsidRPr="006859D5">
          <w:rPr>
            <w:noProof/>
            <w:webHidden/>
          </w:rPr>
        </w:r>
        <w:r w:rsidRPr="006859D5">
          <w:rPr>
            <w:noProof/>
            <w:webHidden/>
          </w:rPr>
          <w:fldChar w:fldCharType="separate"/>
        </w:r>
        <w:r w:rsidRPr="006859D5">
          <w:rPr>
            <w:noProof/>
            <w:webHidden/>
          </w:rPr>
          <w:t>28</w:t>
        </w:r>
        <w:r w:rsidRPr="006859D5">
          <w:rPr>
            <w:noProof/>
            <w:webHidden/>
          </w:rPr>
          <w:fldChar w:fldCharType="end"/>
        </w:r>
      </w:hyperlink>
    </w:p>
    <w:p w:rsidR="006859D5" w:rsidRPr="006859D5" w:rsidRDefault="006859D5" w:rsidP="006859D5">
      <w:pPr>
        <w:pStyle w:val="21"/>
        <w:rPr>
          <w:noProof/>
        </w:rPr>
      </w:pPr>
      <w:hyperlink w:anchor="_Toc470676312" w:history="1">
        <w:r w:rsidRPr="006859D5">
          <w:rPr>
            <w:rStyle w:val="aa"/>
            <w:rFonts w:ascii="Times New Roman" w:eastAsia="標楷體" w:hAnsi="Times New Roman" w:cs="Times New Roman" w:hint="eastAsia"/>
            <w:noProof/>
            <w:szCs w:val="24"/>
          </w:rPr>
          <w:t>第三節</w:t>
        </w:r>
        <w:r w:rsidRPr="006859D5">
          <w:rPr>
            <w:noProof/>
          </w:rPr>
          <w:tab/>
        </w:r>
        <w:r w:rsidRPr="006859D5">
          <w:rPr>
            <w:rStyle w:val="aa"/>
            <w:rFonts w:ascii="Times New Roman" w:eastAsia="標楷體" w:hAnsi="Times New Roman" w:cs="Times New Roman" w:hint="eastAsia"/>
            <w:noProof/>
            <w:szCs w:val="24"/>
          </w:rPr>
          <w:t>我國產業在東南亞及印度的機會與挑戰</w:t>
        </w:r>
        <w:r w:rsidRPr="006859D5">
          <w:rPr>
            <w:noProof/>
            <w:webHidden/>
          </w:rPr>
          <w:tab/>
        </w:r>
        <w:r w:rsidRPr="006859D5">
          <w:rPr>
            <w:noProof/>
            <w:webHidden/>
          </w:rPr>
          <w:fldChar w:fldCharType="begin"/>
        </w:r>
        <w:r w:rsidRPr="006859D5">
          <w:rPr>
            <w:noProof/>
            <w:webHidden/>
          </w:rPr>
          <w:instrText xml:space="preserve"> PAGEREF _Toc470676312 \h </w:instrText>
        </w:r>
        <w:r w:rsidRPr="006859D5">
          <w:rPr>
            <w:noProof/>
            <w:webHidden/>
          </w:rPr>
        </w:r>
        <w:r w:rsidRPr="006859D5">
          <w:rPr>
            <w:noProof/>
            <w:webHidden/>
          </w:rPr>
          <w:fldChar w:fldCharType="separate"/>
        </w:r>
        <w:r w:rsidRPr="006859D5">
          <w:rPr>
            <w:noProof/>
            <w:webHidden/>
          </w:rPr>
          <w:t>46</w:t>
        </w:r>
        <w:r w:rsidRPr="006859D5">
          <w:rPr>
            <w:noProof/>
            <w:webHidden/>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13" w:history="1">
        <w:r w:rsidRPr="006859D5">
          <w:rPr>
            <w:rStyle w:val="aa"/>
            <w:rFonts w:hint="eastAsia"/>
            <w:sz w:val="24"/>
            <w:szCs w:val="24"/>
          </w:rPr>
          <w:t>第三章</w:t>
        </w:r>
        <w:r w:rsidRPr="006859D5">
          <w:rPr>
            <w:rStyle w:val="aa"/>
            <w:sz w:val="24"/>
            <w:szCs w:val="24"/>
          </w:rPr>
          <w:t xml:space="preserve"> </w:t>
        </w:r>
        <w:r w:rsidRPr="006859D5">
          <w:rPr>
            <w:rStyle w:val="aa"/>
            <w:rFonts w:hint="eastAsia"/>
            <w:sz w:val="24"/>
            <w:szCs w:val="24"/>
          </w:rPr>
          <w:t>我國十大系統輸出及新農業、電子商務產業發展現況</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_Toc470676313 \h </w:instrText>
        </w:r>
        <w:r w:rsidRPr="006859D5">
          <w:rPr>
            <w:webHidden/>
            <w:sz w:val="24"/>
            <w:szCs w:val="24"/>
          </w:rPr>
        </w:r>
        <w:r w:rsidRPr="006859D5">
          <w:rPr>
            <w:webHidden/>
            <w:sz w:val="24"/>
            <w:szCs w:val="24"/>
          </w:rPr>
          <w:fldChar w:fldCharType="separate"/>
        </w:r>
        <w:r w:rsidRPr="006859D5">
          <w:rPr>
            <w:webHidden/>
            <w:sz w:val="24"/>
            <w:szCs w:val="24"/>
          </w:rPr>
          <w:t>69</w:t>
        </w:r>
        <w:r w:rsidRPr="006859D5">
          <w:rPr>
            <w:webHidden/>
            <w:sz w:val="24"/>
            <w:szCs w:val="24"/>
          </w:rPr>
          <w:fldChar w:fldCharType="end"/>
        </w:r>
      </w:hyperlink>
    </w:p>
    <w:p w:rsidR="006859D5" w:rsidRPr="006859D5" w:rsidRDefault="006859D5" w:rsidP="006859D5">
      <w:pPr>
        <w:pStyle w:val="21"/>
        <w:rPr>
          <w:noProof/>
        </w:rPr>
      </w:pPr>
      <w:hyperlink w:anchor="_Toc470676314" w:history="1">
        <w:r w:rsidRPr="006859D5">
          <w:rPr>
            <w:rStyle w:val="aa"/>
            <w:rFonts w:ascii="Times New Roman" w:eastAsia="標楷體" w:hAnsi="Times New Roman" w:cs="Times New Roman" w:hint="eastAsia"/>
            <w:noProof/>
            <w:szCs w:val="24"/>
          </w:rPr>
          <w:t>第一節</w:t>
        </w:r>
        <w:r w:rsidRPr="006859D5">
          <w:rPr>
            <w:noProof/>
          </w:rPr>
          <w:tab/>
        </w:r>
        <w:r w:rsidRPr="006859D5">
          <w:rPr>
            <w:rStyle w:val="aa"/>
            <w:rFonts w:ascii="Times New Roman" w:eastAsia="標楷體" w:hAnsi="Times New Roman" w:cs="Times New Roman" w:hint="eastAsia"/>
            <w:noProof/>
            <w:szCs w:val="24"/>
          </w:rPr>
          <w:t>我國電子收費、電子化政府、智慧校園產業發展現況</w:t>
        </w:r>
        <w:r w:rsidRPr="006859D5">
          <w:rPr>
            <w:noProof/>
            <w:webHidden/>
          </w:rPr>
          <w:tab/>
        </w:r>
        <w:r w:rsidRPr="006859D5">
          <w:rPr>
            <w:noProof/>
            <w:webHidden/>
          </w:rPr>
          <w:fldChar w:fldCharType="begin"/>
        </w:r>
        <w:r w:rsidRPr="006859D5">
          <w:rPr>
            <w:noProof/>
            <w:webHidden/>
          </w:rPr>
          <w:instrText xml:space="preserve"> PAGEREF _Toc470676314 \h </w:instrText>
        </w:r>
        <w:r w:rsidRPr="006859D5">
          <w:rPr>
            <w:noProof/>
            <w:webHidden/>
          </w:rPr>
        </w:r>
        <w:r w:rsidRPr="006859D5">
          <w:rPr>
            <w:noProof/>
            <w:webHidden/>
          </w:rPr>
          <w:fldChar w:fldCharType="separate"/>
        </w:r>
        <w:r w:rsidRPr="006859D5">
          <w:rPr>
            <w:noProof/>
            <w:webHidden/>
          </w:rPr>
          <w:t>69</w:t>
        </w:r>
        <w:r w:rsidRPr="006859D5">
          <w:rPr>
            <w:noProof/>
            <w:webHidden/>
          </w:rPr>
          <w:fldChar w:fldCharType="end"/>
        </w:r>
      </w:hyperlink>
    </w:p>
    <w:p w:rsidR="006859D5" w:rsidRPr="006859D5" w:rsidRDefault="006859D5" w:rsidP="006859D5">
      <w:pPr>
        <w:pStyle w:val="21"/>
        <w:rPr>
          <w:noProof/>
        </w:rPr>
      </w:pPr>
      <w:hyperlink w:anchor="_Toc470676315" w:history="1">
        <w:r w:rsidRPr="006859D5">
          <w:rPr>
            <w:rStyle w:val="aa"/>
            <w:rFonts w:ascii="Times New Roman" w:eastAsia="標楷體" w:hAnsi="Times New Roman" w:cs="Times New Roman" w:hint="eastAsia"/>
            <w:noProof/>
            <w:szCs w:val="24"/>
          </w:rPr>
          <w:t>第二節</w:t>
        </w:r>
        <w:r w:rsidRPr="006859D5">
          <w:rPr>
            <w:noProof/>
          </w:rPr>
          <w:tab/>
        </w:r>
        <w:r w:rsidRPr="006859D5">
          <w:rPr>
            <w:rStyle w:val="aa"/>
            <w:rFonts w:ascii="Times New Roman" w:eastAsia="標楷體" w:hAnsi="Times New Roman" w:cs="Times New Roman" w:hint="eastAsia"/>
            <w:noProof/>
            <w:szCs w:val="24"/>
          </w:rPr>
          <w:t>我國電子商務、智慧物流、雲端系統產業發展現況</w:t>
        </w:r>
        <w:r w:rsidRPr="006859D5">
          <w:rPr>
            <w:noProof/>
            <w:webHidden/>
          </w:rPr>
          <w:tab/>
        </w:r>
        <w:r w:rsidRPr="006859D5">
          <w:rPr>
            <w:noProof/>
            <w:webHidden/>
          </w:rPr>
          <w:fldChar w:fldCharType="begin"/>
        </w:r>
        <w:r w:rsidRPr="006859D5">
          <w:rPr>
            <w:noProof/>
            <w:webHidden/>
          </w:rPr>
          <w:instrText xml:space="preserve"> PAGEREF _Toc470676315 \h </w:instrText>
        </w:r>
        <w:r w:rsidRPr="006859D5">
          <w:rPr>
            <w:noProof/>
            <w:webHidden/>
          </w:rPr>
        </w:r>
        <w:r w:rsidRPr="006859D5">
          <w:rPr>
            <w:noProof/>
            <w:webHidden/>
          </w:rPr>
          <w:fldChar w:fldCharType="separate"/>
        </w:r>
        <w:r w:rsidRPr="006859D5">
          <w:rPr>
            <w:noProof/>
            <w:webHidden/>
          </w:rPr>
          <w:t>81</w:t>
        </w:r>
        <w:r w:rsidRPr="006859D5">
          <w:rPr>
            <w:noProof/>
            <w:webHidden/>
          </w:rPr>
          <w:fldChar w:fldCharType="end"/>
        </w:r>
      </w:hyperlink>
    </w:p>
    <w:p w:rsidR="006859D5" w:rsidRPr="006859D5" w:rsidRDefault="006859D5" w:rsidP="006859D5">
      <w:pPr>
        <w:pStyle w:val="21"/>
        <w:rPr>
          <w:noProof/>
        </w:rPr>
      </w:pPr>
      <w:hyperlink w:anchor="_Toc470676316" w:history="1">
        <w:r w:rsidRPr="006859D5">
          <w:rPr>
            <w:rStyle w:val="aa"/>
            <w:rFonts w:ascii="Times New Roman" w:eastAsia="標楷體" w:hAnsi="Times New Roman" w:cs="Times New Roman" w:hint="eastAsia"/>
            <w:noProof/>
            <w:szCs w:val="24"/>
          </w:rPr>
          <w:t>第三節</w:t>
        </w:r>
        <w:r w:rsidRPr="006859D5">
          <w:rPr>
            <w:noProof/>
          </w:rPr>
          <w:tab/>
        </w:r>
        <w:r w:rsidRPr="006859D5">
          <w:rPr>
            <w:rStyle w:val="aa"/>
            <w:rFonts w:ascii="Times New Roman" w:eastAsia="標楷體" w:hAnsi="Times New Roman" w:cs="Times New Roman" w:hint="eastAsia"/>
            <w:noProof/>
            <w:szCs w:val="24"/>
          </w:rPr>
          <w:t>我國太陽能、</w:t>
        </w:r>
        <w:r w:rsidRPr="006859D5">
          <w:rPr>
            <w:rStyle w:val="aa"/>
            <w:rFonts w:ascii="Times New Roman" w:eastAsia="標楷體" w:hAnsi="Times New Roman" w:cs="Times New Roman"/>
            <w:noProof/>
            <w:szCs w:val="24"/>
          </w:rPr>
          <w:t>LED</w:t>
        </w:r>
        <w:r w:rsidRPr="006859D5">
          <w:rPr>
            <w:rStyle w:val="aa"/>
            <w:rFonts w:ascii="Times New Roman" w:eastAsia="標楷體" w:hAnsi="Times New Roman" w:cs="Times New Roman" w:hint="eastAsia"/>
            <w:noProof/>
            <w:szCs w:val="24"/>
          </w:rPr>
          <w:t>照明、綠色運輸產業發展現況</w:t>
        </w:r>
        <w:r w:rsidRPr="006859D5">
          <w:rPr>
            <w:noProof/>
            <w:webHidden/>
          </w:rPr>
          <w:tab/>
        </w:r>
        <w:r w:rsidRPr="006859D5">
          <w:rPr>
            <w:noProof/>
            <w:webHidden/>
          </w:rPr>
          <w:fldChar w:fldCharType="begin"/>
        </w:r>
        <w:r w:rsidRPr="006859D5">
          <w:rPr>
            <w:noProof/>
            <w:webHidden/>
          </w:rPr>
          <w:instrText xml:space="preserve"> PAGEREF _Toc470676316 \h </w:instrText>
        </w:r>
        <w:r w:rsidRPr="006859D5">
          <w:rPr>
            <w:noProof/>
            <w:webHidden/>
          </w:rPr>
        </w:r>
        <w:r w:rsidRPr="006859D5">
          <w:rPr>
            <w:noProof/>
            <w:webHidden/>
          </w:rPr>
          <w:fldChar w:fldCharType="separate"/>
        </w:r>
        <w:r w:rsidRPr="006859D5">
          <w:rPr>
            <w:noProof/>
            <w:webHidden/>
          </w:rPr>
          <w:t>93</w:t>
        </w:r>
        <w:r w:rsidRPr="006859D5">
          <w:rPr>
            <w:noProof/>
            <w:webHidden/>
          </w:rPr>
          <w:fldChar w:fldCharType="end"/>
        </w:r>
      </w:hyperlink>
    </w:p>
    <w:p w:rsidR="006859D5" w:rsidRPr="006859D5" w:rsidRDefault="006859D5" w:rsidP="006859D5">
      <w:pPr>
        <w:pStyle w:val="21"/>
        <w:rPr>
          <w:noProof/>
        </w:rPr>
      </w:pPr>
      <w:hyperlink w:anchor="_Toc470676317" w:history="1">
        <w:r w:rsidRPr="006859D5">
          <w:rPr>
            <w:rStyle w:val="aa"/>
            <w:rFonts w:ascii="Times New Roman" w:eastAsia="標楷體" w:hAnsi="Times New Roman" w:cs="Times New Roman" w:hint="eastAsia"/>
            <w:noProof/>
            <w:szCs w:val="24"/>
          </w:rPr>
          <w:t>第四節</w:t>
        </w:r>
        <w:r w:rsidRPr="006859D5">
          <w:rPr>
            <w:noProof/>
          </w:rPr>
          <w:tab/>
        </w:r>
        <w:r w:rsidRPr="006859D5">
          <w:rPr>
            <w:rStyle w:val="aa"/>
            <w:rFonts w:ascii="Times New Roman" w:eastAsia="標楷體" w:hAnsi="Times New Roman" w:cs="Times New Roman" w:hint="eastAsia"/>
            <w:noProof/>
            <w:szCs w:val="24"/>
          </w:rPr>
          <w:t>我國石化、智慧健康、新農業產業發展現況</w:t>
        </w:r>
        <w:r w:rsidRPr="006859D5">
          <w:rPr>
            <w:noProof/>
            <w:webHidden/>
          </w:rPr>
          <w:tab/>
        </w:r>
        <w:r w:rsidRPr="006859D5">
          <w:rPr>
            <w:noProof/>
            <w:webHidden/>
          </w:rPr>
          <w:fldChar w:fldCharType="begin"/>
        </w:r>
        <w:r w:rsidRPr="006859D5">
          <w:rPr>
            <w:noProof/>
            <w:webHidden/>
          </w:rPr>
          <w:instrText xml:space="preserve"> PAGEREF _Toc470676317 \h </w:instrText>
        </w:r>
        <w:r w:rsidRPr="006859D5">
          <w:rPr>
            <w:noProof/>
            <w:webHidden/>
          </w:rPr>
        </w:r>
        <w:r w:rsidRPr="006859D5">
          <w:rPr>
            <w:noProof/>
            <w:webHidden/>
          </w:rPr>
          <w:fldChar w:fldCharType="separate"/>
        </w:r>
        <w:r w:rsidRPr="006859D5">
          <w:rPr>
            <w:noProof/>
            <w:webHidden/>
          </w:rPr>
          <w:t>100</w:t>
        </w:r>
        <w:r w:rsidRPr="006859D5">
          <w:rPr>
            <w:noProof/>
            <w:webHidden/>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18" w:history="1">
        <w:r w:rsidRPr="006859D5">
          <w:rPr>
            <w:rStyle w:val="aa"/>
            <w:rFonts w:hint="eastAsia"/>
            <w:sz w:val="24"/>
            <w:szCs w:val="24"/>
          </w:rPr>
          <w:t>第四章</w:t>
        </w:r>
        <w:r w:rsidRPr="006859D5">
          <w:rPr>
            <w:rStyle w:val="aa"/>
            <w:sz w:val="24"/>
            <w:szCs w:val="24"/>
          </w:rPr>
          <w:t xml:space="preserve"> </w:t>
        </w:r>
        <w:r w:rsidRPr="006859D5">
          <w:rPr>
            <w:rStyle w:val="aa"/>
            <w:rFonts w:hint="eastAsia"/>
            <w:sz w:val="24"/>
            <w:szCs w:val="24"/>
          </w:rPr>
          <w:t>我國十大系統輸出及新農業、電子商務產業南向發展之機會與挑戰</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_Toc470676318 \h </w:instrText>
        </w:r>
        <w:r w:rsidRPr="006859D5">
          <w:rPr>
            <w:webHidden/>
            <w:sz w:val="24"/>
            <w:szCs w:val="24"/>
          </w:rPr>
        </w:r>
        <w:r w:rsidRPr="006859D5">
          <w:rPr>
            <w:webHidden/>
            <w:sz w:val="24"/>
            <w:szCs w:val="24"/>
          </w:rPr>
          <w:fldChar w:fldCharType="separate"/>
        </w:r>
        <w:r w:rsidRPr="006859D5">
          <w:rPr>
            <w:webHidden/>
            <w:sz w:val="24"/>
            <w:szCs w:val="24"/>
          </w:rPr>
          <w:t>121</w:t>
        </w:r>
        <w:r w:rsidRPr="006859D5">
          <w:rPr>
            <w:webHidden/>
            <w:sz w:val="24"/>
            <w:szCs w:val="24"/>
          </w:rPr>
          <w:fldChar w:fldCharType="end"/>
        </w:r>
      </w:hyperlink>
    </w:p>
    <w:p w:rsidR="006859D5" w:rsidRPr="006859D5" w:rsidRDefault="006859D5" w:rsidP="006859D5">
      <w:pPr>
        <w:pStyle w:val="21"/>
        <w:rPr>
          <w:noProof/>
        </w:rPr>
      </w:pPr>
      <w:hyperlink w:anchor="_Toc470676319" w:history="1">
        <w:r w:rsidRPr="006859D5">
          <w:rPr>
            <w:rStyle w:val="aa"/>
            <w:rFonts w:ascii="Times New Roman" w:eastAsia="標楷體" w:hAnsi="Times New Roman" w:cs="Times New Roman" w:hint="eastAsia"/>
            <w:noProof/>
            <w:szCs w:val="24"/>
          </w:rPr>
          <w:t>第一節</w:t>
        </w:r>
        <w:r w:rsidRPr="006859D5">
          <w:rPr>
            <w:noProof/>
          </w:rPr>
          <w:tab/>
        </w:r>
        <w:r w:rsidRPr="006859D5">
          <w:rPr>
            <w:rStyle w:val="aa"/>
            <w:rFonts w:ascii="Times New Roman" w:eastAsia="標楷體" w:hAnsi="Times New Roman" w:cs="Times New Roman" w:hint="eastAsia"/>
            <w:noProof/>
            <w:szCs w:val="24"/>
          </w:rPr>
          <w:t>電子收費、電子化政府、智慧校園產業南向發展之機會與挑戰</w:t>
        </w:r>
        <w:r w:rsidRPr="006859D5">
          <w:rPr>
            <w:noProof/>
            <w:webHidden/>
          </w:rPr>
          <w:tab/>
        </w:r>
        <w:r w:rsidRPr="006859D5">
          <w:rPr>
            <w:noProof/>
            <w:webHidden/>
          </w:rPr>
          <w:fldChar w:fldCharType="begin"/>
        </w:r>
        <w:r w:rsidRPr="006859D5">
          <w:rPr>
            <w:noProof/>
            <w:webHidden/>
          </w:rPr>
          <w:instrText xml:space="preserve"> PAGEREF _Toc470676319 \h </w:instrText>
        </w:r>
        <w:r w:rsidRPr="006859D5">
          <w:rPr>
            <w:noProof/>
            <w:webHidden/>
          </w:rPr>
        </w:r>
        <w:r w:rsidRPr="006859D5">
          <w:rPr>
            <w:noProof/>
            <w:webHidden/>
          </w:rPr>
          <w:fldChar w:fldCharType="separate"/>
        </w:r>
        <w:r w:rsidRPr="006859D5">
          <w:rPr>
            <w:noProof/>
            <w:webHidden/>
          </w:rPr>
          <w:t>121</w:t>
        </w:r>
        <w:r w:rsidRPr="006859D5">
          <w:rPr>
            <w:noProof/>
            <w:webHidden/>
          </w:rPr>
          <w:fldChar w:fldCharType="end"/>
        </w:r>
      </w:hyperlink>
    </w:p>
    <w:p w:rsidR="006859D5" w:rsidRPr="006859D5" w:rsidRDefault="006859D5" w:rsidP="006859D5">
      <w:pPr>
        <w:pStyle w:val="21"/>
        <w:rPr>
          <w:noProof/>
        </w:rPr>
      </w:pPr>
      <w:hyperlink w:anchor="_Toc470676320" w:history="1">
        <w:r w:rsidRPr="006859D5">
          <w:rPr>
            <w:rStyle w:val="aa"/>
            <w:rFonts w:ascii="Times New Roman" w:eastAsia="標楷體" w:hAnsi="Times New Roman" w:cs="Times New Roman" w:hint="eastAsia"/>
            <w:noProof/>
            <w:szCs w:val="24"/>
          </w:rPr>
          <w:t>第二節</w:t>
        </w:r>
        <w:r w:rsidRPr="006859D5">
          <w:rPr>
            <w:noProof/>
          </w:rPr>
          <w:tab/>
        </w:r>
        <w:r w:rsidRPr="006859D5">
          <w:rPr>
            <w:rStyle w:val="aa"/>
            <w:rFonts w:ascii="Times New Roman" w:eastAsia="標楷體" w:hAnsi="Times New Roman" w:cs="Times New Roman" w:hint="eastAsia"/>
            <w:noProof/>
            <w:szCs w:val="24"/>
          </w:rPr>
          <w:t>電子商務、智慧物流、雲端系統產業南向發展之機會與挑戰</w:t>
        </w:r>
        <w:r w:rsidRPr="006859D5">
          <w:rPr>
            <w:noProof/>
            <w:webHidden/>
          </w:rPr>
          <w:tab/>
        </w:r>
        <w:r w:rsidRPr="006859D5">
          <w:rPr>
            <w:noProof/>
            <w:webHidden/>
          </w:rPr>
          <w:fldChar w:fldCharType="begin"/>
        </w:r>
        <w:r w:rsidRPr="006859D5">
          <w:rPr>
            <w:noProof/>
            <w:webHidden/>
          </w:rPr>
          <w:instrText xml:space="preserve"> PAGEREF _Toc470676320 \h </w:instrText>
        </w:r>
        <w:r w:rsidRPr="006859D5">
          <w:rPr>
            <w:noProof/>
            <w:webHidden/>
          </w:rPr>
        </w:r>
        <w:r w:rsidRPr="006859D5">
          <w:rPr>
            <w:noProof/>
            <w:webHidden/>
          </w:rPr>
          <w:fldChar w:fldCharType="separate"/>
        </w:r>
        <w:r w:rsidRPr="006859D5">
          <w:rPr>
            <w:noProof/>
            <w:webHidden/>
          </w:rPr>
          <w:t>130</w:t>
        </w:r>
        <w:r w:rsidRPr="006859D5">
          <w:rPr>
            <w:noProof/>
            <w:webHidden/>
          </w:rPr>
          <w:fldChar w:fldCharType="end"/>
        </w:r>
      </w:hyperlink>
    </w:p>
    <w:p w:rsidR="006859D5" w:rsidRPr="006859D5" w:rsidRDefault="006859D5" w:rsidP="006859D5">
      <w:pPr>
        <w:pStyle w:val="21"/>
        <w:rPr>
          <w:noProof/>
        </w:rPr>
      </w:pPr>
      <w:hyperlink w:anchor="_Toc470676321" w:history="1">
        <w:r w:rsidRPr="006859D5">
          <w:rPr>
            <w:rStyle w:val="aa"/>
            <w:rFonts w:ascii="Times New Roman" w:eastAsia="標楷體" w:hAnsi="Times New Roman" w:cs="Times New Roman" w:hint="eastAsia"/>
            <w:noProof/>
            <w:szCs w:val="24"/>
          </w:rPr>
          <w:t>第三節</w:t>
        </w:r>
        <w:r w:rsidRPr="006859D5">
          <w:rPr>
            <w:noProof/>
          </w:rPr>
          <w:tab/>
        </w:r>
        <w:r w:rsidRPr="006859D5">
          <w:rPr>
            <w:rStyle w:val="aa"/>
            <w:rFonts w:ascii="Times New Roman" w:eastAsia="標楷體" w:hAnsi="Times New Roman" w:cs="Times New Roman" w:hint="eastAsia"/>
            <w:noProof/>
            <w:szCs w:val="24"/>
          </w:rPr>
          <w:t>太陽能、</w:t>
        </w:r>
        <w:r w:rsidRPr="006859D5">
          <w:rPr>
            <w:rStyle w:val="aa"/>
            <w:rFonts w:ascii="Times New Roman" w:eastAsia="標楷體" w:hAnsi="Times New Roman" w:cs="Times New Roman"/>
            <w:noProof/>
            <w:szCs w:val="24"/>
          </w:rPr>
          <w:t>LED</w:t>
        </w:r>
        <w:r w:rsidRPr="006859D5">
          <w:rPr>
            <w:rStyle w:val="aa"/>
            <w:rFonts w:ascii="Times New Roman" w:eastAsia="標楷體" w:hAnsi="Times New Roman" w:cs="Times New Roman" w:hint="eastAsia"/>
            <w:noProof/>
            <w:szCs w:val="24"/>
          </w:rPr>
          <w:t>照明、綠色運輸產業南向發展之機會與挑戰</w:t>
        </w:r>
        <w:r w:rsidRPr="006859D5">
          <w:rPr>
            <w:noProof/>
            <w:webHidden/>
          </w:rPr>
          <w:tab/>
        </w:r>
        <w:r w:rsidRPr="006859D5">
          <w:rPr>
            <w:noProof/>
            <w:webHidden/>
          </w:rPr>
          <w:fldChar w:fldCharType="begin"/>
        </w:r>
        <w:r w:rsidRPr="006859D5">
          <w:rPr>
            <w:noProof/>
            <w:webHidden/>
          </w:rPr>
          <w:instrText xml:space="preserve"> PAGEREF _Toc470676321 \h </w:instrText>
        </w:r>
        <w:r w:rsidRPr="006859D5">
          <w:rPr>
            <w:noProof/>
            <w:webHidden/>
          </w:rPr>
        </w:r>
        <w:r w:rsidRPr="006859D5">
          <w:rPr>
            <w:noProof/>
            <w:webHidden/>
          </w:rPr>
          <w:fldChar w:fldCharType="separate"/>
        </w:r>
        <w:r w:rsidRPr="006859D5">
          <w:rPr>
            <w:noProof/>
            <w:webHidden/>
          </w:rPr>
          <w:t>140</w:t>
        </w:r>
        <w:r w:rsidRPr="006859D5">
          <w:rPr>
            <w:noProof/>
            <w:webHidden/>
          </w:rPr>
          <w:fldChar w:fldCharType="end"/>
        </w:r>
      </w:hyperlink>
    </w:p>
    <w:p w:rsidR="006859D5" w:rsidRPr="006859D5" w:rsidRDefault="006859D5" w:rsidP="006859D5">
      <w:pPr>
        <w:pStyle w:val="21"/>
        <w:rPr>
          <w:noProof/>
        </w:rPr>
      </w:pPr>
      <w:hyperlink w:anchor="_Toc470676322" w:history="1">
        <w:r w:rsidRPr="006859D5">
          <w:rPr>
            <w:rStyle w:val="aa"/>
            <w:rFonts w:ascii="Times New Roman" w:eastAsia="標楷體" w:hAnsi="Times New Roman" w:cs="Times New Roman" w:hint="eastAsia"/>
            <w:noProof/>
            <w:szCs w:val="24"/>
          </w:rPr>
          <w:t>第四節</w:t>
        </w:r>
        <w:r w:rsidRPr="006859D5">
          <w:rPr>
            <w:noProof/>
          </w:rPr>
          <w:tab/>
        </w:r>
        <w:r w:rsidRPr="006859D5">
          <w:rPr>
            <w:rStyle w:val="aa"/>
            <w:rFonts w:ascii="Times New Roman" w:eastAsia="標楷體" w:hAnsi="Times New Roman" w:cs="Times New Roman" w:hint="eastAsia"/>
            <w:noProof/>
            <w:szCs w:val="24"/>
          </w:rPr>
          <w:t>石化、智慧健康、新農業產業南向發展之機會與挑戰</w:t>
        </w:r>
        <w:r w:rsidRPr="006859D5">
          <w:rPr>
            <w:noProof/>
            <w:webHidden/>
          </w:rPr>
          <w:tab/>
        </w:r>
        <w:r w:rsidRPr="006859D5">
          <w:rPr>
            <w:noProof/>
            <w:webHidden/>
          </w:rPr>
          <w:fldChar w:fldCharType="begin"/>
        </w:r>
        <w:r w:rsidRPr="006859D5">
          <w:rPr>
            <w:noProof/>
            <w:webHidden/>
          </w:rPr>
          <w:instrText xml:space="preserve"> PAGEREF _Toc470676322 \h </w:instrText>
        </w:r>
        <w:r w:rsidRPr="006859D5">
          <w:rPr>
            <w:noProof/>
            <w:webHidden/>
          </w:rPr>
        </w:r>
        <w:r w:rsidRPr="006859D5">
          <w:rPr>
            <w:noProof/>
            <w:webHidden/>
          </w:rPr>
          <w:fldChar w:fldCharType="separate"/>
        </w:r>
        <w:r w:rsidRPr="006859D5">
          <w:rPr>
            <w:noProof/>
            <w:webHidden/>
          </w:rPr>
          <w:t>151</w:t>
        </w:r>
        <w:r w:rsidRPr="006859D5">
          <w:rPr>
            <w:noProof/>
            <w:webHidden/>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23" w:history="1">
        <w:r w:rsidRPr="006859D5">
          <w:rPr>
            <w:rStyle w:val="aa"/>
            <w:rFonts w:hint="eastAsia"/>
            <w:sz w:val="24"/>
            <w:szCs w:val="24"/>
          </w:rPr>
          <w:t>第五章</w:t>
        </w:r>
        <w:r w:rsidRPr="006859D5">
          <w:rPr>
            <w:rStyle w:val="aa"/>
            <w:sz w:val="24"/>
            <w:szCs w:val="24"/>
          </w:rPr>
          <w:t xml:space="preserve"> </w:t>
        </w:r>
        <w:r w:rsidRPr="006859D5">
          <w:rPr>
            <w:rStyle w:val="aa"/>
            <w:rFonts w:hint="eastAsia"/>
            <w:sz w:val="24"/>
            <w:szCs w:val="24"/>
          </w:rPr>
          <w:t>結論</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_Toc470676323 \h </w:instrText>
        </w:r>
        <w:r w:rsidRPr="006859D5">
          <w:rPr>
            <w:webHidden/>
            <w:sz w:val="24"/>
            <w:szCs w:val="24"/>
          </w:rPr>
        </w:r>
        <w:r w:rsidRPr="006859D5">
          <w:rPr>
            <w:webHidden/>
            <w:sz w:val="24"/>
            <w:szCs w:val="24"/>
          </w:rPr>
          <w:fldChar w:fldCharType="separate"/>
        </w:r>
        <w:r w:rsidRPr="006859D5">
          <w:rPr>
            <w:webHidden/>
            <w:sz w:val="24"/>
            <w:szCs w:val="24"/>
          </w:rPr>
          <w:t>171</w:t>
        </w:r>
        <w:r w:rsidRPr="006859D5">
          <w:rPr>
            <w:webHidden/>
            <w:sz w:val="24"/>
            <w:szCs w:val="24"/>
          </w:rPr>
          <w:fldChar w:fldCharType="end"/>
        </w:r>
      </w:hyperlink>
    </w:p>
    <w:p w:rsidR="006859D5" w:rsidRPr="006859D5" w:rsidRDefault="006859D5" w:rsidP="006859D5">
      <w:pPr>
        <w:pStyle w:val="21"/>
        <w:rPr>
          <w:noProof/>
        </w:rPr>
      </w:pPr>
      <w:hyperlink w:anchor="_Toc470676324" w:history="1">
        <w:r w:rsidRPr="006859D5">
          <w:rPr>
            <w:rStyle w:val="aa"/>
            <w:rFonts w:ascii="Times New Roman" w:eastAsia="標楷體" w:hAnsi="Times New Roman" w:cs="Times New Roman" w:hint="eastAsia"/>
            <w:noProof/>
            <w:szCs w:val="24"/>
          </w:rPr>
          <w:t>第一節</w:t>
        </w:r>
        <w:r w:rsidRPr="006859D5">
          <w:rPr>
            <w:noProof/>
          </w:rPr>
          <w:tab/>
        </w:r>
        <w:r w:rsidRPr="006859D5">
          <w:rPr>
            <w:rStyle w:val="aa"/>
            <w:rFonts w:ascii="Times New Roman" w:eastAsia="標楷體" w:hAnsi="Times New Roman" w:cs="Times New Roman" w:hint="eastAsia"/>
            <w:noProof/>
            <w:szCs w:val="24"/>
          </w:rPr>
          <w:t>「</w:t>
        </w:r>
        <w:r w:rsidRPr="006859D5">
          <w:rPr>
            <w:rStyle w:val="aa"/>
            <w:rFonts w:ascii="Times New Roman" w:eastAsia="標楷體" w:hAnsi="Times New Roman" w:cs="Times New Roman"/>
            <w:noProof/>
            <w:szCs w:val="24"/>
          </w:rPr>
          <w:t>10+2</w:t>
        </w:r>
        <w:r w:rsidRPr="006859D5">
          <w:rPr>
            <w:rStyle w:val="aa"/>
            <w:rFonts w:ascii="Times New Roman" w:eastAsia="標楷體" w:hAnsi="Times New Roman" w:cs="Times New Roman" w:hint="eastAsia"/>
            <w:noProof/>
            <w:szCs w:val="24"/>
          </w:rPr>
          <w:t>」產業南向發展之整體佈局建議</w:t>
        </w:r>
        <w:r w:rsidRPr="006859D5">
          <w:rPr>
            <w:noProof/>
            <w:webHidden/>
          </w:rPr>
          <w:tab/>
        </w:r>
        <w:r w:rsidRPr="006859D5">
          <w:rPr>
            <w:noProof/>
            <w:webHidden/>
          </w:rPr>
          <w:fldChar w:fldCharType="begin"/>
        </w:r>
        <w:r w:rsidRPr="006859D5">
          <w:rPr>
            <w:noProof/>
            <w:webHidden/>
          </w:rPr>
          <w:instrText xml:space="preserve"> PAGEREF _Toc470676324 \h </w:instrText>
        </w:r>
        <w:r w:rsidRPr="006859D5">
          <w:rPr>
            <w:noProof/>
            <w:webHidden/>
          </w:rPr>
        </w:r>
        <w:r w:rsidRPr="006859D5">
          <w:rPr>
            <w:noProof/>
            <w:webHidden/>
          </w:rPr>
          <w:fldChar w:fldCharType="separate"/>
        </w:r>
        <w:r w:rsidRPr="006859D5">
          <w:rPr>
            <w:noProof/>
            <w:webHidden/>
          </w:rPr>
          <w:t>171</w:t>
        </w:r>
        <w:r w:rsidRPr="006859D5">
          <w:rPr>
            <w:noProof/>
            <w:webHidden/>
          </w:rPr>
          <w:fldChar w:fldCharType="end"/>
        </w:r>
      </w:hyperlink>
    </w:p>
    <w:p w:rsidR="006859D5" w:rsidRPr="006859D5" w:rsidRDefault="006859D5" w:rsidP="006859D5">
      <w:pPr>
        <w:pStyle w:val="21"/>
        <w:rPr>
          <w:noProof/>
        </w:rPr>
      </w:pPr>
      <w:hyperlink w:anchor="_Toc470676325" w:history="1">
        <w:r w:rsidRPr="006859D5">
          <w:rPr>
            <w:rStyle w:val="aa"/>
            <w:rFonts w:ascii="Times New Roman" w:eastAsia="標楷體" w:hAnsi="Times New Roman" w:cs="Times New Roman" w:hint="eastAsia"/>
            <w:noProof/>
            <w:szCs w:val="24"/>
          </w:rPr>
          <w:t>第二節</w:t>
        </w:r>
        <w:r w:rsidRPr="006859D5">
          <w:rPr>
            <w:noProof/>
          </w:rPr>
          <w:tab/>
        </w:r>
        <w:r w:rsidRPr="006859D5">
          <w:rPr>
            <w:rStyle w:val="aa"/>
            <w:rFonts w:ascii="Times New Roman" w:eastAsia="標楷體" w:hAnsi="Times New Roman" w:cs="Times New Roman" w:hint="eastAsia"/>
            <w:noProof/>
            <w:szCs w:val="24"/>
          </w:rPr>
          <w:t>「</w:t>
        </w:r>
        <w:r w:rsidRPr="006859D5">
          <w:rPr>
            <w:rStyle w:val="aa"/>
            <w:rFonts w:ascii="Times New Roman" w:eastAsia="標楷體" w:hAnsi="Times New Roman" w:cs="Times New Roman"/>
            <w:noProof/>
            <w:szCs w:val="24"/>
          </w:rPr>
          <w:t>10+2</w:t>
        </w:r>
        <w:r w:rsidRPr="006859D5">
          <w:rPr>
            <w:rStyle w:val="aa"/>
            <w:rFonts w:ascii="Times New Roman" w:eastAsia="標楷體" w:hAnsi="Times New Roman" w:cs="Times New Roman" w:hint="eastAsia"/>
            <w:noProof/>
            <w:szCs w:val="24"/>
          </w:rPr>
          <w:t>」產業南向發展之個別產業建議</w:t>
        </w:r>
        <w:r w:rsidRPr="006859D5">
          <w:rPr>
            <w:noProof/>
            <w:webHidden/>
          </w:rPr>
          <w:tab/>
        </w:r>
        <w:r w:rsidRPr="006859D5">
          <w:rPr>
            <w:noProof/>
            <w:webHidden/>
          </w:rPr>
          <w:fldChar w:fldCharType="begin"/>
        </w:r>
        <w:r w:rsidRPr="006859D5">
          <w:rPr>
            <w:noProof/>
            <w:webHidden/>
          </w:rPr>
          <w:instrText xml:space="preserve"> PAGEREF _Toc470676325 \h </w:instrText>
        </w:r>
        <w:r w:rsidRPr="006859D5">
          <w:rPr>
            <w:noProof/>
            <w:webHidden/>
          </w:rPr>
        </w:r>
        <w:r w:rsidRPr="006859D5">
          <w:rPr>
            <w:noProof/>
            <w:webHidden/>
          </w:rPr>
          <w:fldChar w:fldCharType="separate"/>
        </w:r>
        <w:r w:rsidRPr="006859D5">
          <w:rPr>
            <w:noProof/>
            <w:webHidden/>
          </w:rPr>
          <w:t>181</w:t>
        </w:r>
        <w:r w:rsidRPr="006859D5">
          <w:rPr>
            <w:noProof/>
            <w:webHidden/>
          </w:rPr>
          <w:fldChar w:fldCharType="end"/>
        </w:r>
      </w:hyperlink>
    </w:p>
    <w:p w:rsidR="006859D5" w:rsidRPr="006859D5" w:rsidRDefault="006859D5" w:rsidP="006859D5">
      <w:pPr>
        <w:pStyle w:val="21"/>
        <w:rPr>
          <w:noProof/>
        </w:rPr>
      </w:pPr>
      <w:hyperlink w:anchor="_Toc470676326" w:history="1">
        <w:r w:rsidRPr="006859D5">
          <w:rPr>
            <w:rStyle w:val="aa"/>
            <w:rFonts w:ascii="Times New Roman" w:eastAsia="標楷體" w:hAnsi="Times New Roman" w:cs="Times New Roman" w:hint="eastAsia"/>
            <w:noProof/>
            <w:szCs w:val="24"/>
          </w:rPr>
          <w:t>第三節</w:t>
        </w:r>
        <w:r w:rsidRPr="006859D5">
          <w:rPr>
            <w:noProof/>
          </w:rPr>
          <w:tab/>
        </w:r>
        <w:r w:rsidRPr="006859D5">
          <w:rPr>
            <w:rStyle w:val="aa"/>
            <w:rFonts w:ascii="Times New Roman" w:eastAsia="標楷體" w:hAnsi="Times New Roman" w:cs="Times New Roman" w:hint="eastAsia"/>
            <w:noProof/>
            <w:szCs w:val="24"/>
          </w:rPr>
          <w:t>新南向政策之相關建議</w:t>
        </w:r>
        <w:r w:rsidRPr="006859D5">
          <w:rPr>
            <w:noProof/>
            <w:webHidden/>
          </w:rPr>
          <w:tab/>
        </w:r>
        <w:r w:rsidRPr="006859D5">
          <w:rPr>
            <w:noProof/>
            <w:webHidden/>
          </w:rPr>
          <w:fldChar w:fldCharType="begin"/>
        </w:r>
        <w:r w:rsidRPr="006859D5">
          <w:rPr>
            <w:noProof/>
            <w:webHidden/>
          </w:rPr>
          <w:instrText xml:space="preserve"> PAGEREF _Toc470676326 \h </w:instrText>
        </w:r>
        <w:r w:rsidRPr="006859D5">
          <w:rPr>
            <w:noProof/>
            <w:webHidden/>
          </w:rPr>
        </w:r>
        <w:r w:rsidRPr="006859D5">
          <w:rPr>
            <w:noProof/>
            <w:webHidden/>
          </w:rPr>
          <w:fldChar w:fldCharType="separate"/>
        </w:r>
        <w:r w:rsidRPr="006859D5">
          <w:rPr>
            <w:noProof/>
            <w:webHidden/>
          </w:rPr>
          <w:t>214</w:t>
        </w:r>
        <w:r w:rsidRPr="006859D5">
          <w:rPr>
            <w:noProof/>
            <w:webHidden/>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27" w:history="1">
        <w:r w:rsidRPr="006859D5">
          <w:rPr>
            <w:rStyle w:val="aa"/>
            <w:rFonts w:hint="eastAsia"/>
            <w:sz w:val="24"/>
            <w:szCs w:val="24"/>
          </w:rPr>
          <w:t>參考資料</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_Toc470676327 \h </w:instrText>
        </w:r>
        <w:r w:rsidRPr="006859D5">
          <w:rPr>
            <w:webHidden/>
            <w:sz w:val="24"/>
            <w:szCs w:val="24"/>
          </w:rPr>
        </w:r>
        <w:r w:rsidRPr="006859D5">
          <w:rPr>
            <w:webHidden/>
            <w:sz w:val="24"/>
            <w:szCs w:val="24"/>
          </w:rPr>
          <w:fldChar w:fldCharType="separate"/>
        </w:r>
        <w:r w:rsidRPr="006859D5">
          <w:rPr>
            <w:webHidden/>
            <w:sz w:val="24"/>
            <w:szCs w:val="24"/>
          </w:rPr>
          <w:t>227</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28" w:history="1">
        <w:r w:rsidRPr="006859D5">
          <w:rPr>
            <w:rStyle w:val="aa"/>
            <w:rFonts w:hint="eastAsia"/>
            <w:sz w:val="24"/>
            <w:szCs w:val="24"/>
          </w:rPr>
          <w:t>附錄一：期末報告審查意見與回覆</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_Toc470676328 \h </w:instrText>
        </w:r>
        <w:r w:rsidRPr="006859D5">
          <w:rPr>
            <w:webHidden/>
            <w:sz w:val="24"/>
            <w:szCs w:val="24"/>
          </w:rPr>
        </w:r>
        <w:r w:rsidRPr="006859D5">
          <w:rPr>
            <w:webHidden/>
            <w:sz w:val="24"/>
            <w:szCs w:val="24"/>
          </w:rPr>
          <w:fldChar w:fldCharType="separate"/>
        </w:r>
        <w:r w:rsidRPr="006859D5">
          <w:rPr>
            <w:webHidden/>
            <w:sz w:val="24"/>
            <w:szCs w:val="24"/>
          </w:rPr>
          <w:t>243</w:t>
        </w:r>
        <w:r w:rsidRPr="006859D5">
          <w:rPr>
            <w:webHidden/>
            <w:sz w:val="24"/>
            <w:szCs w:val="24"/>
          </w:rPr>
          <w:fldChar w:fldCharType="end"/>
        </w:r>
      </w:hyperlink>
    </w:p>
    <w:p w:rsidR="006859D5" w:rsidRPr="00296773" w:rsidRDefault="006859D5" w:rsidP="006859D5">
      <w:pPr>
        <w:pStyle w:val="11"/>
        <w:rPr>
          <w:rFonts w:eastAsiaTheme="minorEastAsia"/>
          <w:sz w:val="24"/>
          <w:szCs w:val="24"/>
        </w:rPr>
      </w:pPr>
      <w:hyperlink w:anchor="_Toc470676329" w:history="1">
        <w:r w:rsidRPr="006859D5">
          <w:rPr>
            <w:rStyle w:val="aa"/>
            <w:rFonts w:hint="eastAsia"/>
            <w:sz w:val="24"/>
            <w:szCs w:val="24"/>
          </w:rPr>
          <w:t>附錄二：期中報告審查意見與回覆</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_Toc470676329 \h </w:instrText>
        </w:r>
        <w:r w:rsidRPr="006859D5">
          <w:rPr>
            <w:webHidden/>
            <w:sz w:val="24"/>
            <w:szCs w:val="24"/>
          </w:rPr>
        </w:r>
        <w:r w:rsidRPr="006859D5">
          <w:rPr>
            <w:webHidden/>
            <w:sz w:val="24"/>
            <w:szCs w:val="24"/>
          </w:rPr>
          <w:fldChar w:fldCharType="separate"/>
        </w:r>
        <w:r w:rsidRPr="006859D5">
          <w:rPr>
            <w:webHidden/>
            <w:sz w:val="24"/>
            <w:szCs w:val="24"/>
          </w:rPr>
          <w:t>249</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0" w:history="1">
        <w:r w:rsidRPr="006859D5">
          <w:rPr>
            <w:rStyle w:val="aa"/>
            <w:rFonts w:hint="eastAsia"/>
            <w:sz w:val="24"/>
            <w:szCs w:val="24"/>
          </w:rPr>
          <w:t>附錄三：新南向政策綱領</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_Toc470676330 \h </w:instrText>
        </w:r>
        <w:r w:rsidRPr="006859D5">
          <w:rPr>
            <w:webHidden/>
            <w:sz w:val="24"/>
            <w:szCs w:val="24"/>
          </w:rPr>
        </w:r>
        <w:r w:rsidRPr="006859D5">
          <w:rPr>
            <w:webHidden/>
            <w:sz w:val="24"/>
            <w:szCs w:val="24"/>
          </w:rPr>
          <w:fldChar w:fldCharType="separate"/>
        </w:r>
        <w:r w:rsidRPr="006859D5">
          <w:rPr>
            <w:webHidden/>
            <w:sz w:val="24"/>
            <w:szCs w:val="24"/>
          </w:rPr>
          <w:t>255</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1" w:history="1">
        <w:r w:rsidRPr="006859D5">
          <w:rPr>
            <w:rStyle w:val="aa"/>
            <w:rFonts w:hint="eastAsia"/>
            <w:sz w:val="24"/>
            <w:szCs w:val="24"/>
          </w:rPr>
          <w:t>附錄四：新南向政策推動計劃</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_Toc470676331 \h </w:instrText>
        </w:r>
        <w:r w:rsidRPr="006859D5">
          <w:rPr>
            <w:webHidden/>
            <w:sz w:val="24"/>
            <w:szCs w:val="24"/>
          </w:rPr>
        </w:r>
        <w:r w:rsidRPr="006859D5">
          <w:rPr>
            <w:webHidden/>
            <w:sz w:val="24"/>
            <w:szCs w:val="24"/>
          </w:rPr>
          <w:fldChar w:fldCharType="separate"/>
        </w:r>
        <w:r w:rsidRPr="006859D5">
          <w:rPr>
            <w:webHidden/>
            <w:sz w:val="24"/>
            <w:szCs w:val="24"/>
          </w:rPr>
          <w:t>261</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2" w:history="1">
        <w:r w:rsidRPr="006859D5">
          <w:rPr>
            <w:rStyle w:val="aa"/>
            <w:rFonts w:hint="eastAsia"/>
            <w:sz w:val="24"/>
            <w:szCs w:val="24"/>
          </w:rPr>
          <w:t>附錄五：「新南向產業合作：智慧</w:t>
        </w:r>
        <w:r w:rsidRPr="006859D5">
          <w:rPr>
            <w:rStyle w:val="aa"/>
            <w:sz w:val="24"/>
            <w:szCs w:val="24"/>
          </w:rPr>
          <w:t>e</w:t>
        </w:r>
        <w:r w:rsidRPr="006859D5">
          <w:rPr>
            <w:rStyle w:val="aa"/>
            <w:rFonts w:hint="eastAsia"/>
            <w:sz w:val="24"/>
            <w:szCs w:val="24"/>
          </w:rPr>
          <w:t>生活」座談會紀錄摘要</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_Toc470676332 \h </w:instrText>
        </w:r>
        <w:r w:rsidRPr="006859D5">
          <w:rPr>
            <w:webHidden/>
            <w:sz w:val="24"/>
            <w:szCs w:val="24"/>
          </w:rPr>
        </w:r>
        <w:r w:rsidRPr="006859D5">
          <w:rPr>
            <w:webHidden/>
            <w:sz w:val="24"/>
            <w:szCs w:val="24"/>
          </w:rPr>
          <w:fldChar w:fldCharType="separate"/>
        </w:r>
        <w:r w:rsidRPr="006859D5">
          <w:rPr>
            <w:webHidden/>
            <w:sz w:val="24"/>
            <w:szCs w:val="24"/>
          </w:rPr>
          <w:t>265</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3" w:history="1">
        <w:r w:rsidRPr="006859D5">
          <w:rPr>
            <w:rStyle w:val="aa"/>
            <w:rFonts w:hint="eastAsia"/>
            <w:sz w:val="24"/>
            <w:szCs w:val="24"/>
          </w:rPr>
          <w:t>附錄六：「新南向產業合作：智慧</w:t>
        </w:r>
        <w:r w:rsidRPr="006859D5">
          <w:rPr>
            <w:rStyle w:val="aa"/>
            <w:sz w:val="24"/>
            <w:szCs w:val="24"/>
          </w:rPr>
          <w:t>e</w:t>
        </w:r>
        <w:r w:rsidRPr="006859D5">
          <w:rPr>
            <w:rStyle w:val="aa"/>
            <w:rFonts w:hint="eastAsia"/>
            <w:sz w:val="24"/>
            <w:szCs w:val="24"/>
          </w:rPr>
          <w:t>生活」與會者建言</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_Toc470676333 \h </w:instrText>
        </w:r>
        <w:r w:rsidRPr="006859D5">
          <w:rPr>
            <w:webHidden/>
            <w:sz w:val="24"/>
            <w:szCs w:val="24"/>
          </w:rPr>
        </w:r>
        <w:r w:rsidRPr="006859D5">
          <w:rPr>
            <w:webHidden/>
            <w:sz w:val="24"/>
            <w:szCs w:val="24"/>
          </w:rPr>
          <w:fldChar w:fldCharType="separate"/>
        </w:r>
        <w:r w:rsidRPr="006859D5">
          <w:rPr>
            <w:webHidden/>
            <w:sz w:val="24"/>
            <w:szCs w:val="24"/>
          </w:rPr>
          <w:t>275</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4" w:history="1">
        <w:r w:rsidRPr="006859D5">
          <w:rPr>
            <w:rStyle w:val="aa"/>
            <w:rFonts w:hint="eastAsia"/>
            <w:sz w:val="24"/>
            <w:szCs w:val="24"/>
          </w:rPr>
          <w:t>附錄七：「新南向產業合作：醫療生技與新農業」座談會紀錄摘要</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_Toc470676334 \h </w:instrText>
        </w:r>
        <w:r w:rsidRPr="006859D5">
          <w:rPr>
            <w:webHidden/>
            <w:sz w:val="24"/>
            <w:szCs w:val="24"/>
          </w:rPr>
        </w:r>
        <w:r w:rsidRPr="006859D5">
          <w:rPr>
            <w:webHidden/>
            <w:sz w:val="24"/>
            <w:szCs w:val="24"/>
          </w:rPr>
          <w:fldChar w:fldCharType="separate"/>
        </w:r>
        <w:r w:rsidRPr="006859D5">
          <w:rPr>
            <w:webHidden/>
            <w:sz w:val="24"/>
            <w:szCs w:val="24"/>
          </w:rPr>
          <w:t>281</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5" w:history="1">
        <w:r w:rsidRPr="006859D5">
          <w:rPr>
            <w:rStyle w:val="aa"/>
            <w:rFonts w:hint="eastAsia"/>
            <w:sz w:val="24"/>
            <w:szCs w:val="24"/>
          </w:rPr>
          <w:t>附錄八：「新南向產業合作：印度專題」座談會紀錄摘要</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_Toc470676335 \h </w:instrText>
        </w:r>
        <w:r w:rsidRPr="006859D5">
          <w:rPr>
            <w:webHidden/>
            <w:sz w:val="24"/>
            <w:szCs w:val="24"/>
          </w:rPr>
        </w:r>
        <w:r w:rsidRPr="006859D5">
          <w:rPr>
            <w:webHidden/>
            <w:sz w:val="24"/>
            <w:szCs w:val="24"/>
          </w:rPr>
          <w:fldChar w:fldCharType="separate"/>
        </w:r>
        <w:r w:rsidRPr="006859D5">
          <w:rPr>
            <w:webHidden/>
            <w:sz w:val="24"/>
            <w:szCs w:val="24"/>
          </w:rPr>
          <w:t>289</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6" w:history="1">
        <w:r w:rsidRPr="006859D5">
          <w:rPr>
            <w:rStyle w:val="aa"/>
            <w:rFonts w:hint="eastAsia"/>
            <w:sz w:val="24"/>
            <w:szCs w:val="24"/>
          </w:rPr>
          <w:t>附錄九：出國報告書─印度</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_Toc470676336 \h </w:instrText>
        </w:r>
        <w:r w:rsidRPr="006859D5">
          <w:rPr>
            <w:webHidden/>
            <w:sz w:val="24"/>
            <w:szCs w:val="24"/>
          </w:rPr>
        </w:r>
        <w:r w:rsidRPr="006859D5">
          <w:rPr>
            <w:webHidden/>
            <w:sz w:val="24"/>
            <w:szCs w:val="24"/>
          </w:rPr>
          <w:fldChar w:fldCharType="separate"/>
        </w:r>
        <w:r w:rsidRPr="006859D5">
          <w:rPr>
            <w:webHidden/>
            <w:sz w:val="24"/>
            <w:szCs w:val="24"/>
          </w:rPr>
          <w:t>295</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7" w:history="1">
        <w:r w:rsidRPr="006859D5">
          <w:rPr>
            <w:rStyle w:val="aa"/>
            <w:rFonts w:hint="eastAsia"/>
            <w:sz w:val="24"/>
            <w:szCs w:val="24"/>
          </w:rPr>
          <w:t>附錄十：出國報告書─印尼</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_Toc470676337 \h </w:instrText>
        </w:r>
        <w:r w:rsidRPr="006859D5">
          <w:rPr>
            <w:webHidden/>
            <w:sz w:val="24"/>
            <w:szCs w:val="24"/>
          </w:rPr>
        </w:r>
        <w:r w:rsidRPr="006859D5">
          <w:rPr>
            <w:webHidden/>
            <w:sz w:val="24"/>
            <w:szCs w:val="24"/>
          </w:rPr>
          <w:fldChar w:fldCharType="separate"/>
        </w:r>
        <w:r w:rsidRPr="006859D5">
          <w:rPr>
            <w:webHidden/>
            <w:sz w:val="24"/>
            <w:szCs w:val="24"/>
          </w:rPr>
          <w:t>315</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8" w:history="1">
        <w:r w:rsidRPr="006859D5">
          <w:rPr>
            <w:rStyle w:val="aa"/>
            <w:rFonts w:hint="eastAsia"/>
            <w:sz w:val="24"/>
            <w:szCs w:val="24"/>
          </w:rPr>
          <w:t>附錄十一：出國報告書─越南</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_Toc470676338 \h </w:instrText>
        </w:r>
        <w:r w:rsidRPr="006859D5">
          <w:rPr>
            <w:webHidden/>
            <w:sz w:val="24"/>
            <w:szCs w:val="24"/>
          </w:rPr>
        </w:r>
        <w:r w:rsidRPr="006859D5">
          <w:rPr>
            <w:webHidden/>
            <w:sz w:val="24"/>
            <w:szCs w:val="24"/>
          </w:rPr>
          <w:fldChar w:fldCharType="separate"/>
        </w:r>
        <w:r w:rsidRPr="006859D5">
          <w:rPr>
            <w:webHidden/>
            <w:sz w:val="24"/>
            <w:szCs w:val="24"/>
          </w:rPr>
          <w:t>331</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39" w:history="1">
        <w:r w:rsidRPr="006859D5">
          <w:rPr>
            <w:rStyle w:val="aa"/>
            <w:rFonts w:hint="eastAsia"/>
            <w:sz w:val="24"/>
            <w:szCs w:val="24"/>
          </w:rPr>
          <w:t>附錄十二：「中國大陸一帶一路對新南向政策之影響」建議報告書</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_Toc470676339 \h </w:instrText>
        </w:r>
        <w:r w:rsidRPr="006859D5">
          <w:rPr>
            <w:webHidden/>
            <w:sz w:val="24"/>
            <w:szCs w:val="24"/>
          </w:rPr>
        </w:r>
        <w:r w:rsidRPr="006859D5">
          <w:rPr>
            <w:webHidden/>
            <w:sz w:val="24"/>
            <w:szCs w:val="24"/>
          </w:rPr>
          <w:fldChar w:fldCharType="separate"/>
        </w:r>
        <w:r w:rsidRPr="006859D5">
          <w:rPr>
            <w:webHidden/>
            <w:sz w:val="24"/>
            <w:szCs w:val="24"/>
          </w:rPr>
          <w:t>355</w:t>
        </w:r>
        <w:r w:rsidRPr="006859D5">
          <w:rPr>
            <w:webHidden/>
            <w:sz w:val="24"/>
            <w:szCs w:val="24"/>
          </w:rPr>
          <w:fldChar w:fldCharType="end"/>
        </w:r>
      </w:hyperlink>
    </w:p>
    <w:p w:rsidR="006859D5" w:rsidRPr="006859D5" w:rsidRDefault="006859D5" w:rsidP="006859D5">
      <w:pPr>
        <w:pStyle w:val="11"/>
        <w:rPr>
          <w:rFonts w:asciiTheme="minorHAnsi" w:eastAsiaTheme="minorEastAsia" w:hAnsiTheme="minorHAnsi" w:cstheme="minorBidi"/>
          <w:sz w:val="24"/>
          <w:szCs w:val="24"/>
        </w:rPr>
      </w:pPr>
      <w:hyperlink w:anchor="_Toc470676340" w:history="1">
        <w:r w:rsidRPr="006859D5">
          <w:rPr>
            <w:rStyle w:val="aa"/>
            <w:rFonts w:hint="eastAsia"/>
            <w:sz w:val="24"/>
            <w:szCs w:val="24"/>
          </w:rPr>
          <w:t>附錄十三：座談會與出國剪影</w:t>
        </w:r>
        <w:r w:rsidRPr="006859D5">
          <w:rPr>
            <w:webHidden/>
            <w:sz w:val="24"/>
            <w:szCs w:val="24"/>
          </w:rPr>
          <w:tab/>
        </w:r>
        <w:r w:rsidRPr="006859D5">
          <w:rPr>
            <w:webHidden/>
            <w:sz w:val="24"/>
            <w:szCs w:val="24"/>
          </w:rPr>
          <w:fldChar w:fldCharType="begin"/>
        </w:r>
        <w:r w:rsidRPr="006859D5">
          <w:rPr>
            <w:webHidden/>
            <w:sz w:val="24"/>
            <w:szCs w:val="24"/>
          </w:rPr>
          <w:instrText xml:space="preserve"> PAGEREF _Toc470676340 \h </w:instrText>
        </w:r>
        <w:r w:rsidRPr="006859D5">
          <w:rPr>
            <w:webHidden/>
            <w:sz w:val="24"/>
            <w:szCs w:val="24"/>
          </w:rPr>
        </w:r>
        <w:r w:rsidRPr="006859D5">
          <w:rPr>
            <w:webHidden/>
            <w:sz w:val="24"/>
            <w:szCs w:val="24"/>
          </w:rPr>
          <w:fldChar w:fldCharType="separate"/>
        </w:r>
        <w:r w:rsidRPr="006859D5">
          <w:rPr>
            <w:webHidden/>
            <w:sz w:val="24"/>
            <w:szCs w:val="24"/>
          </w:rPr>
          <w:t>377</w:t>
        </w:r>
        <w:r w:rsidRPr="006859D5">
          <w:rPr>
            <w:webHidden/>
            <w:sz w:val="24"/>
            <w:szCs w:val="24"/>
          </w:rPr>
          <w:fldChar w:fldCharType="end"/>
        </w:r>
      </w:hyperlink>
    </w:p>
    <w:p w:rsidR="00FA29BC" w:rsidRPr="006859D5" w:rsidRDefault="002D5ACE" w:rsidP="006859D5">
      <w:pPr>
        <w:rPr>
          <w:rFonts w:ascii="Times New Roman" w:eastAsia="標楷體" w:hAnsi="Times New Roman" w:cs="Times New Roman"/>
          <w:szCs w:val="24"/>
        </w:rPr>
      </w:pPr>
      <w:r w:rsidRPr="006859D5">
        <w:rPr>
          <w:rFonts w:ascii="Times New Roman" w:eastAsia="標楷體" w:hAnsi="Times New Roman" w:cs="Times New Roman"/>
          <w:szCs w:val="24"/>
        </w:rPr>
        <w:lastRenderedPageBreak/>
        <w:fldChar w:fldCharType="end"/>
      </w:r>
    </w:p>
    <w:p w:rsidR="001A3731" w:rsidRPr="00C77E77" w:rsidRDefault="001A3731" w:rsidP="0048641E">
      <w:pPr>
        <w:jc w:val="center"/>
        <w:rPr>
          <w:rFonts w:ascii="Times New Roman" w:eastAsia="標楷體" w:hAnsi="Times New Roman" w:cs="Times New Roman"/>
          <w:b/>
          <w:sz w:val="36"/>
          <w:szCs w:val="36"/>
        </w:rPr>
      </w:pPr>
      <w:r w:rsidRPr="00C77E77">
        <w:rPr>
          <w:rFonts w:ascii="Times New Roman" w:eastAsia="標楷體" w:hAnsi="Times New Roman" w:cs="Times New Roman"/>
          <w:b/>
          <w:sz w:val="36"/>
          <w:szCs w:val="36"/>
        </w:rPr>
        <w:t>表目錄</w:t>
      </w:r>
    </w:p>
    <w:p w:rsidR="00311CE5" w:rsidRPr="00311CE5" w:rsidRDefault="001A3731">
      <w:pPr>
        <w:pStyle w:val="11"/>
        <w:rPr>
          <w:rFonts w:asciiTheme="minorHAnsi" w:eastAsiaTheme="minorEastAsia" w:hAnsiTheme="minorHAnsi" w:cstheme="minorBidi"/>
          <w:b w:val="0"/>
          <w:sz w:val="24"/>
          <w:szCs w:val="24"/>
        </w:rPr>
      </w:pPr>
      <w:r w:rsidRPr="00311CE5">
        <w:rPr>
          <w:b w:val="0"/>
          <w:sz w:val="24"/>
          <w:szCs w:val="24"/>
        </w:rPr>
        <w:fldChar w:fldCharType="begin"/>
      </w:r>
      <w:r w:rsidRPr="00311CE5">
        <w:rPr>
          <w:b w:val="0"/>
          <w:sz w:val="24"/>
          <w:szCs w:val="24"/>
        </w:rPr>
        <w:instrText xml:space="preserve"> TOC \h \z \t "</w:instrText>
      </w:r>
      <w:r w:rsidRPr="00311CE5">
        <w:rPr>
          <w:b w:val="0"/>
          <w:sz w:val="24"/>
          <w:szCs w:val="24"/>
        </w:rPr>
        <w:instrText>表</w:instrText>
      </w:r>
      <w:r w:rsidRPr="00311CE5">
        <w:rPr>
          <w:b w:val="0"/>
          <w:sz w:val="24"/>
          <w:szCs w:val="24"/>
        </w:rPr>
        <w:instrText xml:space="preserve">,1" </w:instrText>
      </w:r>
      <w:r w:rsidRPr="00311CE5">
        <w:rPr>
          <w:b w:val="0"/>
          <w:sz w:val="24"/>
          <w:szCs w:val="24"/>
        </w:rPr>
        <w:fldChar w:fldCharType="separate"/>
      </w:r>
      <w:hyperlink w:anchor="_Toc470676570" w:history="1">
        <w:r w:rsidR="00311CE5" w:rsidRPr="00311CE5">
          <w:rPr>
            <w:rStyle w:val="aa"/>
            <w:rFonts w:hint="eastAsia"/>
            <w:b w:val="0"/>
            <w:sz w:val="24"/>
            <w:szCs w:val="24"/>
          </w:rPr>
          <w:t>表</w:t>
        </w:r>
        <w:r w:rsidR="00311CE5" w:rsidRPr="00311CE5">
          <w:rPr>
            <w:rStyle w:val="aa"/>
            <w:b w:val="0"/>
            <w:sz w:val="24"/>
            <w:szCs w:val="24"/>
          </w:rPr>
          <w:t xml:space="preserve">2-1-1 </w:t>
        </w:r>
        <w:r w:rsidR="00311CE5" w:rsidRPr="00311CE5">
          <w:rPr>
            <w:rStyle w:val="aa"/>
            <w:rFonts w:hint="eastAsia"/>
            <w:b w:val="0"/>
            <w:sz w:val="24"/>
            <w:szCs w:val="24"/>
          </w:rPr>
          <w:t>前三波「南向政策」的提出背景與主要內容</w:t>
        </w:r>
        <w:r w:rsidR="00311CE5" w:rsidRPr="00311CE5">
          <w:rPr>
            <w:b w:val="0"/>
            <w:webHidden/>
            <w:sz w:val="24"/>
            <w:szCs w:val="24"/>
          </w:rPr>
          <w:tab/>
        </w:r>
        <w:r w:rsidR="00311CE5" w:rsidRPr="00311CE5">
          <w:rPr>
            <w:b w:val="0"/>
            <w:webHidden/>
            <w:sz w:val="24"/>
            <w:szCs w:val="24"/>
          </w:rPr>
          <w:fldChar w:fldCharType="begin"/>
        </w:r>
        <w:r w:rsidR="00311CE5" w:rsidRPr="00311CE5">
          <w:rPr>
            <w:b w:val="0"/>
            <w:webHidden/>
            <w:sz w:val="24"/>
            <w:szCs w:val="24"/>
          </w:rPr>
          <w:instrText xml:space="preserve"> PAGEREF _Toc470676570 \h </w:instrText>
        </w:r>
        <w:r w:rsidR="00311CE5" w:rsidRPr="00311CE5">
          <w:rPr>
            <w:b w:val="0"/>
            <w:webHidden/>
            <w:sz w:val="24"/>
            <w:szCs w:val="24"/>
          </w:rPr>
        </w:r>
        <w:r w:rsidR="00311CE5" w:rsidRPr="00311CE5">
          <w:rPr>
            <w:b w:val="0"/>
            <w:webHidden/>
            <w:sz w:val="24"/>
            <w:szCs w:val="24"/>
          </w:rPr>
          <w:fldChar w:fldCharType="separate"/>
        </w:r>
        <w:r w:rsidR="00311CE5" w:rsidRPr="00311CE5">
          <w:rPr>
            <w:b w:val="0"/>
            <w:webHidden/>
            <w:sz w:val="24"/>
            <w:szCs w:val="24"/>
          </w:rPr>
          <w:t>19</w:t>
        </w:r>
        <w:r w:rsidR="00311CE5"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1" w:history="1">
        <w:r w:rsidRPr="00311CE5">
          <w:rPr>
            <w:rStyle w:val="aa"/>
            <w:rFonts w:hint="eastAsia"/>
            <w:b w:val="0"/>
            <w:sz w:val="24"/>
            <w:szCs w:val="24"/>
          </w:rPr>
          <w:t>表</w:t>
        </w:r>
        <w:r w:rsidRPr="00311CE5">
          <w:rPr>
            <w:rStyle w:val="aa"/>
            <w:b w:val="0"/>
            <w:sz w:val="24"/>
            <w:szCs w:val="24"/>
          </w:rPr>
          <w:t xml:space="preserve">2-1-2 </w:t>
        </w:r>
        <w:r w:rsidRPr="00311CE5">
          <w:rPr>
            <w:rStyle w:val="aa"/>
            <w:rFonts w:hint="eastAsia"/>
            <w:b w:val="0"/>
            <w:sz w:val="24"/>
            <w:szCs w:val="24"/>
          </w:rPr>
          <w:t>前三波南向政策期間臺商在東南亞投資產業累計（</w:t>
        </w:r>
        <w:r w:rsidRPr="00311CE5">
          <w:rPr>
            <w:rStyle w:val="aa"/>
            <w:b w:val="0"/>
            <w:sz w:val="24"/>
            <w:szCs w:val="24"/>
          </w:rPr>
          <w:t>1994-2007</w:t>
        </w:r>
        <w:r w:rsidRPr="00311CE5">
          <w:rPr>
            <w:rStyle w:val="aa"/>
            <w:rFonts w:hint="eastAsia"/>
            <w:b w:val="0"/>
            <w:sz w:val="24"/>
            <w:szCs w:val="24"/>
          </w:rPr>
          <w:t>）</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_Toc470676571 \h </w:instrText>
        </w:r>
        <w:r w:rsidRPr="00311CE5">
          <w:rPr>
            <w:b w:val="0"/>
            <w:webHidden/>
            <w:sz w:val="24"/>
            <w:szCs w:val="24"/>
          </w:rPr>
        </w:r>
        <w:r w:rsidRPr="00311CE5">
          <w:rPr>
            <w:b w:val="0"/>
            <w:webHidden/>
            <w:sz w:val="24"/>
            <w:szCs w:val="24"/>
          </w:rPr>
          <w:fldChar w:fldCharType="separate"/>
        </w:r>
        <w:r w:rsidRPr="00311CE5">
          <w:rPr>
            <w:b w:val="0"/>
            <w:webHidden/>
            <w:sz w:val="24"/>
            <w:szCs w:val="24"/>
          </w:rPr>
          <w:t>23</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2" w:history="1">
        <w:r w:rsidRPr="00311CE5">
          <w:rPr>
            <w:rStyle w:val="aa"/>
            <w:rFonts w:hint="eastAsia"/>
            <w:b w:val="0"/>
            <w:sz w:val="24"/>
            <w:szCs w:val="24"/>
          </w:rPr>
          <w:t>表</w:t>
        </w:r>
        <w:r w:rsidRPr="00311CE5">
          <w:rPr>
            <w:rStyle w:val="aa"/>
            <w:b w:val="0"/>
            <w:sz w:val="24"/>
            <w:szCs w:val="24"/>
          </w:rPr>
          <w:t xml:space="preserve">2-2-1 </w:t>
        </w:r>
        <w:r w:rsidRPr="00311CE5">
          <w:rPr>
            <w:rStyle w:val="aa"/>
            <w:rFonts w:hint="eastAsia"/>
            <w:b w:val="0"/>
            <w:sz w:val="24"/>
            <w:szCs w:val="24"/>
          </w:rPr>
          <w:t>臺灣對東協十國進出口統計</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_Toc470676572 \h </w:instrText>
        </w:r>
        <w:r w:rsidRPr="00311CE5">
          <w:rPr>
            <w:b w:val="0"/>
            <w:webHidden/>
            <w:sz w:val="24"/>
            <w:szCs w:val="24"/>
          </w:rPr>
        </w:r>
        <w:r w:rsidRPr="00311CE5">
          <w:rPr>
            <w:b w:val="0"/>
            <w:webHidden/>
            <w:sz w:val="24"/>
            <w:szCs w:val="24"/>
          </w:rPr>
          <w:fldChar w:fldCharType="separate"/>
        </w:r>
        <w:r w:rsidRPr="00311CE5">
          <w:rPr>
            <w:b w:val="0"/>
            <w:webHidden/>
            <w:sz w:val="24"/>
            <w:szCs w:val="24"/>
          </w:rPr>
          <w:t>30</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3" w:history="1">
        <w:r w:rsidRPr="00311CE5">
          <w:rPr>
            <w:rStyle w:val="aa"/>
            <w:rFonts w:hint="eastAsia"/>
            <w:b w:val="0"/>
            <w:sz w:val="24"/>
            <w:szCs w:val="24"/>
          </w:rPr>
          <w:t>表</w:t>
        </w:r>
        <w:r w:rsidRPr="00311CE5">
          <w:rPr>
            <w:rStyle w:val="aa"/>
            <w:b w:val="0"/>
            <w:sz w:val="24"/>
            <w:szCs w:val="24"/>
          </w:rPr>
          <w:t xml:space="preserve">2-2-2 </w:t>
        </w:r>
        <w:r w:rsidRPr="00311CE5">
          <w:rPr>
            <w:rStyle w:val="aa"/>
            <w:rFonts w:hint="eastAsia"/>
            <w:b w:val="0"/>
            <w:sz w:val="24"/>
            <w:szCs w:val="24"/>
          </w:rPr>
          <w:t>臺灣對東協各國進出口統計（</w:t>
        </w:r>
        <w:r w:rsidRPr="00311CE5">
          <w:rPr>
            <w:rStyle w:val="aa"/>
            <w:b w:val="0"/>
            <w:sz w:val="24"/>
            <w:szCs w:val="24"/>
          </w:rPr>
          <w:t>1990-2015</w:t>
        </w:r>
        <w:r w:rsidRPr="00311CE5">
          <w:rPr>
            <w:rStyle w:val="aa"/>
            <w:rFonts w:hint="eastAsia"/>
            <w:b w:val="0"/>
            <w:sz w:val="24"/>
            <w:szCs w:val="24"/>
          </w:rPr>
          <w:t>）</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_Toc470676573 \h </w:instrText>
        </w:r>
        <w:r w:rsidRPr="00311CE5">
          <w:rPr>
            <w:b w:val="0"/>
            <w:webHidden/>
            <w:sz w:val="24"/>
            <w:szCs w:val="24"/>
          </w:rPr>
        </w:r>
        <w:r w:rsidRPr="00311CE5">
          <w:rPr>
            <w:b w:val="0"/>
            <w:webHidden/>
            <w:sz w:val="24"/>
            <w:szCs w:val="24"/>
          </w:rPr>
          <w:fldChar w:fldCharType="separate"/>
        </w:r>
        <w:r w:rsidRPr="00311CE5">
          <w:rPr>
            <w:b w:val="0"/>
            <w:webHidden/>
            <w:sz w:val="24"/>
            <w:szCs w:val="24"/>
          </w:rPr>
          <w:t>32</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4" w:history="1">
        <w:r w:rsidRPr="00311CE5">
          <w:rPr>
            <w:rStyle w:val="aa"/>
            <w:rFonts w:hint="eastAsia"/>
            <w:b w:val="0"/>
            <w:sz w:val="24"/>
            <w:szCs w:val="24"/>
          </w:rPr>
          <w:t>表</w:t>
        </w:r>
        <w:r w:rsidRPr="00311CE5">
          <w:rPr>
            <w:rStyle w:val="aa"/>
            <w:b w:val="0"/>
            <w:sz w:val="24"/>
            <w:szCs w:val="24"/>
          </w:rPr>
          <w:t xml:space="preserve">2-2-3 </w:t>
        </w:r>
        <w:r w:rsidRPr="00311CE5">
          <w:rPr>
            <w:rStyle w:val="aa"/>
            <w:rFonts w:hint="eastAsia"/>
            <w:b w:val="0"/>
            <w:sz w:val="24"/>
            <w:szCs w:val="24"/>
          </w:rPr>
          <w:t>臺灣對印度進出口統計</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_Toc470676574 \h </w:instrText>
        </w:r>
        <w:r w:rsidRPr="00311CE5">
          <w:rPr>
            <w:b w:val="0"/>
            <w:webHidden/>
            <w:sz w:val="24"/>
            <w:szCs w:val="24"/>
          </w:rPr>
        </w:r>
        <w:r w:rsidRPr="00311CE5">
          <w:rPr>
            <w:b w:val="0"/>
            <w:webHidden/>
            <w:sz w:val="24"/>
            <w:szCs w:val="24"/>
          </w:rPr>
          <w:fldChar w:fldCharType="separate"/>
        </w:r>
        <w:r w:rsidRPr="00311CE5">
          <w:rPr>
            <w:b w:val="0"/>
            <w:webHidden/>
            <w:sz w:val="24"/>
            <w:szCs w:val="24"/>
          </w:rPr>
          <w:t>35</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5" w:history="1">
        <w:r w:rsidRPr="00311CE5">
          <w:rPr>
            <w:rStyle w:val="aa"/>
            <w:rFonts w:hint="eastAsia"/>
            <w:b w:val="0"/>
            <w:sz w:val="24"/>
            <w:szCs w:val="24"/>
          </w:rPr>
          <w:t>表</w:t>
        </w:r>
        <w:r w:rsidRPr="00311CE5">
          <w:rPr>
            <w:rStyle w:val="aa"/>
            <w:b w:val="0"/>
            <w:sz w:val="24"/>
            <w:szCs w:val="24"/>
          </w:rPr>
          <w:t xml:space="preserve">2-2-4 </w:t>
        </w:r>
        <w:r w:rsidRPr="00311CE5">
          <w:rPr>
            <w:rStyle w:val="aa"/>
            <w:rFonts w:hint="eastAsia"/>
            <w:b w:val="0"/>
            <w:sz w:val="24"/>
            <w:szCs w:val="24"/>
          </w:rPr>
          <w:t>臺商投資亞洲國家概況一覽表（統計至</w:t>
        </w:r>
        <w:r w:rsidRPr="00311CE5">
          <w:rPr>
            <w:rStyle w:val="aa"/>
            <w:b w:val="0"/>
            <w:sz w:val="24"/>
            <w:szCs w:val="24"/>
          </w:rPr>
          <w:t>2016</w:t>
        </w:r>
        <w:r w:rsidRPr="00311CE5">
          <w:rPr>
            <w:rStyle w:val="aa"/>
            <w:rFonts w:hint="eastAsia"/>
            <w:b w:val="0"/>
            <w:sz w:val="24"/>
            <w:szCs w:val="24"/>
          </w:rPr>
          <w:t>年）</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_Toc470676575 \h </w:instrText>
        </w:r>
        <w:r w:rsidRPr="00311CE5">
          <w:rPr>
            <w:b w:val="0"/>
            <w:webHidden/>
            <w:sz w:val="24"/>
            <w:szCs w:val="24"/>
          </w:rPr>
        </w:r>
        <w:r w:rsidRPr="00311CE5">
          <w:rPr>
            <w:b w:val="0"/>
            <w:webHidden/>
            <w:sz w:val="24"/>
            <w:szCs w:val="24"/>
          </w:rPr>
          <w:fldChar w:fldCharType="separate"/>
        </w:r>
        <w:r w:rsidRPr="00311CE5">
          <w:rPr>
            <w:b w:val="0"/>
            <w:webHidden/>
            <w:sz w:val="24"/>
            <w:szCs w:val="24"/>
          </w:rPr>
          <w:t>38</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6" w:history="1">
        <w:r w:rsidRPr="00311CE5">
          <w:rPr>
            <w:rStyle w:val="aa"/>
            <w:rFonts w:hint="eastAsia"/>
            <w:b w:val="0"/>
            <w:sz w:val="24"/>
            <w:szCs w:val="24"/>
          </w:rPr>
          <w:t>表</w:t>
        </w:r>
        <w:r w:rsidRPr="00311CE5">
          <w:rPr>
            <w:rStyle w:val="aa"/>
            <w:b w:val="0"/>
            <w:sz w:val="24"/>
            <w:szCs w:val="24"/>
          </w:rPr>
          <w:t>2-2-5</w:t>
        </w:r>
        <w:r w:rsidRPr="00311CE5">
          <w:rPr>
            <w:rStyle w:val="aa"/>
            <w:rFonts w:hint="eastAsia"/>
            <w:b w:val="0"/>
            <w:sz w:val="24"/>
            <w:szCs w:val="24"/>
          </w:rPr>
          <w:t>臺灣對東協投資統計</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_Toc470676576 \h </w:instrText>
        </w:r>
        <w:r w:rsidRPr="00311CE5">
          <w:rPr>
            <w:b w:val="0"/>
            <w:webHidden/>
            <w:sz w:val="24"/>
            <w:szCs w:val="24"/>
          </w:rPr>
        </w:r>
        <w:r w:rsidRPr="00311CE5">
          <w:rPr>
            <w:b w:val="0"/>
            <w:webHidden/>
            <w:sz w:val="24"/>
            <w:szCs w:val="24"/>
          </w:rPr>
          <w:fldChar w:fldCharType="separate"/>
        </w:r>
        <w:r w:rsidRPr="00311CE5">
          <w:rPr>
            <w:b w:val="0"/>
            <w:webHidden/>
            <w:sz w:val="24"/>
            <w:szCs w:val="24"/>
          </w:rPr>
          <w:t>39</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7" w:history="1">
        <w:r w:rsidRPr="00311CE5">
          <w:rPr>
            <w:rStyle w:val="aa"/>
            <w:rFonts w:hint="eastAsia"/>
            <w:b w:val="0"/>
            <w:sz w:val="24"/>
            <w:szCs w:val="24"/>
          </w:rPr>
          <w:t>表</w:t>
        </w:r>
        <w:r w:rsidRPr="00311CE5">
          <w:rPr>
            <w:rStyle w:val="aa"/>
            <w:b w:val="0"/>
            <w:sz w:val="24"/>
            <w:szCs w:val="24"/>
          </w:rPr>
          <w:t>2-2-6</w:t>
        </w:r>
        <w:r w:rsidRPr="00311CE5">
          <w:rPr>
            <w:rStyle w:val="aa"/>
            <w:rFonts w:hint="eastAsia"/>
            <w:b w:val="0"/>
            <w:sz w:val="24"/>
            <w:szCs w:val="24"/>
          </w:rPr>
          <w:t>臺灣對印度投資統計</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_Toc470676577 \h </w:instrText>
        </w:r>
        <w:r w:rsidRPr="00311CE5">
          <w:rPr>
            <w:b w:val="0"/>
            <w:webHidden/>
            <w:sz w:val="24"/>
            <w:szCs w:val="24"/>
          </w:rPr>
        </w:r>
        <w:r w:rsidRPr="00311CE5">
          <w:rPr>
            <w:b w:val="0"/>
            <w:webHidden/>
            <w:sz w:val="24"/>
            <w:szCs w:val="24"/>
          </w:rPr>
          <w:fldChar w:fldCharType="separate"/>
        </w:r>
        <w:r w:rsidRPr="00311CE5">
          <w:rPr>
            <w:b w:val="0"/>
            <w:webHidden/>
            <w:sz w:val="24"/>
            <w:szCs w:val="24"/>
          </w:rPr>
          <w:t>44</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8" w:history="1">
        <w:r w:rsidRPr="00311CE5">
          <w:rPr>
            <w:rStyle w:val="aa"/>
            <w:rFonts w:hint="eastAsia"/>
            <w:b w:val="0"/>
            <w:sz w:val="24"/>
            <w:szCs w:val="24"/>
          </w:rPr>
          <w:t>表</w:t>
        </w:r>
        <w:r w:rsidRPr="00311CE5">
          <w:rPr>
            <w:rStyle w:val="aa"/>
            <w:b w:val="0"/>
            <w:sz w:val="24"/>
            <w:szCs w:val="24"/>
          </w:rPr>
          <w:t xml:space="preserve">2-3-1 </w:t>
        </w:r>
        <w:r w:rsidRPr="00311CE5">
          <w:rPr>
            <w:rStyle w:val="aa"/>
            <w:rFonts w:hint="eastAsia"/>
            <w:b w:val="0"/>
            <w:sz w:val="24"/>
            <w:szCs w:val="24"/>
          </w:rPr>
          <w:t>新加坡產業發展、外人投資與貿易政策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_Toc470676578 \h </w:instrText>
        </w:r>
        <w:r w:rsidRPr="00311CE5">
          <w:rPr>
            <w:b w:val="0"/>
            <w:webHidden/>
            <w:sz w:val="24"/>
            <w:szCs w:val="24"/>
          </w:rPr>
        </w:r>
        <w:r w:rsidRPr="00311CE5">
          <w:rPr>
            <w:b w:val="0"/>
            <w:webHidden/>
            <w:sz w:val="24"/>
            <w:szCs w:val="24"/>
          </w:rPr>
          <w:fldChar w:fldCharType="separate"/>
        </w:r>
        <w:r w:rsidRPr="00311CE5">
          <w:rPr>
            <w:b w:val="0"/>
            <w:webHidden/>
            <w:sz w:val="24"/>
            <w:szCs w:val="24"/>
          </w:rPr>
          <w:t>51</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79" w:history="1">
        <w:r w:rsidRPr="00311CE5">
          <w:rPr>
            <w:rStyle w:val="aa"/>
            <w:rFonts w:hint="eastAsia"/>
            <w:b w:val="0"/>
            <w:sz w:val="24"/>
            <w:szCs w:val="24"/>
          </w:rPr>
          <w:t>表</w:t>
        </w:r>
        <w:r w:rsidRPr="00311CE5">
          <w:rPr>
            <w:rStyle w:val="aa"/>
            <w:b w:val="0"/>
            <w:sz w:val="24"/>
            <w:szCs w:val="24"/>
          </w:rPr>
          <w:t xml:space="preserve">2-3-2 </w:t>
        </w:r>
        <w:r w:rsidRPr="00311CE5">
          <w:rPr>
            <w:rStyle w:val="aa"/>
            <w:rFonts w:hint="eastAsia"/>
            <w:b w:val="0"/>
            <w:sz w:val="24"/>
            <w:szCs w:val="24"/>
          </w:rPr>
          <w:t>印尼產業發展、外人投資與貿易政策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_Toc470676579 \h </w:instrText>
        </w:r>
        <w:r w:rsidRPr="00311CE5">
          <w:rPr>
            <w:b w:val="0"/>
            <w:webHidden/>
            <w:sz w:val="24"/>
            <w:szCs w:val="24"/>
          </w:rPr>
        </w:r>
        <w:r w:rsidRPr="00311CE5">
          <w:rPr>
            <w:b w:val="0"/>
            <w:webHidden/>
            <w:sz w:val="24"/>
            <w:szCs w:val="24"/>
          </w:rPr>
          <w:fldChar w:fldCharType="separate"/>
        </w:r>
        <w:r w:rsidRPr="00311CE5">
          <w:rPr>
            <w:b w:val="0"/>
            <w:webHidden/>
            <w:sz w:val="24"/>
            <w:szCs w:val="24"/>
          </w:rPr>
          <w:t>52</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0" w:history="1">
        <w:r w:rsidRPr="00311CE5">
          <w:rPr>
            <w:rStyle w:val="aa"/>
            <w:rFonts w:hint="eastAsia"/>
            <w:b w:val="0"/>
            <w:sz w:val="24"/>
            <w:szCs w:val="24"/>
          </w:rPr>
          <w:t>表</w:t>
        </w:r>
        <w:r w:rsidRPr="00311CE5">
          <w:rPr>
            <w:rStyle w:val="aa"/>
            <w:b w:val="0"/>
            <w:sz w:val="24"/>
            <w:szCs w:val="24"/>
          </w:rPr>
          <w:t xml:space="preserve">2-3-3 </w:t>
        </w:r>
        <w:r w:rsidRPr="00311CE5">
          <w:rPr>
            <w:rStyle w:val="aa"/>
            <w:rFonts w:hint="eastAsia"/>
            <w:b w:val="0"/>
            <w:sz w:val="24"/>
            <w:szCs w:val="24"/>
          </w:rPr>
          <w:t>泰國產業發展、外人投資與貿易政策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_Toc470676580 \h </w:instrText>
        </w:r>
        <w:r w:rsidRPr="00311CE5">
          <w:rPr>
            <w:b w:val="0"/>
            <w:webHidden/>
            <w:sz w:val="24"/>
            <w:szCs w:val="24"/>
          </w:rPr>
        </w:r>
        <w:r w:rsidRPr="00311CE5">
          <w:rPr>
            <w:b w:val="0"/>
            <w:webHidden/>
            <w:sz w:val="24"/>
            <w:szCs w:val="24"/>
          </w:rPr>
          <w:fldChar w:fldCharType="separate"/>
        </w:r>
        <w:r w:rsidRPr="00311CE5">
          <w:rPr>
            <w:b w:val="0"/>
            <w:webHidden/>
            <w:sz w:val="24"/>
            <w:szCs w:val="24"/>
          </w:rPr>
          <w:t>53</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1" w:history="1">
        <w:r w:rsidRPr="00311CE5">
          <w:rPr>
            <w:rStyle w:val="aa"/>
            <w:rFonts w:hint="eastAsia"/>
            <w:b w:val="0"/>
            <w:sz w:val="24"/>
            <w:szCs w:val="24"/>
          </w:rPr>
          <w:t>表</w:t>
        </w:r>
        <w:r w:rsidRPr="00311CE5">
          <w:rPr>
            <w:rStyle w:val="aa"/>
            <w:b w:val="0"/>
            <w:sz w:val="24"/>
            <w:szCs w:val="24"/>
          </w:rPr>
          <w:t xml:space="preserve">2-3-4 </w:t>
        </w:r>
        <w:r w:rsidRPr="00311CE5">
          <w:rPr>
            <w:rStyle w:val="aa"/>
            <w:rFonts w:hint="eastAsia"/>
            <w:b w:val="0"/>
            <w:sz w:val="24"/>
            <w:szCs w:val="24"/>
          </w:rPr>
          <w:t>馬來西亞產業發展、外人投資與貿易政策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_Toc470676581 \h </w:instrText>
        </w:r>
        <w:r w:rsidRPr="00311CE5">
          <w:rPr>
            <w:b w:val="0"/>
            <w:webHidden/>
            <w:sz w:val="24"/>
            <w:szCs w:val="24"/>
          </w:rPr>
        </w:r>
        <w:r w:rsidRPr="00311CE5">
          <w:rPr>
            <w:b w:val="0"/>
            <w:webHidden/>
            <w:sz w:val="24"/>
            <w:szCs w:val="24"/>
          </w:rPr>
          <w:fldChar w:fldCharType="separate"/>
        </w:r>
        <w:r w:rsidRPr="00311CE5">
          <w:rPr>
            <w:b w:val="0"/>
            <w:webHidden/>
            <w:sz w:val="24"/>
            <w:szCs w:val="24"/>
          </w:rPr>
          <w:t>54</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2" w:history="1">
        <w:r w:rsidRPr="00311CE5">
          <w:rPr>
            <w:rStyle w:val="aa"/>
            <w:rFonts w:hint="eastAsia"/>
            <w:b w:val="0"/>
            <w:sz w:val="24"/>
            <w:szCs w:val="24"/>
          </w:rPr>
          <w:t>表</w:t>
        </w:r>
        <w:r w:rsidRPr="00311CE5">
          <w:rPr>
            <w:rStyle w:val="aa"/>
            <w:b w:val="0"/>
            <w:sz w:val="24"/>
            <w:szCs w:val="24"/>
          </w:rPr>
          <w:t xml:space="preserve">2-3-5 </w:t>
        </w:r>
        <w:r w:rsidRPr="00311CE5">
          <w:rPr>
            <w:rStyle w:val="aa"/>
            <w:rFonts w:hint="eastAsia"/>
            <w:b w:val="0"/>
            <w:sz w:val="24"/>
            <w:szCs w:val="24"/>
          </w:rPr>
          <w:t>菲律賓產業發展、外人投資與貿易政策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_Toc470676582 \h </w:instrText>
        </w:r>
        <w:r w:rsidRPr="00311CE5">
          <w:rPr>
            <w:b w:val="0"/>
            <w:webHidden/>
            <w:sz w:val="24"/>
            <w:szCs w:val="24"/>
          </w:rPr>
        </w:r>
        <w:r w:rsidRPr="00311CE5">
          <w:rPr>
            <w:b w:val="0"/>
            <w:webHidden/>
            <w:sz w:val="24"/>
            <w:szCs w:val="24"/>
          </w:rPr>
          <w:fldChar w:fldCharType="separate"/>
        </w:r>
        <w:r w:rsidRPr="00311CE5">
          <w:rPr>
            <w:b w:val="0"/>
            <w:webHidden/>
            <w:sz w:val="24"/>
            <w:szCs w:val="24"/>
          </w:rPr>
          <w:t>55</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3" w:history="1">
        <w:r w:rsidRPr="00311CE5">
          <w:rPr>
            <w:rStyle w:val="aa"/>
            <w:rFonts w:hint="eastAsia"/>
            <w:b w:val="0"/>
            <w:sz w:val="24"/>
            <w:szCs w:val="24"/>
          </w:rPr>
          <w:t>表</w:t>
        </w:r>
        <w:r w:rsidRPr="00311CE5">
          <w:rPr>
            <w:rStyle w:val="aa"/>
            <w:b w:val="0"/>
            <w:sz w:val="24"/>
            <w:szCs w:val="24"/>
          </w:rPr>
          <w:t xml:space="preserve">2-3-6 </w:t>
        </w:r>
        <w:r w:rsidRPr="00311CE5">
          <w:rPr>
            <w:rStyle w:val="aa"/>
            <w:rFonts w:hint="eastAsia"/>
            <w:b w:val="0"/>
            <w:sz w:val="24"/>
            <w:szCs w:val="24"/>
          </w:rPr>
          <w:t>越南產業發展、外人投資與貿易政策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_Toc470676583 \h </w:instrText>
        </w:r>
        <w:r w:rsidRPr="00311CE5">
          <w:rPr>
            <w:b w:val="0"/>
            <w:webHidden/>
            <w:sz w:val="24"/>
            <w:szCs w:val="24"/>
          </w:rPr>
        </w:r>
        <w:r w:rsidRPr="00311CE5">
          <w:rPr>
            <w:b w:val="0"/>
            <w:webHidden/>
            <w:sz w:val="24"/>
            <w:szCs w:val="24"/>
          </w:rPr>
          <w:fldChar w:fldCharType="separate"/>
        </w:r>
        <w:r w:rsidRPr="00311CE5">
          <w:rPr>
            <w:b w:val="0"/>
            <w:webHidden/>
            <w:sz w:val="24"/>
            <w:szCs w:val="24"/>
          </w:rPr>
          <w:t>56</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4" w:history="1">
        <w:r w:rsidRPr="00311CE5">
          <w:rPr>
            <w:rStyle w:val="aa"/>
            <w:rFonts w:hint="eastAsia"/>
            <w:b w:val="0"/>
            <w:sz w:val="24"/>
            <w:szCs w:val="24"/>
          </w:rPr>
          <w:t>表</w:t>
        </w:r>
        <w:r w:rsidRPr="00311CE5">
          <w:rPr>
            <w:rStyle w:val="aa"/>
            <w:b w:val="0"/>
            <w:sz w:val="24"/>
            <w:szCs w:val="24"/>
          </w:rPr>
          <w:t xml:space="preserve">2-3-7 </w:t>
        </w:r>
        <w:r w:rsidRPr="00311CE5">
          <w:rPr>
            <w:rStyle w:val="aa"/>
            <w:rFonts w:hint="eastAsia"/>
            <w:b w:val="0"/>
            <w:sz w:val="24"/>
            <w:szCs w:val="24"/>
          </w:rPr>
          <w:t>緬甸產業發展、外人投資與貿易政策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_Toc470676584 \h </w:instrText>
        </w:r>
        <w:r w:rsidRPr="00311CE5">
          <w:rPr>
            <w:b w:val="0"/>
            <w:webHidden/>
            <w:sz w:val="24"/>
            <w:szCs w:val="24"/>
          </w:rPr>
        </w:r>
        <w:r w:rsidRPr="00311CE5">
          <w:rPr>
            <w:b w:val="0"/>
            <w:webHidden/>
            <w:sz w:val="24"/>
            <w:szCs w:val="24"/>
          </w:rPr>
          <w:fldChar w:fldCharType="separate"/>
        </w:r>
        <w:r w:rsidRPr="00311CE5">
          <w:rPr>
            <w:b w:val="0"/>
            <w:webHidden/>
            <w:sz w:val="24"/>
            <w:szCs w:val="24"/>
          </w:rPr>
          <w:t>57</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5" w:history="1">
        <w:r w:rsidRPr="00311CE5">
          <w:rPr>
            <w:rStyle w:val="aa"/>
            <w:rFonts w:hint="eastAsia"/>
            <w:b w:val="0"/>
            <w:sz w:val="24"/>
            <w:szCs w:val="24"/>
          </w:rPr>
          <w:t>表</w:t>
        </w:r>
        <w:r w:rsidRPr="00311CE5">
          <w:rPr>
            <w:rStyle w:val="aa"/>
            <w:b w:val="0"/>
            <w:sz w:val="24"/>
            <w:szCs w:val="24"/>
          </w:rPr>
          <w:t xml:space="preserve">2-3-8 </w:t>
        </w:r>
        <w:r w:rsidRPr="00311CE5">
          <w:rPr>
            <w:rStyle w:val="aa"/>
            <w:rFonts w:hint="eastAsia"/>
            <w:b w:val="0"/>
            <w:sz w:val="24"/>
            <w:szCs w:val="24"/>
          </w:rPr>
          <w:t>柬埔寨產業發展、外人投資與貿易政策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_Toc470676585 \h </w:instrText>
        </w:r>
        <w:r w:rsidRPr="00311CE5">
          <w:rPr>
            <w:b w:val="0"/>
            <w:webHidden/>
            <w:sz w:val="24"/>
            <w:szCs w:val="24"/>
          </w:rPr>
        </w:r>
        <w:r w:rsidRPr="00311CE5">
          <w:rPr>
            <w:b w:val="0"/>
            <w:webHidden/>
            <w:sz w:val="24"/>
            <w:szCs w:val="24"/>
          </w:rPr>
          <w:fldChar w:fldCharType="separate"/>
        </w:r>
        <w:r w:rsidRPr="00311CE5">
          <w:rPr>
            <w:b w:val="0"/>
            <w:webHidden/>
            <w:sz w:val="24"/>
            <w:szCs w:val="24"/>
          </w:rPr>
          <w:t>58</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6" w:history="1">
        <w:r w:rsidRPr="00311CE5">
          <w:rPr>
            <w:rStyle w:val="aa"/>
            <w:rFonts w:hint="eastAsia"/>
            <w:b w:val="0"/>
            <w:sz w:val="24"/>
            <w:szCs w:val="24"/>
          </w:rPr>
          <w:t>表</w:t>
        </w:r>
        <w:r w:rsidRPr="00311CE5">
          <w:rPr>
            <w:rStyle w:val="aa"/>
            <w:b w:val="0"/>
            <w:sz w:val="24"/>
            <w:szCs w:val="24"/>
          </w:rPr>
          <w:t xml:space="preserve">2-3-9 </w:t>
        </w:r>
        <w:r w:rsidRPr="00311CE5">
          <w:rPr>
            <w:rStyle w:val="aa"/>
            <w:rFonts w:hint="eastAsia"/>
            <w:b w:val="0"/>
            <w:sz w:val="24"/>
            <w:szCs w:val="24"/>
          </w:rPr>
          <w:t>寮國產業發展、外人投資與貿易政策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_Toc470676586 \h </w:instrText>
        </w:r>
        <w:r w:rsidRPr="00311CE5">
          <w:rPr>
            <w:b w:val="0"/>
            <w:webHidden/>
            <w:sz w:val="24"/>
            <w:szCs w:val="24"/>
          </w:rPr>
        </w:r>
        <w:r w:rsidRPr="00311CE5">
          <w:rPr>
            <w:b w:val="0"/>
            <w:webHidden/>
            <w:sz w:val="24"/>
            <w:szCs w:val="24"/>
          </w:rPr>
          <w:fldChar w:fldCharType="separate"/>
        </w:r>
        <w:r w:rsidRPr="00311CE5">
          <w:rPr>
            <w:b w:val="0"/>
            <w:webHidden/>
            <w:sz w:val="24"/>
            <w:szCs w:val="24"/>
          </w:rPr>
          <w:t>59</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7" w:history="1">
        <w:r w:rsidRPr="00311CE5">
          <w:rPr>
            <w:rStyle w:val="aa"/>
            <w:rFonts w:hint="eastAsia"/>
            <w:b w:val="0"/>
            <w:sz w:val="24"/>
            <w:szCs w:val="24"/>
          </w:rPr>
          <w:t>表</w:t>
        </w:r>
        <w:r w:rsidRPr="00311CE5">
          <w:rPr>
            <w:rStyle w:val="aa"/>
            <w:b w:val="0"/>
            <w:sz w:val="24"/>
            <w:szCs w:val="24"/>
          </w:rPr>
          <w:t xml:space="preserve">2-3-10 </w:t>
        </w:r>
        <w:r w:rsidRPr="00311CE5">
          <w:rPr>
            <w:rStyle w:val="aa"/>
            <w:rFonts w:hint="eastAsia"/>
            <w:b w:val="0"/>
            <w:sz w:val="24"/>
            <w:szCs w:val="24"/>
          </w:rPr>
          <w:t>汶萊產業發展、外人投資與貿易政策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_Toc470676587 \h </w:instrText>
        </w:r>
        <w:r w:rsidRPr="00311CE5">
          <w:rPr>
            <w:b w:val="0"/>
            <w:webHidden/>
            <w:sz w:val="24"/>
            <w:szCs w:val="24"/>
          </w:rPr>
        </w:r>
        <w:r w:rsidRPr="00311CE5">
          <w:rPr>
            <w:b w:val="0"/>
            <w:webHidden/>
            <w:sz w:val="24"/>
            <w:szCs w:val="24"/>
          </w:rPr>
          <w:fldChar w:fldCharType="separate"/>
        </w:r>
        <w:r w:rsidRPr="00311CE5">
          <w:rPr>
            <w:b w:val="0"/>
            <w:webHidden/>
            <w:sz w:val="24"/>
            <w:szCs w:val="24"/>
          </w:rPr>
          <w:t>60</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8" w:history="1">
        <w:r w:rsidRPr="00311CE5">
          <w:rPr>
            <w:rStyle w:val="aa"/>
            <w:rFonts w:hint="eastAsia"/>
            <w:b w:val="0"/>
            <w:sz w:val="24"/>
            <w:szCs w:val="24"/>
          </w:rPr>
          <w:t>表</w:t>
        </w:r>
        <w:r w:rsidRPr="00311CE5">
          <w:rPr>
            <w:rStyle w:val="aa"/>
            <w:b w:val="0"/>
            <w:sz w:val="24"/>
            <w:szCs w:val="24"/>
          </w:rPr>
          <w:t xml:space="preserve">2-3-11 </w:t>
        </w:r>
        <w:r w:rsidRPr="00311CE5">
          <w:rPr>
            <w:rStyle w:val="aa"/>
            <w:rFonts w:hint="eastAsia"/>
            <w:b w:val="0"/>
            <w:sz w:val="24"/>
            <w:szCs w:val="24"/>
          </w:rPr>
          <w:t>印度產業發展、外人投資與貿易政策</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_Toc470676588 \h </w:instrText>
        </w:r>
        <w:r w:rsidRPr="00311CE5">
          <w:rPr>
            <w:b w:val="0"/>
            <w:webHidden/>
            <w:sz w:val="24"/>
            <w:szCs w:val="24"/>
          </w:rPr>
        </w:r>
        <w:r w:rsidRPr="00311CE5">
          <w:rPr>
            <w:b w:val="0"/>
            <w:webHidden/>
            <w:sz w:val="24"/>
            <w:szCs w:val="24"/>
          </w:rPr>
          <w:fldChar w:fldCharType="separate"/>
        </w:r>
        <w:r w:rsidRPr="00311CE5">
          <w:rPr>
            <w:b w:val="0"/>
            <w:webHidden/>
            <w:sz w:val="24"/>
            <w:szCs w:val="24"/>
          </w:rPr>
          <w:t>61</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89" w:history="1">
        <w:r w:rsidRPr="00311CE5">
          <w:rPr>
            <w:rStyle w:val="aa"/>
            <w:rFonts w:hint="eastAsia"/>
            <w:b w:val="0"/>
            <w:sz w:val="24"/>
            <w:szCs w:val="24"/>
          </w:rPr>
          <w:t>表</w:t>
        </w:r>
        <w:r w:rsidRPr="00311CE5">
          <w:rPr>
            <w:rStyle w:val="aa"/>
            <w:b w:val="0"/>
            <w:sz w:val="24"/>
            <w:szCs w:val="24"/>
          </w:rPr>
          <w:t xml:space="preserve">2-3-12 </w:t>
        </w:r>
        <w:r w:rsidRPr="00311CE5">
          <w:rPr>
            <w:rStyle w:val="aa"/>
            <w:rFonts w:hint="eastAsia"/>
            <w:b w:val="0"/>
            <w:sz w:val="24"/>
            <w:szCs w:val="24"/>
          </w:rPr>
          <w:t>東南亞各國與印度開放外人投資之重點項目</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_Toc470676589 \h </w:instrText>
        </w:r>
        <w:r w:rsidRPr="00311CE5">
          <w:rPr>
            <w:b w:val="0"/>
            <w:webHidden/>
            <w:sz w:val="24"/>
            <w:szCs w:val="24"/>
          </w:rPr>
        </w:r>
        <w:r w:rsidRPr="00311CE5">
          <w:rPr>
            <w:b w:val="0"/>
            <w:webHidden/>
            <w:sz w:val="24"/>
            <w:szCs w:val="24"/>
          </w:rPr>
          <w:fldChar w:fldCharType="separate"/>
        </w:r>
        <w:r w:rsidRPr="00311CE5">
          <w:rPr>
            <w:b w:val="0"/>
            <w:webHidden/>
            <w:sz w:val="24"/>
            <w:szCs w:val="24"/>
          </w:rPr>
          <w:t>62</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0" w:history="1">
        <w:r w:rsidRPr="00311CE5">
          <w:rPr>
            <w:rStyle w:val="aa"/>
            <w:rFonts w:hint="eastAsia"/>
            <w:b w:val="0"/>
            <w:sz w:val="24"/>
            <w:szCs w:val="24"/>
          </w:rPr>
          <w:t>表</w:t>
        </w:r>
        <w:r w:rsidRPr="00311CE5">
          <w:rPr>
            <w:rStyle w:val="aa"/>
            <w:b w:val="0"/>
            <w:sz w:val="24"/>
            <w:szCs w:val="24"/>
          </w:rPr>
          <w:t>3-1-1 2016</w:t>
        </w:r>
        <w:r w:rsidRPr="00311CE5">
          <w:rPr>
            <w:rStyle w:val="aa"/>
            <w:rFonts w:hint="eastAsia"/>
            <w:b w:val="0"/>
            <w:sz w:val="24"/>
            <w:szCs w:val="24"/>
          </w:rPr>
          <w:t>年早稻田大學世界電子化政府進度排名</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_Toc470676590 \h </w:instrText>
        </w:r>
        <w:r w:rsidRPr="00311CE5">
          <w:rPr>
            <w:b w:val="0"/>
            <w:webHidden/>
            <w:sz w:val="24"/>
            <w:szCs w:val="24"/>
          </w:rPr>
        </w:r>
        <w:r w:rsidRPr="00311CE5">
          <w:rPr>
            <w:b w:val="0"/>
            <w:webHidden/>
            <w:sz w:val="24"/>
            <w:szCs w:val="24"/>
          </w:rPr>
          <w:fldChar w:fldCharType="separate"/>
        </w:r>
        <w:r w:rsidRPr="00311CE5">
          <w:rPr>
            <w:b w:val="0"/>
            <w:webHidden/>
            <w:sz w:val="24"/>
            <w:szCs w:val="24"/>
          </w:rPr>
          <w:t>75</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1" w:history="1">
        <w:r w:rsidRPr="00311CE5">
          <w:rPr>
            <w:rStyle w:val="aa"/>
            <w:rFonts w:hint="eastAsia"/>
            <w:b w:val="0"/>
            <w:sz w:val="24"/>
            <w:szCs w:val="24"/>
          </w:rPr>
          <w:t>表</w:t>
        </w:r>
        <w:r w:rsidRPr="00311CE5">
          <w:rPr>
            <w:rStyle w:val="aa"/>
            <w:b w:val="0"/>
            <w:sz w:val="24"/>
            <w:szCs w:val="24"/>
          </w:rPr>
          <w:t>3-1-2 2016</w:t>
        </w:r>
        <w:r w:rsidRPr="00311CE5">
          <w:rPr>
            <w:rStyle w:val="aa"/>
            <w:rFonts w:hint="eastAsia"/>
            <w:b w:val="0"/>
            <w:sz w:val="24"/>
            <w:szCs w:val="24"/>
          </w:rPr>
          <w:t>年早稻田大學世界</w:t>
        </w:r>
        <w:r w:rsidRPr="00311CE5">
          <w:rPr>
            <w:rStyle w:val="aa"/>
            <w:b w:val="0"/>
            <w:sz w:val="24"/>
            <w:szCs w:val="24"/>
          </w:rPr>
          <w:t>top 10</w:t>
        </w:r>
        <w:r w:rsidRPr="00311CE5">
          <w:rPr>
            <w:rStyle w:val="aa"/>
            <w:rFonts w:hint="eastAsia"/>
            <w:b w:val="0"/>
            <w:sz w:val="24"/>
            <w:szCs w:val="24"/>
          </w:rPr>
          <w:t>電子化政府指標排名</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_Toc470676591 \h </w:instrText>
        </w:r>
        <w:r w:rsidRPr="00311CE5">
          <w:rPr>
            <w:b w:val="0"/>
            <w:webHidden/>
            <w:sz w:val="24"/>
            <w:szCs w:val="24"/>
          </w:rPr>
        </w:r>
        <w:r w:rsidRPr="00311CE5">
          <w:rPr>
            <w:b w:val="0"/>
            <w:webHidden/>
            <w:sz w:val="24"/>
            <w:szCs w:val="24"/>
          </w:rPr>
          <w:fldChar w:fldCharType="separate"/>
        </w:r>
        <w:r w:rsidRPr="00311CE5">
          <w:rPr>
            <w:b w:val="0"/>
            <w:webHidden/>
            <w:sz w:val="24"/>
            <w:szCs w:val="24"/>
          </w:rPr>
          <w:t>76</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2" w:history="1">
        <w:r w:rsidRPr="00311CE5">
          <w:rPr>
            <w:rStyle w:val="aa"/>
            <w:rFonts w:hint="eastAsia"/>
            <w:b w:val="0"/>
            <w:sz w:val="24"/>
            <w:szCs w:val="24"/>
          </w:rPr>
          <w:t>表</w:t>
        </w:r>
        <w:r w:rsidRPr="00311CE5">
          <w:rPr>
            <w:rStyle w:val="aa"/>
            <w:b w:val="0"/>
            <w:sz w:val="24"/>
            <w:szCs w:val="24"/>
          </w:rPr>
          <w:t xml:space="preserve">3-2-1 </w:t>
        </w:r>
        <w:r w:rsidRPr="00311CE5">
          <w:rPr>
            <w:rStyle w:val="aa"/>
            <w:rFonts w:hint="eastAsia"/>
            <w:b w:val="0"/>
            <w:sz w:val="24"/>
            <w:szCs w:val="24"/>
          </w:rPr>
          <w:t>亞洲知名的跨境電子商務平臺</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_Toc470676592 \h </w:instrText>
        </w:r>
        <w:r w:rsidRPr="00311CE5">
          <w:rPr>
            <w:b w:val="0"/>
            <w:webHidden/>
            <w:sz w:val="24"/>
            <w:szCs w:val="24"/>
          </w:rPr>
        </w:r>
        <w:r w:rsidRPr="00311CE5">
          <w:rPr>
            <w:b w:val="0"/>
            <w:webHidden/>
            <w:sz w:val="24"/>
            <w:szCs w:val="24"/>
          </w:rPr>
          <w:fldChar w:fldCharType="separate"/>
        </w:r>
        <w:r w:rsidRPr="00311CE5">
          <w:rPr>
            <w:b w:val="0"/>
            <w:webHidden/>
            <w:sz w:val="24"/>
            <w:szCs w:val="24"/>
          </w:rPr>
          <w:t>82</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3" w:history="1">
        <w:r w:rsidRPr="00311CE5">
          <w:rPr>
            <w:rStyle w:val="aa"/>
            <w:rFonts w:hint="eastAsia"/>
            <w:b w:val="0"/>
            <w:sz w:val="24"/>
            <w:szCs w:val="24"/>
          </w:rPr>
          <w:t>表</w:t>
        </w:r>
        <w:r w:rsidRPr="00311CE5">
          <w:rPr>
            <w:rStyle w:val="aa"/>
            <w:b w:val="0"/>
            <w:sz w:val="24"/>
            <w:szCs w:val="24"/>
          </w:rPr>
          <w:t xml:space="preserve">3-3-1 </w:t>
        </w:r>
        <w:r w:rsidRPr="00311CE5">
          <w:rPr>
            <w:rStyle w:val="aa"/>
            <w:rFonts w:hint="eastAsia"/>
            <w:b w:val="0"/>
            <w:sz w:val="24"/>
            <w:szCs w:val="24"/>
          </w:rPr>
          <w:t>我國太陽光電產業鏈概況</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_Toc470676593 \h </w:instrText>
        </w:r>
        <w:r w:rsidRPr="00311CE5">
          <w:rPr>
            <w:b w:val="0"/>
            <w:webHidden/>
            <w:sz w:val="24"/>
            <w:szCs w:val="24"/>
          </w:rPr>
        </w:r>
        <w:r w:rsidRPr="00311CE5">
          <w:rPr>
            <w:b w:val="0"/>
            <w:webHidden/>
            <w:sz w:val="24"/>
            <w:szCs w:val="24"/>
          </w:rPr>
          <w:fldChar w:fldCharType="separate"/>
        </w:r>
        <w:r w:rsidRPr="00311CE5">
          <w:rPr>
            <w:b w:val="0"/>
            <w:webHidden/>
            <w:sz w:val="24"/>
            <w:szCs w:val="24"/>
          </w:rPr>
          <w:t>94</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4" w:history="1">
        <w:r w:rsidRPr="00311CE5">
          <w:rPr>
            <w:rStyle w:val="aa"/>
            <w:rFonts w:hint="eastAsia"/>
            <w:b w:val="0"/>
            <w:sz w:val="24"/>
            <w:szCs w:val="24"/>
          </w:rPr>
          <w:t>表</w:t>
        </w:r>
        <w:r w:rsidRPr="00311CE5">
          <w:rPr>
            <w:rStyle w:val="aa"/>
            <w:b w:val="0"/>
            <w:sz w:val="24"/>
            <w:szCs w:val="24"/>
          </w:rPr>
          <w:t xml:space="preserve">3-3-2 </w:t>
        </w:r>
        <w:r w:rsidRPr="00311CE5">
          <w:rPr>
            <w:rStyle w:val="aa"/>
            <w:rFonts w:hint="eastAsia"/>
            <w:b w:val="0"/>
            <w:sz w:val="24"/>
            <w:szCs w:val="24"/>
          </w:rPr>
          <w:t>我國</w:t>
        </w:r>
        <w:r w:rsidRPr="00311CE5">
          <w:rPr>
            <w:rStyle w:val="aa"/>
            <w:b w:val="0"/>
            <w:sz w:val="24"/>
            <w:szCs w:val="24"/>
          </w:rPr>
          <w:t>LED</w:t>
        </w:r>
        <w:r w:rsidRPr="00311CE5">
          <w:rPr>
            <w:rStyle w:val="aa"/>
            <w:rFonts w:hint="eastAsia"/>
            <w:b w:val="0"/>
            <w:sz w:val="24"/>
            <w:szCs w:val="24"/>
          </w:rPr>
          <w:t>照明光電產業鏈概況</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_Toc470676594 \h </w:instrText>
        </w:r>
        <w:r w:rsidRPr="00311CE5">
          <w:rPr>
            <w:b w:val="0"/>
            <w:webHidden/>
            <w:sz w:val="24"/>
            <w:szCs w:val="24"/>
          </w:rPr>
        </w:r>
        <w:r w:rsidRPr="00311CE5">
          <w:rPr>
            <w:b w:val="0"/>
            <w:webHidden/>
            <w:sz w:val="24"/>
            <w:szCs w:val="24"/>
          </w:rPr>
          <w:fldChar w:fldCharType="separate"/>
        </w:r>
        <w:r w:rsidRPr="00311CE5">
          <w:rPr>
            <w:b w:val="0"/>
            <w:webHidden/>
            <w:sz w:val="24"/>
            <w:szCs w:val="24"/>
          </w:rPr>
          <w:t>97</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5" w:history="1">
        <w:r w:rsidRPr="00311CE5">
          <w:rPr>
            <w:rStyle w:val="aa"/>
            <w:rFonts w:hint="eastAsia"/>
            <w:b w:val="0"/>
            <w:sz w:val="24"/>
            <w:szCs w:val="24"/>
          </w:rPr>
          <w:t>表</w:t>
        </w:r>
        <w:r w:rsidRPr="00311CE5">
          <w:rPr>
            <w:rStyle w:val="aa"/>
            <w:b w:val="0"/>
            <w:sz w:val="24"/>
            <w:szCs w:val="24"/>
          </w:rPr>
          <w:t xml:space="preserve">3-3-3 </w:t>
        </w:r>
        <w:r w:rsidRPr="00311CE5">
          <w:rPr>
            <w:rStyle w:val="aa"/>
            <w:rFonts w:hint="eastAsia"/>
            <w:b w:val="0"/>
            <w:sz w:val="24"/>
            <w:szCs w:val="24"/>
          </w:rPr>
          <w:t>我國</w:t>
        </w:r>
        <w:r w:rsidRPr="00311CE5">
          <w:rPr>
            <w:rStyle w:val="aa"/>
            <w:rFonts w:hint="eastAsia"/>
            <w:b w:val="0"/>
            <w:kern w:val="0"/>
            <w:sz w:val="24"/>
            <w:szCs w:val="24"/>
          </w:rPr>
          <w:t>氫能與燃料電池</w:t>
        </w:r>
        <w:r w:rsidRPr="00311CE5">
          <w:rPr>
            <w:rStyle w:val="aa"/>
            <w:rFonts w:hint="eastAsia"/>
            <w:b w:val="0"/>
            <w:sz w:val="24"/>
            <w:szCs w:val="24"/>
          </w:rPr>
          <w:t>產業鏈概況</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_Toc470676595 \h </w:instrText>
        </w:r>
        <w:r w:rsidRPr="00311CE5">
          <w:rPr>
            <w:b w:val="0"/>
            <w:webHidden/>
            <w:sz w:val="24"/>
            <w:szCs w:val="24"/>
          </w:rPr>
        </w:r>
        <w:r w:rsidRPr="00311CE5">
          <w:rPr>
            <w:b w:val="0"/>
            <w:webHidden/>
            <w:sz w:val="24"/>
            <w:szCs w:val="24"/>
          </w:rPr>
          <w:fldChar w:fldCharType="separate"/>
        </w:r>
        <w:r w:rsidRPr="00311CE5">
          <w:rPr>
            <w:b w:val="0"/>
            <w:webHidden/>
            <w:sz w:val="24"/>
            <w:szCs w:val="24"/>
          </w:rPr>
          <w:t>98</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6" w:history="1">
        <w:r w:rsidRPr="00311CE5">
          <w:rPr>
            <w:rStyle w:val="aa"/>
            <w:rFonts w:hint="eastAsia"/>
            <w:b w:val="0"/>
            <w:sz w:val="24"/>
            <w:szCs w:val="24"/>
          </w:rPr>
          <w:t>表</w:t>
        </w:r>
        <w:r w:rsidRPr="00311CE5">
          <w:rPr>
            <w:rStyle w:val="aa"/>
            <w:b w:val="0"/>
            <w:sz w:val="24"/>
            <w:szCs w:val="24"/>
          </w:rPr>
          <w:t xml:space="preserve">3-3-4 </w:t>
        </w:r>
        <w:r w:rsidRPr="00311CE5">
          <w:rPr>
            <w:rStyle w:val="aa"/>
            <w:rFonts w:hint="eastAsia"/>
            <w:b w:val="0"/>
            <w:sz w:val="24"/>
            <w:szCs w:val="24"/>
          </w:rPr>
          <w:t>我國</w:t>
        </w:r>
        <w:r w:rsidRPr="00311CE5">
          <w:rPr>
            <w:rStyle w:val="aa"/>
            <w:rFonts w:hint="eastAsia"/>
            <w:b w:val="0"/>
            <w:kern w:val="0"/>
            <w:sz w:val="24"/>
            <w:szCs w:val="24"/>
          </w:rPr>
          <w:t>電動車</w:t>
        </w:r>
        <w:r w:rsidRPr="00311CE5">
          <w:rPr>
            <w:rStyle w:val="aa"/>
            <w:rFonts w:hint="eastAsia"/>
            <w:b w:val="0"/>
            <w:sz w:val="24"/>
            <w:szCs w:val="24"/>
          </w:rPr>
          <w:t>產業鏈概況</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_Toc470676596 \h </w:instrText>
        </w:r>
        <w:r w:rsidRPr="00311CE5">
          <w:rPr>
            <w:b w:val="0"/>
            <w:webHidden/>
            <w:sz w:val="24"/>
            <w:szCs w:val="24"/>
          </w:rPr>
        </w:r>
        <w:r w:rsidRPr="00311CE5">
          <w:rPr>
            <w:b w:val="0"/>
            <w:webHidden/>
            <w:sz w:val="24"/>
            <w:szCs w:val="24"/>
          </w:rPr>
          <w:fldChar w:fldCharType="separate"/>
        </w:r>
        <w:r w:rsidRPr="00311CE5">
          <w:rPr>
            <w:b w:val="0"/>
            <w:webHidden/>
            <w:sz w:val="24"/>
            <w:szCs w:val="24"/>
          </w:rPr>
          <w:t>98</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7" w:history="1">
        <w:r w:rsidRPr="00311CE5">
          <w:rPr>
            <w:rStyle w:val="aa"/>
            <w:rFonts w:hint="eastAsia"/>
            <w:b w:val="0"/>
            <w:sz w:val="24"/>
            <w:szCs w:val="24"/>
          </w:rPr>
          <w:t>表</w:t>
        </w:r>
        <w:r w:rsidRPr="00311CE5">
          <w:rPr>
            <w:rStyle w:val="aa"/>
            <w:b w:val="0"/>
            <w:sz w:val="24"/>
            <w:szCs w:val="24"/>
          </w:rPr>
          <w:t xml:space="preserve">3-4-1 </w:t>
        </w:r>
        <w:r w:rsidRPr="00311CE5">
          <w:rPr>
            <w:rStyle w:val="aa"/>
            <w:rFonts w:hint="eastAsia"/>
            <w:b w:val="0"/>
            <w:sz w:val="24"/>
            <w:szCs w:val="24"/>
          </w:rPr>
          <w:t>我國石化產業產值變化趨勢</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_Toc470676597 \h </w:instrText>
        </w:r>
        <w:r w:rsidRPr="00311CE5">
          <w:rPr>
            <w:b w:val="0"/>
            <w:webHidden/>
            <w:sz w:val="24"/>
            <w:szCs w:val="24"/>
          </w:rPr>
        </w:r>
        <w:r w:rsidRPr="00311CE5">
          <w:rPr>
            <w:b w:val="0"/>
            <w:webHidden/>
            <w:sz w:val="24"/>
            <w:szCs w:val="24"/>
          </w:rPr>
          <w:fldChar w:fldCharType="separate"/>
        </w:r>
        <w:r w:rsidRPr="00311CE5">
          <w:rPr>
            <w:b w:val="0"/>
            <w:webHidden/>
            <w:sz w:val="24"/>
            <w:szCs w:val="24"/>
          </w:rPr>
          <w:t>102</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8" w:history="1">
        <w:r w:rsidRPr="00311CE5">
          <w:rPr>
            <w:rStyle w:val="aa"/>
            <w:rFonts w:hint="eastAsia"/>
            <w:b w:val="0"/>
            <w:sz w:val="24"/>
            <w:szCs w:val="24"/>
          </w:rPr>
          <w:t>表</w:t>
        </w:r>
        <w:r w:rsidRPr="00311CE5">
          <w:rPr>
            <w:rStyle w:val="aa"/>
            <w:b w:val="0"/>
            <w:sz w:val="24"/>
            <w:szCs w:val="24"/>
          </w:rPr>
          <w:t>3-4-2</w:t>
        </w:r>
        <w:r w:rsidRPr="00311CE5">
          <w:rPr>
            <w:rStyle w:val="aa"/>
            <w:rFonts w:hint="eastAsia"/>
            <w:b w:val="0"/>
            <w:sz w:val="24"/>
            <w:szCs w:val="24"/>
          </w:rPr>
          <w:t>我國石化產業出口總值變化趨勢</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_Toc470676598 \h </w:instrText>
        </w:r>
        <w:r w:rsidRPr="00311CE5">
          <w:rPr>
            <w:b w:val="0"/>
            <w:webHidden/>
            <w:sz w:val="24"/>
            <w:szCs w:val="24"/>
          </w:rPr>
        </w:r>
        <w:r w:rsidRPr="00311CE5">
          <w:rPr>
            <w:b w:val="0"/>
            <w:webHidden/>
            <w:sz w:val="24"/>
            <w:szCs w:val="24"/>
          </w:rPr>
          <w:fldChar w:fldCharType="separate"/>
        </w:r>
        <w:r w:rsidRPr="00311CE5">
          <w:rPr>
            <w:b w:val="0"/>
            <w:webHidden/>
            <w:sz w:val="24"/>
            <w:szCs w:val="24"/>
          </w:rPr>
          <w:t>103</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599" w:history="1">
        <w:r w:rsidRPr="00311CE5">
          <w:rPr>
            <w:rStyle w:val="aa"/>
            <w:rFonts w:hint="eastAsia"/>
            <w:b w:val="0"/>
            <w:sz w:val="24"/>
            <w:szCs w:val="24"/>
          </w:rPr>
          <w:t>表</w:t>
        </w:r>
        <w:r w:rsidRPr="00311CE5">
          <w:rPr>
            <w:rStyle w:val="aa"/>
            <w:b w:val="0"/>
            <w:sz w:val="24"/>
            <w:szCs w:val="24"/>
          </w:rPr>
          <w:t xml:space="preserve">3-4-3 </w:t>
        </w:r>
        <w:r w:rsidRPr="00311CE5">
          <w:rPr>
            <w:rStyle w:val="aa"/>
            <w:rFonts w:hint="eastAsia"/>
            <w:b w:val="0"/>
            <w:sz w:val="24"/>
            <w:szCs w:val="24"/>
          </w:rPr>
          <w:t>我國智慧醫材進出口趨勢</w:t>
        </w:r>
        <w:r w:rsidRPr="00311CE5">
          <w:rPr>
            <w:rStyle w:val="aa"/>
            <w:b w:val="0"/>
            <w:sz w:val="24"/>
            <w:szCs w:val="24"/>
          </w:rPr>
          <w:t>-</w:t>
        </w:r>
        <w:r w:rsidRPr="00311CE5">
          <w:rPr>
            <w:rStyle w:val="aa"/>
            <w:rFonts w:hint="eastAsia"/>
            <w:b w:val="0"/>
            <w:sz w:val="24"/>
            <w:szCs w:val="24"/>
          </w:rPr>
          <w:t>診斷與監測用醫材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_Toc470676599 \h </w:instrText>
        </w:r>
        <w:r w:rsidRPr="00311CE5">
          <w:rPr>
            <w:b w:val="0"/>
            <w:webHidden/>
            <w:sz w:val="24"/>
            <w:szCs w:val="24"/>
          </w:rPr>
        </w:r>
        <w:r w:rsidRPr="00311CE5">
          <w:rPr>
            <w:b w:val="0"/>
            <w:webHidden/>
            <w:sz w:val="24"/>
            <w:szCs w:val="24"/>
          </w:rPr>
          <w:fldChar w:fldCharType="separate"/>
        </w:r>
        <w:r w:rsidRPr="00311CE5">
          <w:rPr>
            <w:b w:val="0"/>
            <w:webHidden/>
            <w:sz w:val="24"/>
            <w:szCs w:val="24"/>
          </w:rPr>
          <w:t>110</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0" w:history="1">
        <w:r w:rsidRPr="00311CE5">
          <w:rPr>
            <w:rStyle w:val="aa"/>
            <w:rFonts w:hint="eastAsia"/>
            <w:b w:val="0"/>
            <w:sz w:val="24"/>
            <w:szCs w:val="24"/>
          </w:rPr>
          <w:t>表</w:t>
        </w:r>
        <w:r w:rsidRPr="00311CE5">
          <w:rPr>
            <w:rStyle w:val="aa"/>
            <w:b w:val="0"/>
            <w:sz w:val="24"/>
            <w:szCs w:val="24"/>
          </w:rPr>
          <w:t xml:space="preserve">3-4-4 </w:t>
        </w:r>
        <w:r w:rsidRPr="00311CE5">
          <w:rPr>
            <w:rStyle w:val="aa"/>
            <w:rFonts w:hint="eastAsia"/>
            <w:b w:val="0"/>
            <w:sz w:val="24"/>
            <w:szCs w:val="24"/>
          </w:rPr>
          <w:t>藥學、保險業、資通訊業之醫療資訊潛在商機</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_Toc470676600 \h </w:instrText>
        </w:r>
        <w:r w:rsidRPr="00311CE5">
          <w:rPr>
            <w:b w:val="0"/>
            <w:webHidden/>
            <w:sz w:val="24"/>
            <w:szCs w:val="24"/>
          </w:rPr>
        </w:r>
        <w:r w:rsidRPr="00311CE5">
          <w:rPr>
            <w:b w:val="0"/>
            <w:webHidden/>
            <w:sz w:val="24"/>
            <w:szCs w:val="24"/>
          </w:rPr>
          <w:fldChar w:fldCharType="separate"/>
        </w:r>
        <w:r w:rsidRPr="00311CE5">
          <w:rPr>
            <w:b w:val="0"/>
            <w:webHidden/>
            <w:sz w:val="24"/>
            <w:szCs w:val="24"/>
          </w:rPr>
          <w:t>111</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1" w:history="1">
        <w:r w:rsidRPr="00311CE5">
          <w:rPr>
            <w:rStyle w:val="aa"/>
            <w:rFonts w:hint="eastAsia"/>
            <w:b w:val="0"/>
            <w:sz w:val="24"/>
            <w:szCs w:val="24"/>
          </w:rPr>
          <w:t>表</w:t>
        </w:r>
        <w:r w:rsidRPr="00311CE5">
          <w:rPr>
            <w:rStyle w:val="aa"/>
            <w:b w:val="0"/>
            <w:sz w:val="24"/>
            <w:szCs w:val="24"/>
          </w:rPr>
          <w:t xml:space="preserve">3-4-5 </w:t>
        </w:r>
        <w:r w:rsidRPr="00311CE5">
          <w:rPr>
            <w:rStyle w:val="aa"/>
            <w:rFonts w:hint="eastAsia"/>
            <w:b w:val="0"/>
            <w:sz w:val="24"/>
            <w:szCs w:val="24"/>
          </w:rPr>
          <w:t>臺灣智慧健康照護相關產業之企業投入領域</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_Toc470676601 \h </w:instrText>
        </w:r>
        <w:r w:rsidRPr="00311CE5">
          <w:rPr>
            <w:b w:val="0"/>
            <w:webHidden/>
            <w:sz w:val="24"/>
            <w:szCs w:val="24"/>
          </w:rPr>
        </w:r>
        <w:r w:rsidRPr="00311CE5">
          <w:rPr>
            <w:b w:val="0"/>
            <w:webHidden/>
            <w:sz w:val="24"/>
            <w:szCs w:val="24"/>
          </w:rPr>
          <w:fldChar w:fldCharType="separate"/>
        </w:r>
        <w:r w:rsidRPr="00311CE5">
          <w:rPr>
            <w:b w:val="0"/>
            <w:webHidden/>
            <w:sz w:val="24"/>
            <w:szCs w:val="24"/>
          </w:rPr>
          <w:t>112</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2" w:history="1">
        <w:r w:rsidRPr="00311CE5">
          <w:rPr>
            <w:rStyle w:val="aa"/>
            <w:rFonts w:hint="eastAsia"/>
            <w:b w:val="0"/>
            <w:sz w:val="24"/>
            <w:szCs w:val="24"/>
          </w:rPr>
          <w:t>表</w:t>
        </w:r>
        <w:r w:rsidRPr="00311CE5">
          <w:rPr>
            <w:rStyle w:val="aa"/>
            <w:b w:val="0"/>
            <w:sz w:val="24"/>
            <w:szCs w:val="24"/>
          </w:rPr>
          <w:t xml:space="preserve">3-4-6 </w:t>
        </w:r>
        <w:r w:rsidRPr="00311CE5">
          <w:rPr>
            <w:rStyle w:val="aa"/>
            <w:rFonts w:hint="eastAsia"/>
            <w:b w:val="0"/>
            <w:sz w:val="24"/>
            <w:szCs w:val="24"/>
          </w:rPr>
          <w:t>農產品進出口值</w:t>
        </w:r>
        <w:r w:rsidRPr="00311CE5">
          <w:rPr>
            <w:rStyle w:val="aa"/>
            <w:b w:val="0"/>
            <w:sz w:val="24"/>
            <w:szCs w:val="24"/>
          </w:rPr>
          <w:t>-</w:t>
        </w:r>
        <w:r w:rsidRPr="00311CE5">
          <w:rPr>
            <w:rStyle w:val="aa"/>
            <w:rFonts w:hint="eastAsia"/>
            <w:b w:val="0"/>
            <w:sz w:val="24"/>
            <w:szCs w:val="24"/>
          </w:rPr>
          <w:t>按產品分</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_Toc470676602 \h </w:instrText>
        </w:r>
        <w:r w:rsidRPr="00311CE5">
          <w:rPr>
            <w:b w:val="0"/>
            <w:webHidden/>
            <w:sz w:val="24"/>
            <w:szCs w:val="24"/>
          </w:rPr>
        </w:r>
        <w:r w:rsidRPr="00311CE5">
          <w:rPr>
            <w:b w:val="0"/>
            <w:webHidden/>
            <w:sz w:val="24"/>
            <w:szCs w:val="24"/>
          </w:rPr>
          <w:fldChar w:fldCharType="separate"/>
        </w:r>
        <w:r w:rsidRPr="00311CE5">
          <w:rPr>
            <w:b w:val="0"/>
            <w:webHidden/>
            <w:sz w:val="24"/>
            <w:szCs w:val="24"/>
          </w:rPr>
          <w:t>115</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3" w:history="1">
        <w:r w:rsidRPr="00311CE5">
          <w:rPr>
            <w:rStyle w:val="aa"/>
            <w:rFonts w:hint="eastAsia"/>
            <w:b w:val="0"/>
            <w:sz w:val="24"/>
            <w:szCs w:val="24"/>
          </w:rPr>
          <w:t>表</w:t>
        </w:r>
        <w:r w:rsidRPr="00311CE5">
          <w:rPr>
            <w:rStyle w:val="aa"/>
            <w:b w:val="0"/>
            <w:sz w:val="24"/>
            <w:szCs w:val="24"/>
          </w:rPr>
          <w:t>4-1-1 2016</w:t>
        </w:r>
        <w:r w:rsidRPr="00311CE5">
          <w:rPr>
            <w:rStyle w:val="aa"/>
            <w:rFonts w:hint="eastAsia"/>
            <w:b w:val="0"/>
            <w:sz w:val="24"/>
            <w:szCs w:val="24"/>
          </w:rPr>
          <w:t>年早稻田大學東南亞、印度及臺灣電子化政府排名</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_Toc470676603 \h </w:instrText>
        </w:r>
        <w:r w:rsidRPr="00311CE5">
          <w:rPr>
            <w:b w:val="0"/>
            <w:webHidden/>
            <w:sz w:val="24"/>
            <w:szCs w:val="24"/>
          </w:rPr>
        </w:r>
        <w:r w:rsidRPr="00311CE5">
          <w:rPr>
            <w:b w:val="0"/>
            <w:webHidden/>
            <w:sz w:val="24"/>
            <w:szCs w:val="24"/>
          </w:rPr>
          <w:fldChar w:fldCharType="separate"/>
        </w:r>
        <w:r w:rsidRPr="00311CE5">
          <w:rPr>
            <w:b w:val="0"/>
            <w:webHidden/>
            <w:sz w:val="24"/>
            <w:szCs w:val="24"/>
          </w:rPr>
          <w:t>124</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4" w:history="1">
        <w:r w:rsidRPr="00311CE5">
          <w:rPr>
            <w:rStyle w:val="aa"/>
            <w:rFonts w:hint="eastAsia"/>
            <w:b w:val="0"/>
            <w:sz w:val="24"/>
            <w:szCs w:val="24"/>
          </w:rPr>
          <w:t>表</w:t>
        </w:r>
        <w:r w:rsidRPr="00311CE5">
          <w:rPr>
            <w:rStyle w:val="aa"/>
            <w:b w:val="0"/>
            <w:sz w:val="24"/>
            <w:szCs w:val="24"/>
          </w:rPr>
          <w:t xml:space="preserve">4-1-2 </w:t>
        </w:r>
        <w:r w:rsidRPr="00311CE5">
          <w:rPr>
            <w:rStyle w:val="aa"/>
            <w:rFonts w:hint="eastAsia"/>
            <w:b w:val="0"/>
            <w:sz w:val="24"/>
            <w:szCs w:val="24"/>
          </w:rPr>
          <w:t>聯合國電子化政府評比（東南亞及印度）</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_Toc470676604 \h </w:instrText>
        </w:r>
        <w:r w:rsidRPr="00311CE5">
          <w:rPr>
            <w:b w:val="0"/>
            <w:webHidden/>
            <w:sz w:val="24"/>
            <w:szCs w:val="24"/>
          </w:rPr>
        </w:r>
        <w:r w:rsidRPr="00311CE5">
          <w:rPr>
            <w:b w:val="0"/>
            <w:webHidden/>
            <w:sz w:val="24"/>
            <w:szCs w:val="24"/>
          </w:rPr>
          <w:fldChar w:fldCharType="separate"/>
        </w:r>
        <w:r w:rsidRPr="00311CE5">
          <w:rPr>
            <w:b w:val="0"/>
            <w:webHidden/>
            <w:sz w:val="24"/>
            <w:szCs w:val="24"/>
          </w:rPr>
          <w:t>125</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5" w:history="1">
        <w:r w:rsidRPr="00311CE5">
          <w:rPr>
            <w:rStyle w:val="aa"/>
            <w:rFonts w:hint="eastAsia"/>
            <w:b w:val="0"/>
            <w:sz w:val="24"/>
            <w:szCs w:val="24"/>
          </w:rPr>
          <w:t>表</w:t>
        </w:r>
        <w:r w:rsidRPr="00311CE5">
          <w:rPr>
            <w:rStyle w:val="aa"/>
            <w:b w:val="0"/>
            <w:sz w:val="24"/>
            <w:szCs w:val="24"/>
          </w:rPr>
          <w:t xml:space="preserve">4-3-1 </w:t>
        </w:r>
        <w:r w:rsidRPr="00311CE5">
          <w:rPr>
            <w:rStyle w:val="aa"/>
            <w:rFonts w:hint="eastAsia"/>
            <w:b w:val="0"/>
            <w:sz w:val="24"/>
            <w:szCs w:val="24"/>
          </w:rPr>
          <w:t>太陽光電、</w:t>
        </w:r>
        <w:r w:rsidRPr="00311CE5">
          <w:rPr>
            <w:rStyle w:val="aa"/>
            <w:b w:val="0"/>
            <w:sz w:val="24"/>
            <w:szCs w:val="24"/>
          </w:rPr>
          <w:t>LED</w:t>
        </w:r>
        <w:r w:rsidRPr="00311CE5">
          <w:rPr>
            <w:rStyle w:val="aa"/>
            <w:rFonts w:hint="eastAsia"/>
            <w:b w:val="0"/>
            <w:sz w:val="24"/>
            <w:szCs w:val="24"/>
          </w:rPr>
          <w:t>照明光電、綠色運輸產業發展條件比較</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_Toc470676605 \h </w:instrText>
        </w:r>
        <w:r w:rsidRPr="00311CE5">
          <w:rPr>
            <w:b w:val="0"/>
            <w:webHidden/>
            <w:sz w:val="24"/>
            <w:szCs w:val="24"/>
          </w:rPr>
        </w:r>
        <w:r w:rsidRPr="00311CE5">
          <w:rPr>
            <w:b w:val="0"/>
            <w:webHidden/>
            <w:sz w:val="24"/>
            <w:szCs w:val="24"/>
          </w:rPr>
          <w:fldChar w:fldCharType="separate"/>
        </w:r>
        <w:r w:rsidRPr="00311CE5">
          <w:rPr>
            <w:b w:val="0"/>
            <w:webHidden/>
            <w:sz w:val="24"/>
            <w:szCs w:val="24"/>
          </w:rPr>
          <w:t>151</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6" w:history="1">
        <w:r w:rsidRPr="00311CE5">
          <w:rPr>
            <w:rStyle w:val="aa"/>
            <w:rFonts w:hint="eastAsia"/>
            <w:b w:val="0"/>
            <w:sz w:val="24"/>
            <w:szCs w:val="24"/>
          </w:rPr>
          <w:t>表</w:t>
        </w:r>
        <w:r w:rsidRPr="00311CE5">
          <w:rPr>
            <w:rStyle w:val="aa"/>
            <w:b w:val="0"/>
            <w:sz w:val="24"/>
            <w:szCs w:val="24"/>
          </w:rPr>
          <w:t xml:space="preserve">4-4-1 </w:t>
        </w:r>
        <w:r w:rsidRPr="00311CE5">
          <w:rPr>
            <w:rStyle w:val="aa"/>
            <w:rFonts w:hint="eastAsia"/>
            <w:b w:val="0"/>
            <w:sz w:val="24"/>
            <w:szCs w:val="24"/>
          </w:rPr>
          <w:t>東南亞主要國家醫療環境與醫材市場概況</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_Toc470676606 \h </w:instrText>
        </w:r>
        <w:r w:rsidRPr="00311CE5">
          <w:rPr>
            <w:b w:val="0"/>
            <w:webHidden/>
            <w:sz w:val="24"/>
            <w:szCs w:val="24"/>
          </w:rPr>
        </w:r>
        <w:r w:rsidRPr="00311CE5">
          <w:rPr>
            <w:b w:val="0"/>
            <w:webHidden/>
            <w:sz w:val="24"/>
            <w:szCs w:val="24"/>
          </w:rPr>
          <w:fldChar w:fldCharType="separate"/>
        </w:r>
        <w:r w:rsidRPr="00311CE5">
          <w:rPr>
            <w:b w:val="0"/>
            <w:webHidden/>
            <w:sz w:val="24"/>
            <w:szCs w:val="24"/>
          </w:rPr>
          <w:t>157</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7" w:history="1">
        <w:r w:rsidRPr="00311CE5">
          <w:rPr>
            <w:rStyle w:val="aa"/>
            <w:rFonts w:hint="eastAsia"/>
            <w:b w:val="0"/>
            <w:sz w:val="24"/>
            <w:szCs w:val="24"/>
          </w:rPr>
          <w:t>表</w:t>
        </w:r>
        <w:r w:rsidRPr="00311CE5">
          <w:rPr>
            <w:rStyle w:val="aa"/>
            <w:b w:val="0"/>
            <w:sz w:val="24"/>
            <w:szCs w:val="24"/>
          </w:rPr>
          <w:t xml:space="preserve">4-4-2 </w:t>
        </w:r>
        <w:r w:rsidRPr="00311CE5">
          <w:rPr>
            <w:rStyle w:val="aa"/>
            <w:rFonts w:hint="eastAsia"/>
            <w:b w:val="0"/>
            <w:sz w:val="24"/>
            <w:szCs w:val="24"/>
          </w:rPr>
          <w:t>菲律賓與印尼醫療器材市場環境總覽</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_Toc470676607 \h </w:instrText>
        </w:r>
        <w:r w:rsidRPr="00311CE5">
          <w:rPr>
            <w:b w:val="0"/>
            <w:webHidden/>
            <w:sz w:val="24"/>
            <w:szCs w:val="24"/>
          </w:rPr>
        </w:r>
        <w:r w:rsidRPr="00311CE5">
          <w:rPr>
            <w:b w:val="0"/>
            <w:webHidden/>
            <w:sz w:val="24"/>
            <w:szCs w:val="24"/>
          </w:rPr>
          <w:fldChar w:fldCharType="separate"/>
        </w:r>
        <w:r w:rsidRPr="00311CE5">
          <w:rPr>
            <w:b w:val="0"/>
            <w:webHidden/>
            <w:sz w:val="24"/>
            <w:szCs w:val="24"/>
          </w:rPr>
          <w:t>159</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8" w:history="1">
        <w:r w:rsidRPr="00311CE5">
          <w:rPr>
            <w:rStyle w:val="aa"/>
            <w:rFonts w:hint="eastAsia"/>
            <w:b w:val="0"/>
            <w:sz w:val="24"/>
            <w:szCs w:val="24"/>
          </w:rPr>
          <w:t>表</w:t>
        </w:r>
        <w:r w:rsidRPr="00311CE5">
          <w:rPr>
            <w:rStyle w:val="aa"/>
            <w:b w:val="0"/>
            <w:sz w:val="24"/>
            <w:szCs w:val="24"/>
          </w:rPr>
          <w:t xml:space="preserve">4-4-3 </w:t>
        </w:r>
        <w:r w:rsidRPr="00311CE5">
          <w:rPr>
            <w:rStyle w:val="aa"/>
            <w:rFonts w:hint="eastAsia"/>
            <w:b w:val="0"/>
            <w:sz w:val="24"/>
            <w:szCs w:val="24"/>
          </w:rPr>
          <w:t>臺灣與東協之農業合作現況</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_Toc470676608 \h </w:instrText>
        </w:r>
        <w:r w:rsidRPr="00311CE5">
          <w:rPr>
            <w:b w:val="0"/>
            <w:webHidden/>
            <w:sz w:val="24"/>
            <w:szCs w:val="24"/>
          </w:rPr>
        </w:r>
        <w:r w:rsidRPr="00311CE5">
          <w:rPr>
            <w:b w:val="0"/>
            <w:webHidden/>
            <w:sz w:val="24"/>
            <w:szCs w:val="24"/>
          </w:rPr>
          <w:fldChar w:fldCharType="separate"/>
        </w:r>
        <w:r w:rsidRPr="00311CE5">
          <w:rPr>
            <w:b w:val="0"/>
            <w:webHidden/>
            <w:sz w:val="24"/>
            <w:szCs w:val="24"/>
          </w:rPr>
          <w:t>164</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09" w:history="1">
        <w:r w:rsidRPr="00311CE5">
          <w:rPr>
            <w:rStyle w:val="aa"/>
            <w:rFonts w:hint="eastAsia"/>
            <w:b w:val="0"/>
            <w:sz w:val="24"/>
            <w:szCs w:val="24"/>
          </w:rPr>
          <w:t>表</w:t>
        </w:r>
        <w:r w:rsidRPr="00311CE5">
          <w:rPr>
            <w:rStyle w:val="aa"/>
            <w:b w:val="0"/>
            <w:sz w:val="24"/>
            <w:szCs w:val="24"/>
          </w:rPr>
          <w:t xml:space="preserve">4-4-4 </w:t>
        </w:r>
        <w:r w:rsidRPr="00311CE5">
          <w:rPr>
            <w:rStyle w:val="aa"/>
            <w:rFonts w:hint="eastAsia"/>
            <w:b w:val="0"/>
            <w:sz w:val="24"/>
            <w:szCs w:val="24"/>
          </w:rPr>
          <w:t>臺灣在東協國家農業之投資機會</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_Toc470676609 \h </w:instrText>
        </w:r>
        <w:r w:rsidRPr="00311CE5">
          <w:rPr>
            <w:b w:val="0"/>
            <w:webHidden/>
            <w:sz w:val="24"/>
            <w:szCs w:val="24"/>
          </w:rPr>
        </w:r>
        <w:r w:rsidRPr="00311CE5">
          <w:rPr>
            <w:b w:val="0"/>
            <w:webHidden/>
            <w:sz w:val="24"/>
            <w:szCs w:val="24"/>
          </w:rPr>
          <w:fldChar w:fldCharType="separate"/>
        </w:r>
        <w:r w:rsidRPr="00311CE5">
          <w:rPr>
            <w:b w:val="0"/>
            <w:webHidden/>
            <w:sz w:val="24"/>
            <w:szCs w:val="24"/>
          </w:rPr>
          <w:t>166</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0" w:history="1">
        <w:r w:rsidRPr="00311CE5">
          <w:rPr>
            <w:rStyle w:val="aa"/>
            <w:rFonts w:hint="eastAsia"/>
            <w:b w:val="0"/>
            <w:sz w:val="24"/>
            <w:szCs w:val="24"/>
          </w:rPr>
          <w:t>表</w:t>
        </w:r>
        <w:r w:rsidRPr="00311CE5">
          <w:rPr>
            <w:rStyle w:val="aa"/>
            <w:b w:val="0"/>
            <w:sz w:val="24"/>
            <w:szCs w:val="24"/>
          </w:rPr>
          <w:t xml:space="preserve">4-4-5 </w:t>
        </w:r>
        <w:r w:rsidRPr="00311CE5">
          <w:rPr>
            <w:rStyle w:val="aa"/>
            <w:rFonts w:hint="eastAsia"/>
            <w:b w:val="0"/>
            <w:sz w:val="24"/>
            <w:szCs w:val="24"/>
          </w:rPr>
          <w:t>東南亞國家對臺農業貿易障礙調查表</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_Toc470676610 \h </w:instrText>
        </w:r>
        <w:r w:rsidRPr="00311CE5">
          <w:rPr>
            <w:b w:val="0"/>
            <w:webHidden/>
            <w:sz w:val="24"/>
            <w:szCs w:val="24"/>
          </w:rPr>
        </w:r>
        <w:r w:rsidRPr="00311CE5">
          <w:rPr>
            <w:b w:val="0"/>
            <w:webHidden/>
            <w:sz w:val="24"/>
            <w:szCs w:val="24"/>
          </w:rPr>
          <w:fldChar w:fldCharType="separate"/>
        </w:r>
        <w:r w:rsidRPr="00311CE5">
          <w:rPr>
            <w:b w:val="0"/>
            <w:webHidden/>
            <w:sz w:val="24"/>
            <w:szCs w:val="24"/>
          </w:rPr>
          <w:t>168</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1" w:history="1">
        <w:r w:rsidRPr="00311CE5">
          <w:rPr>
            <w:rStyle w:val="aa"/>
            <w:rFonts w:hint="eastAsia"/>
            <w:b w:val="0"/>
            <w:sz w:val="24"/>
            <w:szCs w:val="24"/>
          </w:rPr>
          <w:t>表</w:t>
        </w:r>
        <w:r w:rsidRPr="00311CE5">
          <w:rPr>
            <w:rStyle w:val="aa"/>
            <w:b w:val="0"/>
            <w:sz w:val="24"/>
            <w:szCs w:val="24"/>
          </w:rPr>
          <w:t xml:space="preserve">5-2-1 </w:t>
        </w:r>
        <w:r w:rsidRPr="00311CE5">
          <w:rPr>
            <w:rStyle w:val="aa"/>
            <w:rFonts w:hint="eastAsia"/>
            <w:b w:val="0"/>
            <w:sz w:val="24"/>
            <w:szCs w:val="24"/>
          </w:rPr>
          <w:t>我國電子收費產業之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_Toc470676611 \h </w:instrText>
        </w:r>
        <w:r w:rsidRPr="00311CE5">
          <w:rPr>
            <w:b w:val="0"/>
            <w:webHidden/>
            <w:sz w:val="24"/>
            <w:szCs w:val="24"/>
          </w:rPr>
        </w:r>
        <w:r w:rsidRPr="00311CE5">
          <w:rPr>
            <w:b w:val="0"/>
            <w:webHidden/>
            <w:sz w:val="24"/>
            <w:szCs w:val="24"/>
          </w:rPr>
          <w:fldChar w:fldCharType="separate"/>
        </w:r>
        <w:r w:rsidRPr="00311CE5">
          <w:rPr>
            <w:b w:val="0"/>
            <w:webHidden/>
            <w:sz w:val="24"/>
            <w:szCs w:val="24"/>
          </w:rPr>
          <w:t>183</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2" w:history="1">
        <w:r w:rsidRPr="00311CE5">
          <w:rPr>
            <w:rStyle w:val="aa"/>
            <w:rFonts w:hint="eastAsia"/>
            <w:b w:val="0"/>
            <w:sz w:val="24"/>
            <w:szCs w:val="24"/>
          </w:rPr>
          <w:t>表</w:t>
        </w:r>
        <w:r w:rsidRPr="00311CE5">
          <w:rPr>
            <w:rStyle w:val="aa"/>
            <w:b w:val="0"/>
            <w:sz w:val="24"/>
            <w:szCs w:val="24"/>
          </w:rPr>
          <w:t xml:space="preserve">5-2-2 </w:t>
        </w:r>
        <w:r w:rsidRPr="00311CE5">
          <w:rPr>
            <w:rStyle w:val="aa"/>
            <w:rFonts w:hint="eastAsia"/>
            <w:b w:val="0"/>
            <w:sz w:val="24"/>
            <w:szCs w:val="24"/>
          </w:rPr>
          <w:t>我國電子化政府產業之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_Toc470676612 \h </w:instrText>
        </w:r>
        <w:r w:rsidRPr="00311CE5">
          <w:rPr>
            <w:b w:val="0"/>
            <w:webHidden/>
            <w:sz w:val="24"/>
            <w:szCs w:val="24"/>
          </w:rPr>
        </w:r>
        <w:r w:rsidRPr="00311CE5">
          <w:rPr>
            <w:b w:val="0"/>
            <w:webHidden/>
            <w:sz w:val="24"/>
            <w:szCs w:val="24"/>
          </w:rPr>
          <w:fldChar w:fldCharType="separate"/>
        </w:r>
        <w:r w:rsidRPr="00311CE5">
          <w:rPr>
            <w:b w:val="0"/>
            <w:webHidden/>
            <w:sz w:val="24"/>
            <w:szCs w:val="24"/>
          </w:rPr>
          <w:t>185</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3" w:history="1">
        <w:r w:rsidRPr="00311CE5">
          <w:rPr>
            <w:rStyle w:val="aa"/>
            <w:rFonts w:hint="eastAsia"/>
            <w:b w:val="0"/>
            <w:sz w:val="24"/>
            <w:szCs w:val="24"/>
          </w:rPr>
          <w:t>表</w:t>
        </w:r>
        <w:r w:rsidRPr="00311CE5">
          <w:rPr>
            <w:rStyle w:val="aa"/>
            <w:b w:val="0"/>
            <w:sz w:val="24"/>
            <w:szCs w:val="24"/>
          </w:rPr>
          <w:t xml:space="preserve">5-2-3 </w:t>
        </w:r>
        <w:r w:rsidRPr="00311CE5">
          <w:rPr>
            <w:rStyle w:val="aa"/>
            <w:rFonts w:hint="eastAsia"/>
            <w:b w:val="0"/>
            <w:sz w:val="24"/>
            <w:szCs w:val="24"/>
          </w:rPr>
          <w:t>我國智慧校園產業之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_Toc470676613 \h </w:instrText>
        </w:r>
        <w:r w:rsidRPr="00311CE5">
          <w:rPr>
            <w:b w:val="0"/>
            <w:webHidden/>
            <w:sz w:val="24"/>
            <w:szCs w:val="24"/>
          </w:rPr>
        </w:r>
        <w:r w:rsidRPr="00311CE5">
          <w:rPr>
            <w:b w:val="0"/>
            <w:webHidden/>
            <w:sz w:val="24"/>
            <w:szCs w:val="24"/>
          </w:rPr>
          <w:fldChar w:fldCharType="separate"/>
        </w:r>
        <w:r w:rsidRPr="00311CE5">
          <w:rPr>
            <w:b w:val="0"/>
            <w:webHidden/>
            <w:sz w:val="24"/>
            <w:szCs w:val="24"/>
          </w:rPr>
          <w:t>187</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4" w:history="1">
        <w:r w:rsidRPr="00311CE5">
          <w:rPr>
            <w:rStyle w:val="aa"/>
            <w:rFonts w:hint="eastAsia"/>
            <w:b w:val="0"/>
            <w:sz w:val="24"/>
            <w:szCs w:val="24"/>
          </w:rPr>
          <w:t>表</w:t>
        </w:r>
        <w:r w:rsidRPr="00311CE5">
          <w:rPr>
            <w:rStyle w:val="aa"/>
            <w:b w:val="0"/>
            <w:sz w:val="24"/>
            <w:szCs w:val="24"/>
          </w:rPr>
          <w:t xml:space="preserve">5-2-4 </w:t>
        </w:r>
        <w:r w:rsidRPr="00311CE5">
          <w:rPr>
            <w:rStyle w:val="aa"/>
            <w:rFonts w:hint="eastAsia"/>
            <w:b w:val="0"/>
            <w:sz w:val="24"/>
            <w:szCs w:val="24"/>
          </w:rPr>
          <w:t>我國電子商務產業南向發展之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_Toc470676614 \h </w:instrText>
        </w:r>
        <w:r w:rsidRPr="00311CE5">
          <w:rPr>
            <w:b w:val="0"/>
            <w:webHidden/>
            <w:sz w:val="24"/>
            <w:szCs w:val="24"/>
          </w:rPr>
        </w:r>
        <w:r w:rsidRPr="00311CE5">
          <w:rPr>
            <w:b w:val="0"/>
            <w:webHidden/>
            <w:sz w:val="24"/>
            <w:szCs w:val="24"/>
          </w:rPr>
          <w:fldChar w:fldCharType="separate"/>
        </w:r>
        <w:r w:rsidRPr="00311CE5">
          <w:rPr>
            <w:b w:val="0"/>
            <w:webHidden/>
            <w:sz w:val="24"/>
            <w:szCs w:val="24"/>
          </w:rPr>
          <w:t>190</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5" w:history="1">
        <w:r w:rsidRPr="00311CE5">
          <w:rPr>
            <w:rStyle w:val="aa"/>
            <w:rFonts w:hint="eastAsia"/>
            <w:b w:val="0"/>
            <w:sz w:val="24"/>
            <w:szCs w:val="24"/>
          </w:rPr>
          <w:t>表</w:t>
        </w:r>
        <w:r w:rsidRPr="00311CE5">
          <w:rPr>
            <w:rStyle w:val="aa"/>
            <w:b w:val="0"/>
            <w:sz w:val="24"/>
            <w:szCs w:val="24"/>
          </w:rPr>
          <w:t xml:space="preserve">5-2-5 </w:t>
        </w:r>
        <w:r w:rsidRPr="00311CE5">
          <w:rPr>
            <w:rStyle w:val="aa"/>
            <w:rFonts w:hint="eastAsia"/>
            <w:b w:val="0"/>
            <w:sz w:val="24"/>
            <w:szCs w:val="24"/>
          </w:rPr>
          <w:t>我國智慧物流產業南向發展之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_Toc470676615 \h </w:instrText>
        </w:r>
        <w:r w:rsidRPr="00311CE5">
          <w:rPr>
            <w:b w:val="0"/>
            <w:webHidden/>
            <w:sz w:val="24"/>
            <w:szCs w:val="24"/>
          </w:rPr>
        </w:r>
        <w:r w:rsidRPr="00311CE5">
          <w:rPr>
            <w:b w:val="0"/>
            <w:webHidden/>
            <w:sz w:val="24"/>
            <w:szCs w:val="24"/>
          </w:rPr>
          <w:fldChar w:fldCharType="separate"/>
        </w:r>
        <w:r w:rsidRPr="00311CE5">
          <w:rPr>
            <w:b w:val="0"/>
            <w:webHidden/>
            <w:sz w:val="24"/>
            <w:szCs w:val="24"/>
          </w:rPr>
          <w:t>195</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6" w:history="1">
        <w:r w:rsidRPr="00311CE5">
          <w:rPr>
            <w:rStyle w:val="aa"/>
            <w:rFonts w:hint="eastAsia"/>
            <w:b w:val="0"/>
            <w:sz w:val="24"/>
            <w:szCs w:val="24"/>
          </w:rPr>
          <w:t>表</w:t>
        </w:r>
        <w:r w:rsidRPr="00311CE5">
          <w:rPr>
            <w:rStyle w:val="aa"/>
            <w:b w:val="0"/>
            <w:sz w:val="24"/>
            <w:szCs w:val="24"/>
          </w:rPr>
          <w:t xml:space="preserve">5-2-6 </w:t>
        </w:r>
        <w:r w:rsidRPr="00311CE5">
          <w:rPr>
            <w:rStyle w:val="aa"/>
            <w:rFonts w:hint="eastAsia"/>
            <w:b w:val="0"/>
            <w:sz w:val="24"/>
            <w:szCs w:val="24"/>
          </w:rPr>
          <w:t>我國雲端系統產業南向發展之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_Toc470676616 \h </w:instrText>
        </w:r>
        <w:r w:rsidRPr="00311CE5">
          <w:rPr>
            <w:b w:val="0"/>
            <w:webHidden/>
            <w:sz w:val="24"/>
            <w:szCs w:val="24"/>
          </w:rPr>
        </w:r>
        <w:r w:rsidRPr="00311CE5">
          <w:rPr>
            <w:b w:val="0"/>
            <w:webHidden/>
            <w:sz w:val="24"/>
            <w:szCs w:val="24"/>
          </w:rPr>
          <w:fldChar w:fldCharType="separate"/>
        </w:r>
        <w:r w:rsidRPr="00311CE5">
          <w:rPr>
            <w:b w:val="0"/>
            <w:webHidden/>
            <w:sz w:val="24"/>
            <w:szCs w:val="24"/>
          </w:rPr>
          <w:t>197</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7" w:history="1">
        <w:r w:rsidRPr="00311CE5">
          <w:rPr>
            <w:rStyle w:val="aa"/>
            <w:rFonts w:hint="eastAsia"/>
            <w:b w:val="0"/>
            <w:sz w:val="24"/>
            <w:szCs w:val="24"/>
          </w:rPr>
          <w:t>表</w:t>
        </w:r>
        <w:r w:rsidRPr="00311CE5">
          <w:rPr>
            <w:rStyle w:val="aa"/>
            <w:b w:val="0"/>
            <w:sz w:val="24"/>
            <w:szCs w:val="24"/>
          </w:rPr>
          <w:t xml:space="preserve">5-2-7 </w:t>
        </w:r>
        <w:r w:rsidRPr="00311CE5">
          <w:rPr>
            <w:rStyle w:val="aa"/>
            <w:rFonts w:hint="eastAsia"/>
            <w:b w:val="0"/>
            <w:sz w:val="24"/>
            <w:szCs w:val="24"/>
          </w:rPr>
          <w:t>我國太陽光電產業之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_Toc470676617 \h </w:instrText>
        </w:r>
        <w:r w:rsidRPr="00311CE5">
          <w:rPr>
            <w:b w:val="0"/>
            <w:webHidden/>
            <w:sz w:val="24"/>
            <w:szCs w:val="24"/>
          </w:rPr>
        </w:r>
        <w:r w:rsidRPr="00311CE5">
          <w:rPr>
            <w:b w:val="0"/>
            <w:webHidden/>
            <w:sz w:val="24"/>
            <w:szCs w:val="24"/>
          </w:rPr>
          <w:fldChar w:fldCharType="separate"/>
        </w:r>
        <w:r w:rsidRPr="00311CE5">
          <w:rPr>
            <w:b w:val="0"/>
            <w:webHidden/>
            <w:sz w:val="24"/>
            <w:szCs w:val="24"/>
          </w:rPr>
          <w:t>198</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8" w:history="1">
        <w:r w:rsidRPr="00311CE5">
          <w:rPr>
            <w:rStyle w:val="aa"/>
            <w:rFonts w:hint="eastAsia"/>
            <w:b w:val="0"/>
            <w:sz w:val="24"/>
            <w:szCs w:val="24"/>
          </w:rPr>
          <w:t>表</w:t>
        </w:r>
        <w:r w:rsidRPr="00311CE5">
          <w:rPr>
            <w:rStyle w:val="aa"/>
            <w:b w:val="0"/>
            <w:sz w:val="24"/>
            <w:szCs w:val="24"/>
          </w:rPr>
          <w:t xml:space="preserve">5-2-8 </w:t>
        </w:r>
        <w:r w:rsidRPr="00311CE5">
          <w:rPr>
            <w:rStyle w:val="aa"/>
            <w:rFonts w:hint="eastAsia"/>
            <w:b w:val="0"/>
            <w:sz w:val="24"/>
            <w:szCs w:val="24"/>
          </w:rPr>
          <w:t>我國</w:t>
        </w:r>
        <w:r w:rsidRPr="00311CE5">
          <w:rPr>
            <w:rStyle w:val="aa"/>
            <w:b w:val="0"/>
            <w:sz w:val="24"/>
            <w:szCs w:val="24"/>
          </w:rPr>
          <w:t>LED</w:t>
        </w:r>
        <w:r w:rsidRPr="00311CE5">
          <w:rPr>
            <w:rStyle w:val="aa"/>
            <w:rFonts w:hint="eastAsia"/>
            <w:b w:val="0"/>
            <w:sz w:val="24"/>
            <w:szCs w:val="24"/>
          </w:rPr>
          <w:t>照明光電產業之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_Toc470676618 \h </w:instrText>
        </w:r>
        <w:r w:rsidRPr="00311CE5">
          <w:rPr>
            <w:b w:val="0"/>
            <w:webHidden/>
            <w:sz w:val="24"/>
            <w:szCs w:val="24"/>
          </w:rPr>
        </w:r>
        <w:r w:rsidRPr="00311CE5">
          <w:rPr>
            <w:b w:val="0"/>
            <w:webHidden/>
            <w:sz w:val="24"/>
            <w:szCs w:val="24"/>
          </w:rPr>
          <w:fldChar w:fldCharType="separate"/>
        </w:r>
        <w:r w:rsidRPr="00311CE5">
          <w:rPr>
            <w:b w:val="0"/>
            <w:webHidden/>
            <w:sz w:val="24"/>
            <w:szCs w:val="24"/>
          </w:rPr>
          <w:t>200</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19" w:history="1">
        <w:r w:rsidRPr="00311CE5">
          <w:rPr>
            <w:rStyle w:val="aa"/>
            <w:rFonts w:hint="eastAsia"/>
            <w:b w:val="0"/>
            <w:sz w:val="24"/>
            <w:szCs w:val="24"/>
          </w:rPr>
          <w:t>表</w:t>
        </w:r>
        <w:r w:rsidRPr="00311CE5">
          <w:rPr>
            <w:rStyle w:val="aa"/>
            <w:b w:val="0"/>
            <w:sz w:val="24"/>
            <w:szCs w:val="24"/>
          </w:rPr>
          <w:t xml:space="preserve">5-2-9 </w:t>
        </w:r>
        <w:r w:rsidRPr="00311CE5">
          <w:rPr>
            <w:rStyle w:val="aa"/>
            <w:rFonts w:hint="eastAsia"/>
            <w:b w:val="0"/>
            <w:sz w:val="24"/>
            <w:szCs w:val="24"/>
          </w:rPr>
          <w:t>我國綠色運輸產業之</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_Toc470676619 \h </w:instrText>
        </w:r>
        <w:r w:rsidRPr="00311CE5">
          <w:rPr>
            <w:b w:val="0"/>
            <w:webHidden/>
            <w:sz w:val="24"/>
            <w:szCs w:val="24"/>
          </w:rPr>
        </w:r>
        <w:r w:rsidRPr="00311CE5">
          <w:rPr>
            <w:b w:val="0"/>
            <w:webHidden/>
            <w:sz w:val="24"/>
            <w:szCs w:val="24"/>
          </w:rPr>
          <w:fldChar w:fldCharType="separate"/>
        </w:r>
        <w:r w:rsidRPr="00311CE5">
          <w:rPr>
            <w:b w:val="0"/>
            <w:webHidden/>
            <w:sz w:val="24"/>
            <w:szCs w:val="24"/>
          </w:rPr>
          <w:t>201</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20" w:history="1">
        <w:r w:rsidRPr="00311CE5">
          <w:rPr>
            <w:rStyle w:val="aa"/>
            <w:rFonts w:hint="eastAsia"/>
            <w:b w:val="0"/>
            <w:sz w:val="24"/>
            <w:szCs w:val="24"/>
          </w:rPr>
          <w:t>表</w:t>
        </w:r>
        <w:r w:rsidRPr="00311CE5">
          <w:rPr>
            <w:rStyle w:val="aa"/>
            <w:b w:val="0"/>
            <w:sz w:val="24"/>
            <w:szCs w:val="24"/>
          </w:rPr>
          <w:t xml:space="preserve">5-2-10 </w:t>
        </w:r>
        <w:r w:rsidRPr="00311CE5">
          <w:rPr>
            <w:rStyle w:val="aa"/>
            <w:rFonts w:hint="eastAsia"/>
            <w:b w:val="0"/>
            <w:sz w:val="24"/>
            <w:szCs w:val="24"/>
          </w:rPr>
          <w:t>我國石化</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_Toc470676620 \h </w:instrText>
        </w:r>
        <w:r w:rsidRPr="00311CE5">
          <w:rPr>
            <w:b w:val="0"/>
            <w:webHidden/>
            <w:sz w:val="24"/>
            <w:szCs w:val="24"/>
          </w:rPr>
        </w:r>
        <w:r w:rsidRPr="00311CE5">
          <w:rPr>
            <w:b w:val="0"/>
            <w:webHidden/>
            <w:sz w:val="24"/>
            <w:szCs w:val="24"/>
          </w:rPr>
          <w:fldChar w:fldCharType="separate"/>
        </w:r>
        <w:r w:rsidRPr="00311CE5">
          <w:rPr>
            <w:b w:val="0"/>
            <w:webHidden/>
            <w:sz w:val="24"/>
            <w:szCs w:val="24"/>
          </w:rPr>
          <w:t>203</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21" w:history="1">
        <w:r w:rsidRPr="00311CE5">
          <w:rPr>
            <w:rStyle w:val="aa"/>
            <w:rFonts w:hint="eastAsia"/>
            <w:b w:val="0"/>
            <w:sz w:val="24"/>
            <w:szCs w:val="24"/>
          </w:rPr>
          <w:t>表</w:t>
        </w:r>
        <w:r w:rsidRPr="00311CE5">
          <w:rPr>
            <w:rStyle w:val="aa"/>
            <w:b w:val="0"/>
            <w:sz w:val="24"/>
            <w:szCs w:val="24"/>
          </w:rPr>
          <w:t xml:space="preserve">5-2-11 </w:t>
        </w:r>
        <w:r w:rsidRPr="00311CE5">
          <w:rPr>
            <w:rStyle w:val="aa"/>
            <w:rFonts w:hint="eastAsia"/>
            <w:b w:val="0"/>
            <w:sz w:val="24"/>
            <w:szCs w:val="24"/>
          </w:rPr>
          <w:t>我國智慧健康</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_Toc470676621 \h </w:instrText>
        </w:r>
        <w:r w:rsidRPr="00311CE5">
          <w:rPr>
            <w:b w:val="0"/>
            <w:webHidden/>
            <w:sz w:val="24"/>
            <w:szCs w:val="24"/>
          </w:rPr>
        </w:r>
        <w:r w:rsidRPr="00311CE5">
          <w:rPr>
            <w:b w:val="0"/>
            <w:webHidden/>
            <w:sz w:val="24"/>
            <w:szCs w:val="24"/>
          </w:rPr>
          <w:fldChar w:fldCharType="separate"/>
        </w:r>
        <w:r w:rsidRPr="00311CE5">
          <w:rPr>
            <w:b w:val="0"/>
            <w:webHidden/>
            <w:sz w:val="24"/>
            <w:szCs w:val="24"/>
          </w:rPr>
          <w:t>206</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22" w:history="1">
        <w:r w:rsidRPr="00311CE5">
          <w:rPr>
            <w:rStyle w:val="aa"/>
            <w:rFonts w:hint="eastAsia"/>
            <w:b w:val="0"/>
            <w:sz w:val="24"/>
            <w:szCs w:val="24"/>
          </w:rPr>
          <w:t>表</w:t>
        </w:r>
        <w:r w:rsidRPr="00311CE5">
          <w:rPr>
            <w:rStyle w:val="aa"/>
            <w:b w:val="0"/>
            <w:sz w:val="24"/>
            <w:szCs w:val="24"/>
          </w:rPr>
          <w:t xml:space="preserve">5-2-12 </w:t>
        </w:r>
        <w:r w:rsidRPr="00311CE5">
          <w:rPr>
            <w:rStyle w:val="aa"/>
            <w:rFonts w:hint="eastAsia"/>
            <w:b w:val="0"/>
            <w:sz w:val="24"/>
            <w:szCs w:val="24"/>
          </w:rPr>
          <w:t>我國新農業</w:t>
        </w:r>
        <w:r w:rsidRPr="00311CE5">
          <w:rPr>
            <w:rStyle w:val="aa"/>
            <w:b w:val="0"/>
            <w:sz w:val="24"/>
            <w:szCs w:val="24"/>
          </w:rPr>
          <w:t>SWOT</w:t>
        </w:r>
        <w:r w:rsidRPr="00311CE5">
          <w:rPr>
            <w:rStyle w:val="aa"/>
            <w:rFonts w:hint="eastAsia"/>
            <w:b w:val="0"/>
            <w:sz w:val="24"/>
            <w:szCs w:val="24"/>
          </w:rPr>
          <w:t>分析</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_Toc470676622 \h </w:instrText>
        </w:r>
        <w:r w:rsidRPr="00311CE5">
          <w:rPr>
            <w:b w:val="0"/>
            <w:webHidden/>
            <w:sz w:val="24"/>
            <w:szCs w:val="24"/>
          </w:rPr>
        </w:r>
        <w:r w:rsidRPr="00311CE5">
          <w:rPr>
            <w:b w:val="0"/>
            <w:webHidden/>
            <w:sz w:val="24"/>
            <w:szCs w:val="24"/>
          </w:rPr>
          <w:fldChar w:fldCharType="separate"/>
        </w:r>
        <w:r w:rsidRPr="00311CE5">
          <w:rPr>
            <w:b w:val="0"/>
            <w:webHidden/>
            <w:sz w:val="24"/>
            <w:szCs w:val="24"/>
          </w:rPr>
          <w:t>208</w:t>
        </w:r>
        <w:r w:rsidRPr="00311CE5">
          <w:rPr>
            <w:b w:val="0"/>
            <w:webHidden/>
            <w:sz w:val="24"/>
            <w:szCs w:val="24"/>
          </w:rPr>
          <w:fldChar w:fldCharType="end"/>
        </w:r>
      </w:hyperlink>
    </w:p>
    <w:p w:rsidR="00311CE5" w:rsidRPr="00311CE5" w:rsidRDefault="00311CE5">
      <w:pPr>
        <w:pStyle w:val="11"/>
        <w:rPr>
          <w:rFonts w:asciiTheme="minorHAnsi" w:eastAsiaTheme="minorEastAsia" w:hAnsiTheme="minorHAnsi" w:cstheme="minorBidi"/>
          <w:b w:val="0"/>
          <w:sz w:val="24"/>
          <w:szCs w:val="24"/>
        </w:rPr>
      </w:pPr>
      <w:hyperlink w:anchor="_Toc470676623" w:history="1">
        <w:r w:rsidRPr="00311CE5">
          <w:rPr>
            <w:rStyle w:val="aa"/>
            <w:rFonts w:hint="eastAsia"/>
            <w:b w:val="0"/>
            <w:sz w:val="24"/>
            <w:szCs w:val="24"/>
          </w:rPr>
          <w:t>表</w:t>
        </w:r>
        <w:r w:rsidRPr="00311CE5">
          <w:rPr>
            <w:rStyle w:val="aa"/>
            <w:b w:val="0"/>
            <w:sz w:val="24"/>
            <w:szCs w:val="24"/>
          </w:rPr>
          <w:t>5-2-13</w:t>
        </w:r>
        <w:r w:rsidRPr="00311CE5">
          <w:rPr>
            <w:rStyle w:val="aa"/>
            <w:rFonts w:hint="eastAsia"/>
            <w:b w:val="0"/>
            <w:sz w:val="24"/>
            <w:szCs w:val="24"/>
          </w:rPr>
          <w:t>「</w:t>
        </w:r>
        <w:r w:rsidRPr="00311CE5">
          <w:rPr>
            <w:rStyle w:val="aa"/>
            <w:b w:val="0"/>
            <w:sz w:val="24"/>
            <w:szCs w:val="24"/>
          </w:rPr>
          <w:t>10+2</w:t>
        </w:r>
        <w:r w:rsidRPr="00311CE5">
          <w:rPr>
            <w:rStyle w:val="aa"/>
            <w:rFonts w:hint="eastAsia"/>
            <w:b w:val="0"/>
            <w:sz w:val="24"/>
            <w:szCs w:val="24"/>
          </w:rPr>
          <w:t>」產業對臺灣本土影響與提升基礎能力之建議</w:t>
        </w:r>
        <w:r w:rsidRPr="00311CE5">
          <w:rPr>
            <w:b w:val="0"/>
            <w:webHidden/>
            <w:sz w:val="24"/>
            <w:szCs w:val="24"/>
          </w:rPr>
          <w:tab/>
        </w:r>
        <w:r w:rsidRPr="00311CE5">
          <w:rPr>
            <w:b w:val="0"/>
            <w:webHidden/>
            <w:sz w:val="24"/>
            <w:szCs w:val="24"/>
          </w:rPr>
          <w:fldChar w:fldCharType="begin"/>
        </w:r>
        <w:r w:rsidRPr="00311CE5">
          <w:rPr>
            <w:b w:val="0"/>
            <w:webHidden/>
            <w:sz w:val="24"/>
            <w:szCs w:val="24"/>
          </w:rPr>
          <w:instrText xml:space="preserve"> PAGEREF _Toc470676623 \h </w:instrText>
        </w:r>
        <w:r w:rsidRPr="00311CE5">
          <w:rPr>
            <w:b w:val="0"/>
            <w:webHidden/>
            <w:sz w:val="24"/>
            <w:szCs w:val="24"/>
          </w:rPr>
        </w:r>
        <w:r w:rsidRPr="00311CE5">
          <w:rPr>
            <w:b w:val="0"/>
            <w:webHidden/>
            <w:sz w:val="24"/>
            <w:szCs w:val="24"/>
          </w:rPr>
          <w:fldChar w:fldCharType="separate"/>
        </w:r>
        <w:r w:rsidRPr="00311CE5">
          <w:rPr>
            <w:b w:val="0"/>
            <w:webHidden/>
            <w:sz w:val="24"/>
            <w:szCs w:val="24"/>
          </w:rPr>
          <w:t>213</w:t>
        </w:r>
        <w:r w:rsidRPr="00311CE5">
          <w:rPr>
            <w:b w:val="0"/>
            <w:webHidden/>
            <w:sz w:val="24"/>
            <w:szCs w:val="24"/>
          </w:rPr>
          <w:fldChar w:fldCharType="end"/>
        </w:r>
      </w:hyperlink>
    </w:p>
    <w:p w:rsidR="001A3731" w:rsidRPr="00311CE5" w:rsidRDefault="001A3731" w:rsidP="00462406">
      <w:pPr>
        <w:widowControl/>
        <w:rPr>
          <w:rFonts w:ascii="Times New Roman" w:eastAsia="標楷體" w:hAnsi="Times New Roman" w:cs="Times New Roman"/>
          <w:szCs w:val="24"/>
        </w:rPr>
      </w:pPr>
      <w:r w:rsidRPr="00311CE5">
        <w:rPr>
          <w:rFonts w:ascii="Times New Roman" w:eastAsia="標楷體" w:hAnsi="Times New Roman" w:cs="Times New Roman"/>
          <w:szCs w:val="24"/>
        </w:rPr>
        <w:fldChar w:fldCharType="end"/>
      </w:r>
    </w:p>
    <w:p w:rsidR="001A3731" w:rsidRPr="00C77E77" w:rsidRDefault="001A3731">
      <w:pPr>
        <w:widowControl/>
        <w:rPr>
          <w:rFonts w:ascii="Times New Roman" w:eastAsia="標楷體" w:hAnsi="Times New Roman" w:cs="Times New Roman"/>
          <w:b/>
          <w:sz w:val="40"/>
          <w:szCs w:val="40"/>
        </w:rPr>
      </w:pPr>
      <w:r w:rsidRPr="00C77E77">
        <w:rPr>
          <w:rFonts w:ascii="Times New Roman" w:eastAsia="標楷體" w:hAnsi="Times New Roman" w:cs="Times New Roman"/>
          <w:b/>
          <w:sz w:val="40"/>
          <w:szCs w:val="40"/>
        </w:rPr>
        <w:br w:type="page"/>
      </w:r>
    </w:p>
    <w:p w:rsidR="009E2A12" w:rsidRPr="00C77E77" w:rsidRDefault="009E2A12" w:rsidP="006859D5">
      <w:pPr>
        <w:pStyle w:val="11"/>
      </w:pPr>
      <w:r w:rsidRPr="00C77E77">
        <w:lastRenderedPageBreak/>
        <w:t>圖目錄</w:t>
      </w:r>
    </w:p>
    <w:bookmarkStart w:id="0" w:name="_GoBack"/>
    <w:p w:rsidR="006917D4" w:rsidRPr="006917D4" w:rsidRDefault="009E2A12">
      <w:pPr>
        <w:pStyle w:val="11"/>
        <w:rPr>
          <w:rFonts w:asciiTheme="minorHAnsi" w:eastAsiaTheme="minorEastAsia" w:hAnsiTheme="minorHAnsi" w:cstheme="minorBidi"/>
          <w:b w:val="0"/>
          <w:sz w:val="24"/>
          <w:szCs w:val="24"/>
        </w:rPr>
      </w:pPr>
      <w:r w:rsidRPr="006917D4">
        <w:rPr>
          <w:b w:val="0"/>
          <w:sz w:val="24"/>
          <w:szCs w:val="24"/>
        </w:rPr>
        <w:fldChar w:fldCharType="begin"/>
      </w:r>
      <w:r w:rsidRPr="006917D4">
        <w:rPr>
          <w:b w:val="0"/>
          <w:sz w:val="24"/>
          <w:szCs w:val="24"/>
        </w:rPr>
        <w:instrText xml:space="preserve"> TOC \h \z \t "</w:instrText>
      </w:r>
      <w:r w:rsidRPr="006917D4">
        <w:rPr>
          <w:b w:val="0"/>
          <w:sz w:val="24"/>
          <w:szCs w:val="24"/>
        </w:rPr>
        <w:instrText>圖</w:instrText>
      </w:r>
      <w:r w:rsidRPr="006917D4">
        <w:rPr>
          <w:b w:val="0"/>
          <w:sz w:val="24"/>
          <w:szCs w:val="24"/>
        </w:rPr>
        <w:instrText xml:space="preserve">,1" </w:instrText>
      </w:r>
      <w:r w:rsidRPr="006917D4">
        <w:rPr>
          <w:b w:val="0"/>
          <w:sz w:val="24"/>
          <w:szCs w:val="24"/>
        </w:rPr>
        <w:fldChar w:fldCharType="separate"/>
      </w:r>
      <w:hyperlink w:anchor="_Toc470676624" w:history="1">
        <w:r w:rsidR="006917D4" w:rsidRPr="006917D4">
          <w:rPr>
            <w:rStyle w:val="aa"/>
            <w:rFonts w:hint="eastAsia"/>
            <w:b w:val="0"/>
            <w:sz w:val="24"/>
            <w:szCs w:val="24"/>
          </w:rPr>
          <w:t>圖</w:t>
        </w:r>
        <w:r w:rsidR="006917D4" w:rsidRPr="006917D4">
          <w:rPr>
            <w:rStyle w:val="aa"/>
            <w:b w:val="0"/>
            <w:sz w:val="24"/>
            <w:szCs w:val="24"/>
          </w:rPr>
          <w:t xml:space="preserve">1-1-1 </w:t>
        </w:r>
        <w:r w:rsidR="006917D4" w:rsidRPr="006917D4">
          <w:rPr>
            <w:rStyle w:val="aa"/>
            <w:rFonts w:hint="eastAsia"/>
            <w:b w:val="0"/>
            <w:sz w:val="24"/>
            <w:szCs w:val="24"/>
          </w:rPr>
          <w:t>經濟部推動十大系統整合案輸出</w:t>
        </w:r>
        <w:r w:rsidR="006917D4" w:rsidRPr="006917D4">
          <w:rPr>
            <w:b w:val="0"/>
            <w:webHidden/>
            <w:sz w:val="24"/>
            <w:szCs w:val="24"/>
          </w:rPr>
          <w:tab/>
        </w:r>
        <w:r w:rsidR="006917D4" w:rsidRPr="006917D4">
          <w:rPr>
            <w:b w:val="0"/>
            <w:webHidden/>
            <w:sz w:val="24"/>
            <w:szCs w:val="24"/>
          </w:rPr>
          <w:fldChar w:fldCharType="begin"/>
        </w:r>
        <w:r w:rsidR="006917D4" w:rsidRPr="006917D4">
          <w:rPr>
            <w:b w:val="0"/>
            <w:webHidden/>
            <w:sz w:val="24"/>
            <w:szCs w:val="24"/>
          </w:rPr>
          <w:instrText xml:space="preserve"> PAGEREF _Toc470676624 \h </w:instrText>
        </w:r>
        <w:r w:rsidR="006917D4" w:rsidRPr="006917D4">
          <w:rPr>
            <w:b w:val="0"/>
            <w:webHidden/>
            <w:sz w:val="24"/>
            <w:szCs w:val="24"/>
          </w:rPr>
        </w:r>
        <w:r w:rsidR="006917D4" w:rsidRPr="006917D4">
          <w:rPr>
            <w:b w:val="0"/>
            <w:webHidden/>
            <w:sz w:val="24"/>
            <w:szCs w:val="24"/>
          </w:rPr>
          <w:fldChar w:fldCharType="separate"/>
        </w:r>
        <w:r w:rsidR="006917D4" w:rsidRPr="006917D4">
          <w:rPr>
            <w:b w:val="0"/>
            <w:webHidden/>
            <w:sz w:val="24"/>
            <w:szCs w:val="24"/>
          </w:rPr>
          <w:t>6</w:t>
        </w:r>
        <w:r w:rsidR="006917D4"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25" w:history="1">
        <w:r w:rsidRPr="006917D4">
          <w:rPr>
            <w:rStyle w:val="aa"/>
            <w:rFonts w:hint="eastAsia"/>
            <w:b w:val="0"/>
            <w:sz w:val="24"/>
            <w:szCs w:val="24"/>
          </w:rPr>
          <w:t>圖</w:t>
        </w:r>
        <w:r w:rsidRPr="006917D4">
          <w:rPr>
            <w:rStyle w:val="aa"/>
            <w:b w:val="0"/>
            <w:sz w:val="24"/>
            <w:szCs w:val="24"/>
          </w:rPr>
          <w:t xml:space="preserve">1-2-1 </w:t>
        </w:r>
        <w:r w:rsidRPr="006917D4">
          <w:rPr>
            <w:rStyle w:val="aa"/>
            <w:rFonts w:hint="eastAsia"/>
            <w:b w:val="0"/>
            <w:sz w:val="24"/>
            <w:szCs w:val="24"/>
          </w:rPr>
          <w:t>研究架構圖</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_Toc470676625 \h </w:instrText>
        </w:r>
        <w:r w:rsidRPr="006917D4">
          <w:rPr>
            <w:b w:val="0"/>
            <w:webHidden/>
            <w:sz w:val="24"/>
            <w:szCs w:val="24"/>
          </w:rPr>
        </w:r>
        <w:r w:rsidRPr="006917D4">
          <w:rPr>
            <w:b w:val="0"/>
            <w:webHidden/>
            <w:sz w:val="24"/>
            <w:szCs w:val="24"/>
          </w:rPr>
          <w:fldChar w:fldCharType="separate"/>
        </w:r>
        <w:r w:rsidRPr="006917D4">
          <w:rPr>
            <w:b w:val="0"/>
            <w:webHidden/>
            <w:sz w:val="24"/>
            <w:szCs w:val="24"/>
          </w:rPr>
          <w:t>12</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26" w:history="1">
        <w:r w:rsidRPr="006917D4">
          <w:rPr>
            <w:rStyle w:val="aa"/>
            <w:rFonts w:hint="eastAsia"/>
            <w:b w:val="0"/>
            <w:sz w:val="24"/>
            <w:szCs w:val="24"/>
          </w:rPr>
          <w:t>圖</w:t>
        </w:r>
        <w:r w:rsidRPr="006917D4">
          <w:rPr>
            <w:rStyle w:val="aa"/>
            <w:b w:val="0"/>
            <w:sz w:val="24"/>
            <w:szCs w:val="24"/>
          </w:rPr>
          <w:t xml:space="preserve">2-1-1 </w:t>
        </w:r>
        <w:r w:rsidRPr="006917D4">
          <w:rPr>
            <w:rStyle w:val="aa"/>
            <w:rFonts w:hint="eastAsia"/>
            <w:b w:val="0"/>
            <w:sz w:val="24"/>
            <w:szCs w:val="24"/>
          </w:rPr>
          <w:t>前三波南向政策期間我國與東協十國進出口值（</w:t>
        </w:r>
        <w:r w:rsidRPr="006917D4">
          <w:rPr>
            <w:rStyle w:val="aa"/>
            <w:b w:val="0"/>
            <w:sz w:val="24"/>
            <w:szCs w:val="24"/>
          </w:rPr>
          <w:t>1994-2007</w:t>
        </w:r>
        <w:r w:rsidRPr="006917D4">
          <w:rPr>
            <w:rStyle w:val="aa"/>
            <w:rFonts w:hint="eastAsia"/>
            <w:b w:val="0"/>
            <w:sz w:val="24"/>
            <w:szCs w:val="24"/>
          </w:rPr>
          <w:t>）</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_Toc470676626 \h </w:instrText>
        </w:r>
        <w:r w:rsidRPr="006917D4">
          <w:rPr>
            <w:b w:val="0"/>
            <w:webHidden/>
            <w:sz w:val="24"/>
            <w:szCs w:val="24"/>
          </w:rPr>
        </w:r>
        <w:r w:rsidRPr="006917D4">
          <w:rPr>
            <w:b w:val="0"/>
            <w:webHidden/>
            <w:sz w:val="24"/>
            <w:szCs w:val="24"/>
          </w:rPr>
          <w:fldChar w:fldCharType="separate"/>
        </w:r>
        <w:r w:rsidRPr="006917D4">
          <w:rPr>
            <w:b w:val="0"/>
            <w:webHidden/>
            <w:sz w:val="24"/>
            <w:szCs w:val="24"/>
          </w:rPr>
          <w:t>20</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27" w:history="1">
        <w:r w:rsidRPr="006917D4">
          <w:rPr>
            <w:rStyle w:val="aa"/>
            <w:rFonts w:hint="eastAsia"/>
            <w:b w:val="0"/>
            <w:sz w:val="24"/>
            <w:szCs w:val="24"/>
          </w:rPr>
          <w:t>圖</w:t>
        </w:r>
        <w:r w:rsidRPr="006917D4">
          <w:rPr>
            <w:rStyle w:val="aa"/>
            <w:b w:val="0"/>
            <w:sz w:val="24"/>
            <w:szCs w:val="24"/>
          </w:rPr>
          <w:t xml:space="preserve">2-1-2 </w:t>
        </w:r>
        <w:r w:rsidRPr="006917D4">
          <w:rPr>
            <w:rStyle w:val="aa"/>
            <w:rFonts w:hint="eastAsia"/>
            <w:b w:val="0"/>
            <w:sz w:val="24"/>
            <w:szCs w:val="24"/>
          </w:rPr>
          <w:t>前三波南向政策期間我國對中國大陸與東協投資趨勢（</w:t>
        </w:r>
        <w:r w:rsidRPr="006917D4">
          <w:rPr>
            <w:rStyle w:val="aa"/>
            <w:b w:val="0"/>
            <w:sz w:val="24"/>
            <w:szCs w:val="24"/>
          </w:rPr>
          <w:t>1994-2007</w:t>
        </w:r>
        <w:r w:rsidRPr="006917D4">
          <w:rPr>
            <w:rStyle w:val="aa"/>
            <w:rFonts w:hint="eastAsia"/>
            <w:b w:val="0"/>
            <w:sz w:val="24"/>
            <w:szCs w:val="24"/>
          </w:rPr>
          <w:t>）</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_Toc470676627 \h </w:instrText>
        </w:r>
        <w:r w:rsidRPr="006917D4">
          <w:rPr>
            <w:b w:val="0"/>
            <w:webHidden/>
            <w:sz w:val="24"/>
            <w:szCs w:val="24"/>
          </w:rPr>
        </w:r>
        <w:r w:rsidRPr="006917D4">
          <w:rPr>
            <w:b w:val="0"/>
            <w:webHidden/>
            <w:sz w:val="24"/>
            <w:szCs w:val="24"/>
          </w:rPr>
          <w:fldChar w:fldCharType="separate"/>
        </w:r>
        <w:r w:rsidRPr="006917D4">
          <w:rPr>
            <w:b w:val="0"/>
            <w:webHidden/>
            <w:sz w:val="24"/>
            <w:szCs w:val="24"/>
          </w:rPr>
          <w:t>21</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28" w:history="1">
        <w:r w:rsidRPr="006917D4">
          <w:rPr>
            <w:rStyle w:val="aa"/>
            <w:rFonts w:hint="eastAsia"/>
            <w:b w:val="0"/>
            <w:sz w:val="24"/>
            <w:szCs w:val="24"/>
          </w:rPr>
          <w:t>圖</w:t>
        </w:r>
        <w:r w:rsidRPr="006917D4">
          <w:rPr>
            <w:rStyle w:val="aa"/>
            <w:b w:val="0"/>
            <w:sz w:val="24"/>
            <w:szCs w:val="24"/>
          </w:rPr>
          <w:t xml:space="preserve">2-2-1 </w:t>
        </w:r>
        <w:r w:rsidRPr="006917D4">
          <w:rPr>
            <w:rStyle w:val="aa"/>
            <w:rFonts w:hint="eastAsia"/>
            <w:b w:val="0"/>
            <w:sz w:val="24"/>
            <w:szCs w:val="24"/>
          </w:rPr>
          <w:t>臺灣與印度貿易總值</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_Toc470676628 \h </w:instrText>
        </w:r>
        <w:r w:rsidRPr="006917D4">
          <w:rPr>
            <w:b w:val="0"/>
            <w:webHidden/>
            <w:sz w:val="24"/>
            <w:szCs w:val="24"/>
          </w:rPr>
        </w:r>
        <w:r w:rsidRPr="006917D4">
          <w:rPr>
            <w:b w:val="0"/>
            <w:webHidden/>
            <w:sz w:val="24"/>
            <w:szCs w:val="24"/>
          </w:rPr>
          <w:fldChar w:fldCharType="separate"/>
        </w:r>
        <w:r w:rsidRPr="006917D4">
          <w:rPr>
            <w:b w:val="0"/>
            <w:webHidden/>
            <w:sz w:val="24"/>
            <w:szCs w:val="24"/>
          </w:rPr>
          <w:t>36</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29" w:history="1">
        <w:r w:rsidRPr="006917D4">
          <w:rPr>
            <w:rStyle w:val="aa"/>
            <w:rFonts w:hint="eastAsia"/>
            <w:b w:val="0"/>
            <w:sz w:val="24"/>
            <w:szCs w:val="24"/>
          </w:rPr>
          <w:t>圖</w:t>
        </w:r>
        <w:r w:rsidRPr="006917D4">
          <w:rPr>
            <w:rStyle w:val="aa"/>
            <w:b w:val="0"/>
            <w:sz w:val="24"/>
            <w:szCs w:val="24"/>
          </w:rPr>
          <w:t xml:space="preserve">2-2-3 </w:t>
        </w:r>
        <w:r w:rsidRPr="006917D4">
          <w:rPr>
            <w:rStyle w:val="aa"/>
            <w:rFonts w:hint="eastAsia"/>
            <w:b w:val="0"/>
            <w:sz w:val="24"/>
            <w:szCs w:val="24"/>
          </w:rPr>
          <w:t>臺灣與印度進出口金額</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_Toc470676629 \h </w:instrText>
        </w:r>
        <w:r w:rsidRPr="006917D4">
          <w:rPr>
            <w:b w:val="0"/>
            <w:webHidden/>
            <w:sz w:val="24"/>
            <w:szCs w:val="24"/>
          </w:rPr>
        </w:r>
        <w:r w:rsidRPr="006917D4">
          <w:rPr>
            <w:b w:val="0"/>
            <w:webHidden/>
            <w:sz w:val="24"/>
            <w:szCs w:val="24"/>
          </w:rPr>
          <w:fldChar w:fldCharType="separate"/>
        </w:r>
        <w:r w:rsidRPr="006917D4">
          <w:rPr>
            <w:b w:val="0"/>
            <w:webHidden/>
            <w:sz w:val="24"/>
            <w:szCs w:val="24"/>
          </w:rPr>
          <w:t>36</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0" w:history="1">
        <w:r w:rsidRPr="006917D4">
          <w:rPr>
            <w:rStyle w:val="aa"/>
            <w:rFonts w:hint="eastAsia"/>
            <w:b w:val="0"/>
            <w:sz w:val="24"/>
            <w:szCs w:val="24"/>
          </w:rPr>
          <w:t>表</w:t>
        </w:r>
        <w:r w:rsidRPr="006917D4">
          <w:rPr>
            <w:rStyle w:val="aa"/>
            <w:b w:val="0"/>
            <w:sz w:val="24"/>
            <w:szCs w:val="24"/>
          </w:rPr>
          <w:t xml:space="preserve">2-2-3 </w:t>
        </w:r>
        <w:r w:rsidRPr="006917D4">
          <w:rPr>
            <w:rStyle w:val="aa"/>
            <w:rFonts w:hint="eastAsia"/>
            <w:b w:val="0"/>
            <w:sz w:val="24"/>
            <w:szCs w:val="24"/>
          </w:rPr>
          <w:t>臺灣對印度出（入）超金額</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_Toc470676630 \h </w:instrText>
        </w:r>
        <w:r w:rsidRPr="006917D4">
          <w:rPr>
            <w:b w:val="0"/>
            <w:webHidden/>
            <w:sz w:val="24"/>
            <w:szCs w:val="24"/>
          </w:rPr>
        </w:r>
        <w:r w:rsidRPr="006917D4">
          <w:rPr>
            <w:b w:val="0"/>
            <w:webHidden/>
            <w:sz w:val="24"/>
            <w:szCs w:val="24"/>
          </w:rPr>
          <w:fldChar w:fldCharType="separate"/>
        </w:r>
        <w:r w:rsidRPr="006917D4">
          <w:rPr>
            <w:b w:val="0"/>
            <w:webHidden/>
            <w:sz w:val="24"/>
            <w:szCs w:val="24"/>
          </w:rPr>
          <w:t>37</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1" w:history="1">
        <w:r w:rsidRPr="006917D4">
          <w:rPr>
            <w:rStyle w:val="aa"/>
            <w:rFonts w:hint="eastAsia"/>
            <w:b w:val="0"/>
            <w:sz w:val="24"/>
            <w:szCs w:val="24"/>
          </w:rPr>
          <w:t>圖</w:t>
        </w:r>
        <w:r w:rsidRPr="006917D4">
          <w:rPr>
            <w:rStyle w:val="aa"/>
            <w:b w:val="0"/>
            <w:sz w:val="24"/>
            <w:szCs w:val="24"/>
          </w:rPr>
          <w:t xml:space="preserve">2-2-4 </w:t>
        </w:r>
        <w:r w:rsidRPr="006917D4">
          <w:rPr>
            <w:rStyle w:val="aa"/>
            <w:rFonts w:hint="eastAsia"/>
            <w:b w:val="0"/>
            <w:sz w:val="24"/>
            <w:szCs w:val="24"/>
          </w:rPr>
          <w:t>臺灣赴印度投資件數</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_Toc470676631 \h </w:instrText>
        </w:r>
        <w:r w:rsidRPr="006917D4">
          <w:rPr>
            <w:b w:val="0"/>
            <w:webHidden/>
            <w:sz w:val="24"/>
            <w:szCs w:val="24"/>
          </w:rPr>
        </w:r>
        <w:r w:rsidRPr="006917D4">
          <w:rPr>
            <w:b w:val="0"/>
            <w:webHidden/>
            <w:sz w:val="24"/>
            <w:szCs w:val="24"/>
          </w:rPr>
          <w:fldChar w:fldCharType="separate"/>
        </w:r>
        <w:r w:rsidRPr="006917D4">
          <w:rPr>
            <w:b w:val="0"/>
            <w:webHidden/>
            <w:sz w:val="24"/>
            <w:szCs w:val="24"/>
          </w:rPr>
          <w:t>45</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2" w:history="1">
        <w:r w:rsidRPr="006917D4">
          <w:rPr>
            <w:rStyle w:val="aa"/>
            <w:rFonts w:hint="eastAsia"/>
            <w:b w:val="0"/>
            <w:sz w:val="24"/>
            <w:szCs w:val="24"/>
          </w:rPr>
          <w:t>圖</w:t>
        </w:r>
        <w:r w:rsidRPr="006917D4">
          <w:rPr>
            <w:rStyle w:val="aa"/>
            <w:b w:val="0"/>
            <w:sz w:val="24"/>
            <w:szCs w:val="24"/>
          </w:rPr>
          <w:t xml:space="preserve">2-2-5 </w:t>
        </w:r>
        <w:r w:rsidRPr="006917D4">
          <w:rPr>
            <w:rStyle w:val="aa"/>
            <w:rFonts w:hint="eastAsia"/>
            <w:b w:val="0"/>
            <w:sz w:val="24"/>
            <w:szCs w:val="24"/>
          </w:rPr>
          <w:t>臺灣赴印度投資金額（單位：美金千元）</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_Toc470676632 \h </w:instrText>
        </w:r>
        <w:r w:rsidRPr="006917D4">
          <w:rPr>
            <w:b w:val="0"/>
            <w:webHidden/>
            <w:sz w:val="24"/>
            <w:szCs w:val="24"/>
          </w:rPr>
        </w:r>
        <w:r w:rsidRPr="006917D4">
          <w:rPr>
            <w:b w:val="0"/>
            <w:webHidden/>
            <w:sz w:val="24"/>
            <w:szCs w:val="24"/>
          </w:rPr>
          <w:fldChar w:fldCharType="separate"/>
        </w:r>
        <w:r w:rsidRPr="006917D4">
          <w:rPr>
            <w:b w:val="0"/>
            <w:webHidden/>
            <w:sz w:val="24"/>
            <w:szCs w:val="24"/>
          </w:rPr>
          <w:t>45</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3" w:history="1">
        <w:r w:rsidRPr="006917D4">
          <w:rPr>
            <w:rStyle w:val="aa"/>
            <w:rFonts w:hint="eastAsia"/>
            <w:b w:val="0"/>
            <w:sz w:val="24"/>
            <w:szCs w:val="24"/>
          </w:rPr>
          <w:t>圖</w:t>
        </w:r>
        <w:r w:rsidRPr="006917D4">
          <w:rPr>
            <w:rStyle w:val="aa"/>
            <w:b w:val="0"/>
            <w:sz w:val="24"/>
            <w:szCs w:val="24"/>
          </w:rPr>
          <w:t xml:space="preserve">3-1-1 </w:t>
        </w:r>
        <w:r w:rsidRPr="006917D4">
          <w:rPr>
            <w:rStyle w:val="aa"/>
            <w:rFonts w:hint="eastAsia"/>
            <w:b w:val="0"/>
            <w:sz w:val="24"/>
            <w:szCs w:val="24"/>
          </w:rPr>
          <w:t>電子收費系統發展面向</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_Toc470676633 \h </w:instrText>
        </w:r>
        <w:r w:rsidRPr="006917D4">
          <w:rPr>
            <w:b w:val="0"/>
            <w:webHidden/>
            <w:sz w:val="24"/>
            <w:szCs w:val="24"/>
          </w:rPr>
        </w:r>
        <w:r w:rsidRPr="006917D4">
          <w:rPr>
            <w:b w:val="0"/>
            <w:webHidden/>
            <w:sz w:val="24"/>
            <w:szCs w:val="24"/>
          </w:rPr>
          <w:fldChar w:fldCharType="separate"/>
        </w:r>
        <w:r w:rsidRPr="006917D4">
          <w:rPr>
            <w:b w:val="0"/>
            <w:webHidden/>
            <w:sz w:val="24"/>
            <w:szCs w:val="24"/>
          </w:rPr>
          <w:t>71</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4" w:history="1">
        <w:r w:rsidRPr="006917D4">
          <w:rPr>
            <w:rStyle w:val="aa"/>
            <w:rFonts w:hint="eastAsia"/>
            <w:b w:val="0"/>
            <w:sz w:val="24"/>
            <w:szCs w:val="24"/>
          </w:rPr>
          <w:t>圖</w:t>
        </w:r>
        <w:r w:rsidRPr="006917D4">
          <w:rPr>
            <w:rStyle w:val="aa"/>
            <w:b w:val="0"/>
            <w:sz w:val="24"/>
            <w:szCs w:val="24"/>
          </w:rPr>
          <w:t xml:space="preserve">3-1-2 </w:t>
        </w:r>
        <w:r w:rsidRPr="006917D4">
          <w:rPr>
            <w:rStyle w:val="aa"/>
            <w:rFonts w:hint="eastAsia"/>
            <w:b w:val="0"/>
            <w:sz w:val="24"/>
            <w:szCs w:val="24"/>
          </w:rPr>
          <w:t>電子化政府計畫簡表</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_Toc470676634 \h </w:instrText>
        </w:r>
        <w:r w:rsidRPr="006917D4">
          <w:rPr>
            <w:b w:val="0"/>
            <w:webHidden/>
            <w:sz w:val="24"/>
            <w:szCs w:val="24"/>
          </w:rPr>
        </w:r>
        <w:r w:rsidRPr="006917D4">
          <w:rPr>
            <w:b w:val="0"/>
            <w:webHidden/>
            <w:sz w:val="24"/>
            <w:szCs w:val="24"/>
          </w:rPr>
          <w:fldChar w:fldCharType="separate"/>
        </w:r>
        <w:r w:rsidRPr="006917D4">
          <w:rPr>
            <w:b w:val="0"/>
            <w:webHidden/>
            <w:sz w:val="24"/>
            <w:szCs w:val="24"/>
          </w:rPr>
          <w:t>74</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5" w:history="1">
        <w:r w:rsidRPr="006917D4">
          <w:rPr>
            <w:rStyle w:val="aa"/>
            <w:rFonts w:hint="eastAsia"/>
            <w:b w:val="0"/>
            <w:sz w:val="24"/>
            <w:szCs w:val="24"/>
          </w:rPr>
          <w:t>圖</w:t>
        </w:r>
        <w:r w:rsidRPr="006917D4">
          <w:rPr>
            <w:rStyle w:val="aa"/>
            <w:b w:val="0"/>
            <w:sz w:val="24"/>
            <w:szCs w:val="24"/>
          </w:rPr>
          <w:t xml:space="preserve">3-1-3 </w:t>
        </w:r>
        <w:r w:rsidRPr="006917D4">
          <w:rPr>
            <w:rStyle w:val="aa"/>
            <w:rFonts w:hint="eastAsia"/>
            <w:b w:val="0"/>
            <w:sz w:val="24"/>
            <w:szCs w:val="24"/>
          </w:rPr>
          <w:t>智慧校園發展趨勢</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_Toc470676635 \h </w:instrText>
        </w:r>
        <w:r w:rsidRPr="006917D4">
          <w:rPr>
            <w:b w:val="0"/>
            <w:webHidden/>
            <w:sz w:val="24"/>
            <w:szCs w:val="24"/>
          </w:rPr>
        </w:r>
        <w:r w:rsidRPr="006917D4">
          <w:rPr>
            <w:b w:val="0"/>
            <w:webHidden/>
            <w:sz w:val="24"/>
            <w:szCs w:val="24"/>
          </w:rPr>
          <w:fldChar w:fldCharType="separate"/>
        </w:r>
        <w:r w:rsidRPr="006917D4">
          <w:rPr>
            <w:b w:val="0"/>
            <w:webHidden/>
            <w:sz w:val="24"/>
            <w:szCs w:val="24"/>
          </w:rPr>
          <w:t>79</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6" w:history="1">
        <w:r w:rsidRPr="006917D4">
          <w:rPr>
            <w:rStyle w:val="aa"/>
            <w:rFonts w:hint="eastAsia"/>
            <w:b w:val="0"/>
            <w:sz w:val="24"/>
            <w:szCs w:val="24"/>
          </w:rPr>
          <w:t>圖</w:t>
        </w:r>
        <w:r w:rsidRPr="006917D4">
          <w:rPr>
            <w:rStyle w:val="aa"/>
            <w:b w:val="0"/>
            <w:sz w:val="24"/>
            <w:szCs w:val="24"/>
          </w:rPr>
          <w:t xml:space="preserve">3-3-1 </w:t>
        </w:r>
        <w:r w:rsidRPr="006917D4">
          <w:rPr>
            <w:rStyle w:val="aa"/>
            <w:rFonts w:hint="eastAsia"/>
            <w:b w:val="0"/>
            <w:sz w:val="24"/>
            <w:szCs w:val="24"/>
          </w:rPr>
          <w:t>太陽光電產業範疇</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_Toc470676636 \h </w:instrText>
        </w:r>
        <w:r w:rsidRPr="006917D4">
          <w:rPr>
            <w:b w:val="0"/>
            <w:webHidden/>
            <w:sz w:val="24"/>
            <w:szCs w:val="24"/>
          </w:rPr>
        </w:r>
        <w:r w:rsidRPr="006917D4">
          <w:rPr>
            <w:b w:val="0"/>
            <w:webHidden/>
            <w:sz w:val="24"/>
            <w:szCs w:val="24"/>
          </w:rPr>
          <w:fldChar w:fldCharType="separate"/>
        </w:r>
        <w:r w:rsidRPr="006917D4">
          <w:rPr>
            <w:b w:val="0"/>
            <w:webHidden/>
            <w:sz w:val="24"/>
            <w:szCs w:val="24"/>
          </w:rPr>
          <w:t>94</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7" w:history="1">
        <w:r w:rsidRPr="006917D4">
          <w:rPr>
            <w:rStyle w:val="aa"/>
            <w:rFonts w:hint="eastAsia"/>
            <w:b w:val="0"/>
            <w:sz w:val="24"/>
            <w:szCs w:val="24"/>
          </w:rPr>
          <w:t>圖</w:t>
        </w:r>
        <w:r w:rsidRPr="006917D4">
          <w:rPr>
            <w:rStyle w:val="aa"/>
            <w:b w:val="0"/>
            <w:sz w:val="24"/>
            <w:szCs w:val="24"/>
          </w:rPr>
          <w:t xml:space="preserve">3-3-2 </w:t>
        </w:r>
        <w:r w:rsidRPr="006917D4">
          <w:rPr>
            <w:rStyle w:val="aa"/>
            <w:rFonts w:hint="eastAsia"/>
            <w:b w:val="0"/>
            <w:sz w:val="24"/>
            <w:szCs w:val="24"/>
          </w:rPr>
          <w:t>臺灣電動車發展優勢</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_Toc470676637 \h </w:instrText>
        </w:r>
        <w:r w:rsidRPr="006917D4">
          <w:rPr>
            <w:b w:val="0"/>
            <w:webHidden/>
            <w:sz w:val="24"/>
            <w:szCs w:val="24"/>
          </w:rPr>
        </w:r>
        <w:r w:rsidRPr="006917D4">
          <w:rPr>
            <w:b w:val="0"/>
            <w:webHidden/>
            <w:sz w:val="24"/>
            <w:szCs w:val="24"/>
          </w:rPr>
          <w:fldChar w:fldCharType="separate"/>
        </w:r>
        <w:r w:rsidRPr="006917D4">
          <w:rPr>
            <w:b w:val="0"/>
            <w:webHidden/>
            <w:sz w:val="24"/>
            <w:szCs w:val="24"/>
          </w:rPr>
          <w:t>99</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8" w:history="1">
        <w:r w:rsidRPr="006917D4">
          <w:rPr>
            <w:rStyle w:val="aa"/>
            <w:rFonts w:hint="eastAsia"/>
            <w:b w:val="0"/>
            <w:sz w:val="24"/>
            <w:szCs w:val="24"/>
          </w:rPr>
          <w:t>圖</w:t>
        </w:r>
        <w:r w:rsidRPr="006917D4">
          <w:rPr>
            <w:rStyle w:val="aa"/>
            <w:b w:val="0"/>
            <w:sz w:val="24"/>
            <w:szCs w:val="24"/>
          </w:rPr>
          <w:t xml:space="preserve">3-4-1 </w:t>
        </w:r>
        <w:r w:rsidRPr="006917D4">
          <w:rPr>
            <w:rStyle w:val="aa"/>
            <w:rFonts w:hint="eastAsia"/>
            <w:b w:val="0"/>
            <w:sz w:val="24"/>
            <w:szCs w:val="24"/>
          </w:rPr>
          <w:t>臺中日韓四國石化出口總值占比變化</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_Toc470676638 \h </w:instrText>
        </w:r>
        <w:r w:rsidRPr="006917D4">
          <w:rPr>
            <w:b w:val="0"/>
            <w:webHidden/>
            <w:sz w:val="24"/>
            <w:szCs w:val="24"/>
          </w:rPr>
        </w:r>
        <w:r w:rsidRPr="006917D4">
          <w:rPr>
            <w:b w:val="0"/>
            <w:webHidden/>
            <w:sz w:val="24"/>
            <w:szCs w:val="24"/>
          </w:rPr>
          <w:fldChar w:fldCharType="separate"/>
        </w:r>
        <w:r w:rsidRPr="006917D4">
          <w:rPr>
            <w:b w:val="0"/>
            <w:webHidden/>
            <w:sz w:val="24"/>
            <w:szCs w:val="24"/>
          </w:rPr>
          <w:t>103</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39" w:history="1">
        <w:r w:rsidRPr="006917D4">
          <w:rPr>
            <w:rStyle w:val="aa"/>
            <w:rFonts w:hint="eastAsia"/>
            <w:b w:val="0"/>
            <w:sz w:val="24"/>
            <w:szCs w:val="24"/>
          </w:rPr>
          <w:t>圖</w:t>
        </w:r>
        <w:r w:rsidRPr="006917D4">
          <w:rPr>
            <w:rStyle w:val="aa"/>
            <w:b w:val="0"/>
            <w:sz w:val="24"/>
            <w:szCs w:val="24"/>
          </w:rPr>
          <w:t xml:space="preserve">3-4-2 </w:t>
        </w:r>
        <w:r w:rsidRPr="006917D4">
          <w:rPr>
            <w:rStyle w:val="aa"/>
            <w:rFonts w:hint="eastAsia"/>
            <w:b w:val="0"/>
            <w:sz w:val="24"/>
            <w:szCs w:val="24"/>
          </w:rPr>
          <w:t>智慧健康照護產業</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_Toc470676639 \h </w:instrText>
        </w:r>
        <w:r w:rsidRPr="006917D4">
          <w:rPr>
            <w:b w:val="0"/>
            <w:webHidden/>
            <w:sz w:val="24"/>
            <w:szCs w:val="24"/>
          </w:rPr>
        </w:r>
        <w:r w:rsidRPr="006917D4">
          <w:rPr>
            <w:b w:val="0"/>
            <w:webHidden/>
            <w:sz w:val="24"/>
            <w:szCs w:val="24"/>
          </w:rPr>
          <w:fldChar w:fldCharType="separate"/>
        </w:r>
        <w:r w:rsidRPr="006917D4">
          <w:rPr>
            <w:b w:val="0"/>
            <w:webHidden/>
            <w:sz w:val="24"/>
            <w:szCs w:val="24"/>
          </w:rPr>
          <w:t>106</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0" w:history="1">
        <w:r w:rsidRPr="006917D4">
          <w:rPr>
            <w:rStyle w:val="aa"/>
            <w:rFonts w:hint="eastAsia"/>
            <w:b w:val="0"/>
            <w:sz w:val="24"/>
            <w:szCs w:val="24"/>
          </w:rPr>
          <w:t>圖</w:t>
        </w:r>
        <w:r w:rsidRPr="006917D4">
          <w:rPr>
            <w:rStyle w:val="aa"/>
            <w:b w:val="0"/>
            <w:sz w:val="24"/>
            <w:szCs w:val="24"/>
          </w:rPr>
          <w:t xml:space="preserve">3-4-3 </w:t>
        </w:r>
        <w:r w:rsidRPr="006917D4">
          <w:rPr>
            <w:rStyle w:val="aa"/>
            <w:rFonts w:hint="eastAsia"/>
            <w:b w:val="0"/>
            <w:sz w:val="24"/>
            <w:szCs w:val="24"/>
          </w:rPr>
          <w:t>臺灣智慧健康產業情境</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_Toc470676640 \h </w:instrText>
        </w:r>
        <w:r w:rsidRPr="006917D4">
          <w:rPr>
            <w:b w:val="0"/>
            <w:webHidden/>
            <w:sz w:val="24"/>
            <w:szCs w:val="24"/>
          </w:rPr>
        </w:r>
        <w:r w:rsidRPr="006917D4">
          <w:rPr>
            <w:b w:val="0"/>
            <w:webHidden/>
            <w:sz w:val="24"/>
            <w:szCs w:val="24"/>
          </w:rPr>
          <w:fldChar w:fldCharType="separate"/>
        </w:r>
        <w:r w:rsidRPr="006917D4">
          <w:rPr>
            <w:b w:val="0"/>
            <w:webHidden/>
            <w:sz w:val="24"/>
            <w:szCs w:val="24"/>
          </w:rPr>
          <w:t>108</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1" w:history="1">
        <w:r w:rsidRPr="006917D4">
          <w:rPr>
            <w:rStyle w:val="aa"/>
            <w:rFonts w:hint="eastAsia"/>
            <w:b w:val="0"/>
            <w:sz w:val="24"/>
            <w:szCs w:val="24"/>
          </w:rPr>
          <w:t>圖</w:t>
        </w:r>
        <w:r w:rsidRPr="006917D4">
          <w:rPr>
            <w:rStyle w:val="aa"/>
            <w:b w:val="0"/>
            <w:sz w:val="24"/>
            <w:szCs w:val="24"/>
          </w:rPr>
          <w:t>3-4-4</w:t>
        </w:r>
        <w:r w:rsidRPr="006917D4">
          <w:rPr>
            <w:rStyle w:val="aa"/>
            <w:rFonts w:hint="eastAsia"/>
            <w:b w:val="0"/>
            <w:sz w:val="24"/>
            <w:szCs w:val="24"/>
          </w:rPr>
          <w:t xml:space="preserve">　歷年農業總體產值與結構分析</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_Toc470676641 \h </w:instrText>
        </w:r>
        <w:r w:rsidRPr="006917D4">
          <w:rPr>
            <w:b w:val="0"/>
            <w:webHidden/>
            <w:sz w:val="24"/>
            <w:szCs w:val="24"/>
          </w:rPr>
        </w:r>
        <w:r w:rsidRPr="006917D4">
          <w:rPr>
            <w:b w:val="0"/>
            <w:webHidden/>
            <w:sz w:val="24"/>
            <w:szCs w:val="24"/>
          </w:rPr>
          <w:fldChar w:fldCharType="separate"/>
        </w:r>
        <w:r w:rsidRPr="006917D4">
          <w:rPr>
            <w:b w:val="0"/>
            <w:webHidden/>
            <w:sz w:val="24"/>
            <w:szCs w:val="24"/>
          </w:rPr>
          <w:t>113</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2" w:history="1">
        <w:r w:rsidRPr="006917D4">
          <w:rPr>
            <w:rStyle w:val="aa"/>
            <w:rFonts w:hint="eastAsia"/>
            <w:b w:val="0"/>
            <w:sz w:val="24"/>
            <w:szCs w:val="24"/>
          </w:rPr>
          <w:t>圖</w:t>
        </w:r>
        <w:r w:rsidRPr="006917D4">
          <w:rPr>
            <w:rStyle w:val="aa"/>
            <w:b w:val="0"/>
            <w:sz w:val="24"/>
            <w:szCs w:val="24"/>
          </w:rPr>
          <w:t>3-4-5 2014</w:t>
        </w:r>
        <w:r w:rsidRPr="006917D4">
          <w:rPr>
            <w:rStyle w:val="aa"/>
            <w:rFonts w:hint="eastAsia"/>
            <w:b w:val="0"/>
            <w:sz w:val="24"/>
            <w:szCs w:val="24"/>
          </w:rPr>
          <w:t>年農食鏈生產毛額及就業人數</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_Toc470676642 \h </w:instrText>
        </w:r>
        <w:r w:rsidRPr="006917D4">
          <w:rPr>
            <w:b w:val="0"/>
            <w:webHidden/>
            <w:sz w:val="24"/>
            <w:szCs w:val="24"/>
          </w:rPr>
        </w:r>
        <w:r w:rsidRPr="006917D4">
          <w:rPr>
            <w:b w:val="0"/>
            <w:webHidden/>
            <w:sz w:val="24"/>
            <w:szCs w:val="24"/>
          </w:rPr>
          <w:fldChar w:fldCharType="separate"/>
        </w:r>
        <w:r w:rsidRPr="006917D4">
          <w:rPr>
            <w:b w:val="0"/>
            <w:webHidden/>
            <w:sz w:val="24"/>
            <w:szCs w:val="24"/>
          </w:rPr>
          <w:t>114</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3" w:history="1">
        <w:r w:rsidRPr="006917D4">
          <w:rPr>
            <w:rStyle w:val="aa"/>
            <w:rFonts w:hint="eastAsia"/>
            <w:b w:val="0"/>
            <w:sz w:val="24"/>
            <w:szCs w:val="24"/>
          </w:rPr>
          <w:t>圖</w:t>
        </w:r>
        <w:r w:rsidRPr="006917D4">
          <w:rPr>
            <w:rStyle w:val="aa"/>
            <w:b w:val="0"/>
            <w:sz w:val="24"/>
            <w:szCs w:val="24"/>
          </w:rPr>
          <w:t xml:space="preserve">3-4-6 </w:t>
        </w:r>
        <w:r w:rsidRPr="006917D4">
          <w:rPr>
            <w:rStyle w:val="aa"/>
            <w:rFonts w:hint="eastAsia"/>
            <w:b w:val="0"/>
            <w:sz w:val="24"/>
            <w:szCs w:val="24"/>
          </w:rPr>
          <w:t>農業整體從業人口與年齡分布部分</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_Toc470676643 \h </w:instrText>
        </w:r>
        <w:r w:rsidRPr="006917D4">
          <w:rPr>
            <w:b w:val="0"/>
            <w:webHidden/>
            <w:sz w:val="24"/>
            <w:szCs w:val="24"/>
          </w:rPr>
        </w:r>
        <w:r w:rsidRPr="006917D4">
          <w:rPr>
            <w:b w:val="0"/>
            <w:webHidden/>
            <w:sz w:val="24"/>
            <w:szCs w:val="24"/>
          </w:rPr>
          <w:fldChar w:fldCharType="separate"/>
        </w:r>
        <w:r w:rsidRPr="006917D4">
          <w:rPr>
            <w:b w:val="0"/>
            <w:webHidden/>
            <w:sz w:val="24"/>
            <w:szCs w:val="24"/>
          </w:rPr>
          <w:t>114</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4" w:history="1">
        <w:r w:rsidRPr="006917D4">
          <w:rPr>
            <w:rStyle w:val="aa"/>
            <w:rFonts w:hint="eastAsia"/>
            <w:b w:val="0"/>
            <w:sz w:val="24"/>
            <w:szCs w:val="24"/>
          </w:rPr>
          <w:t>圖</w:t>
        </w:r>
        <w:r w:rsidRPr="006917D4">
          <w:rPr>
            <w:rStyle w:val="aa"/>
            <w:b w:val="0"/>
            <w:sz w:val="24"/>
            <w:szCs w:val="24"/>
          </w:rPr>
          <w:t xml:space="preserve">3-4-7 </w:t>
        </w:r>
        <w:r w:rsidRPr="006917D4">
          <w:rPr>
            <w:rStyle w:val="aa"/>
            <w:rFonts w:hint="eastAsia"/>
            <w:b w:val="0"/>
            <w:sz w:val="24"/>
            <w:szCs w:val="24"/>
          </w:rPr>
          <w:t>臺灣農業科技研發優勢</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_Toc470676644 \h </w:instrText>
        </w:r>
        <w:r w:rsidRPr="006917D4">
          <w:rPr>
            <w:b w:val="0"/>
            <w:webHidden/>
            <w:sz w:val="24"/>
            <w:szCs w:val="24"/>
          </w:rPr>
        </w:r>
        <w:r w:rsidRPr="006917D4">
          <w:rPr>
            <w:b w:val="0"/>
            <w:webHidden/>
            <w:sz w:val="24"/>
            <w:szCs w:val="24"/>
          </w:rPr>
          <w:fldChar w:fldCharType="separate"/>
        </w:r>
        <w:r w:rsidRPr="006917D4">
          <w:rPr>
            <w:b w:val="0"/>
            <w:webHidden/>
            <w:sz w:val="24"/>
            <w:szCs w:val="24"/>
          </w:rPr>
          <w:t>117</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5" w:history="1">
        <w:r w:rsidRPr="006917D4">
          <w:rPr>
            <w:rStyle w:val="aa"/>
            <w:rFonts w:hint="eastAsia"/>
            <w:b w:val="0"/>
            <w:sz w:val="24"/>
            <w:szCs w:val="24"/>
          </w:rPr>
          <w:t>圖</w:t>
        </w:r>
        <w:r w:rsidRPr="006917D4">
          <w:rPr>
            <w:rStyle w:val="aa"/>
            <w:b w:val="0"/>
            <w:sz w:val="24"/>
            <w:szCs w:val="24"/>
          </w:rPr>
          <w:t>3-4-8 33</w:t>
        </w:r>
        <w:r w:rsidRPr="006917D4">
          <w:rPr>
            <w:rStyle w:val="aa"/>
            <w:rFonts w:hint="eastAsia"/>
            <w:b w:val="0"/>
            <w:sz w:val="24"/>
            <w:szCs w:val="24"/>
          </w:rPr>
          <w:t>項主力及潛力外銷產品</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_Toc470676645 \h </w:instrText>
        </w:r>
        <w:r w:rsidRPr="006917D4">
          <w:rPr>
            <w:b w:val="0"/>
            <w:webHidden/>
            <w:sz w:val="24"/>
            <w:szCs w:val="24"/>
          </w:rPr>
        </w:r>
        <w:r w:rsidRPr="006917D4">
          <w:rPr>
            <w:b w:val="0"/>
            <w:webHidden/>
            <w:sz w:val="24"/>
            <w:szCs w:val="24"/>
          </w:rPr>
          <w:fldChar w:fldCharType="separate"/>
        </w:r>
        <w:r w:rsidRPr="006917D4">
          <w:rPr>
            <w:b w:val="0"/>
            <w:webHidden/>
            <w:sz w:val="24"/>
            <w:szCs w:val="24"/>
          </w:rPr>
          <w:t>119</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6" w:history="1">
        <w:r w:rsidRPr="006917D4">
          <w:rPr>
            <w:rStyle w:val="aa"/>
            <w:rFonts w:hint="eastAsia"/>
            <w:b w:val="0"/>
            <w:sz w:val="24"/>
            <w:szCs w:val="24"/>
          </w:rPr>
          <w:t>圖</w:t>
        </w:r>
        <w:r w:rsidRPr="006917D4">
          <w:rPr>
            <w:rStyle w:val="aa"/>
            <w:b w:val="0"/>
            <w:sz w:val="24"/>
            <w:szCs w:val="24"/>
          </w:rPr>
          <w:t xml:space="preserve">3-4-9 </w:t>
        </w:r>
        <w:r w:rsidRPr="006917D4">
          <w:rPr>
            <w:rStyle w:val="aa"/>
            <w:rFonts w:hint="eastAsia"/>
            <w:b w:val="0"/>
            <w:sz w:val="24"/>
            <w:szCs w:val="24"/>
          </w:rPr>
          <w:t>臺灣加入區域經貿自由化農業因應策略</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_Toc470676646 \h </w:instrText>
        </w:r>
        <w:r w:rsidRPr="006917D4">
          <w:rPr>
            <w:b w:val="0"/>
            <w:webHidden/>
            <w:sz w:val="24"/>
            <w:szCs w:val="24"/>
          </w:rPr>
        </w:r>
        <w:r w:rsidRPr="006917D4">
          <w:rPr>
            <w:b w:val="0"/>
            <w:webHidden/>
            <w:sz w:val="24"/>
            <w:szCs w:val="24"/>
          </w:rPr>
          <w:fldChar w:fldCharType="separate"/>
        </w:r>
        <w:r w:rsidRPr="006917D4">
          <w:rPr>
            <w:b w:val="0"/>
            <w:webHidden/>
            <w:sz w:val="24"/>
            <w:szCs w:val="24"/>
          </w:rPr>
          <w:t>119</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7" w:history="1">
        <w:r w:rsidRPr="006917D4">
          <w:rPr>
            <w:rStyle w:val="aa"/>
            <w:rFonts w:hint="eastAsia"/>
            <w:b w:val="0"/>
            <w:sz w:val="24"/>
            <w:szCs w:val="24"/>
          </w:rPr>
          <w:t>圖</w:t>
        </w:r>
        <w:r w:rsidRPr="006917D4">
          <w:rPr>
            <w:rStyle w:val="aa"/>
            <w:b w:val="0"/>
            <w:sz w:val="24"/>
            <w:szCs w:val="24"/>
          </w:rPr>
          <w:t xml:space="preserve">4-3-1 </w:t>
        </w:r>
        <w:r w:rsidRPr="006917D4">
          <w:rPr>
            <w:rStyle w:val="aa"/>
            <w:rFonts w:hint="eastAsia"/>
            <w:b w:val="0"/>
            <w:sz w:val="24"/>
            <w:szCs w:val="24"/>
          </w:rPr>
          <w:t>全球太陽光電市場預估</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_Toc470676647 \h </w:instrText>
        </w:r>
        <w:r w:rsidRPr="006917D4">
          <w:rPr>
            <w:b w:val="0"/>
            <w:webHidden/>
            <w:sz w:val="24"/>
            <w:szCs w:val="24"/>
          </w:rPr>
        </w:r>
        <w:r w:rsidRPr="006917D4">
          <w:rPr>
            <w:b w:val="0"/>
            <w:webHidden/>
            <w:sz w:val="24"/>
            <w:szCs w:val="24"/>
          </w:rPr>
          <w:fldChar w:fldCharType="separate"/>
        </w:r>
        <w:r w:rsidRPr="006917D4">
          <w:rPr>
            <w:b w:val="0"/>
            <w:webHidden/>
            <w:sz w:val="24"/>
            <w:szCs w:val="24"/>
          </w:rPr>
          <w:t>141</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8" w:history="1">
        <w:r w:rsidRPr="006917D4">
          <w:rPr>
            <w:rStyle w:val="aa"/>
            <w:rFonts w:hint="eastAsia"/>
            <w:b w:val="0"/>
            <w:sz w:val="24"/>
            <w:szCs w:val="24"/>
          </w:rPr>
          <w:t>圖</w:t>
        </w:r>
        <w:r w:rsidRPr="006917D4">
          <w:rPr>
            <w:rStyle w:val="aa"/>
            <w:b w:val="0"/>
            <w:sz w:val="24"/>
            <w:szCs w:val="24"/>
          </w:rPr>
          <w:t xml:space="preserve">4-3-2 </w:t>
        </w:r>
        <w:r w:rsidRPr="006917D4">
          <w:rPr>
            <w:rStyle w:val="aa"/>
            <w:rFonts w:hint="eastAsia"/>
            <w:b w:val="0"/>
            <w:sz w:val="24"/>
            <w:szCs w:val="24"/>
          </w:rPr>
          <w:t>全球太陽光電前十大安裝國</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_Toc470676648 \h </w:instrText>
        </w:r>
        <w:r w:rsidRPr="006917D4">
          <w:rPr>
            <w:b w:val="0"/>
            <w:webHidden/>
            <w:sz w:val="24"/>
            <w:szCs w:val="24"/>
          </w:rPr>
        </w:r>
        <w:r w:rsidRPr="006917D4">
          <w:rPr>
            <w:b w:val="0"/>
            <w:webHidden/>
            <w:sz w:val="24"/>
            <w:szCs w:val="24"/>
          </w:rPr>
          <w:fldChar w:fldCharType="separate"/>
        </w:r>
        <w:r w:rsidRPr="006917D4">
          <w:rPr>
            <w:b w:val="0"/>
            <w:webHidden/>
            <w:sz w:val="24"/>
            <w:szCs w:val="24"/>
          </w:rPr>
          <w:t>142</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49" w:history="1">
        <w:r w:rsidRPr="006917D4">
          <w:rPr>
            <w:rStyle w:val="aa"/>
            <w:rFonts w:hint="eastAsia"/>
            <w:b w:val="0"/>
            <w:sz w:val="24"/>
            <w:szCs w:val="24"/>
          </w:rPr>
          <w:t>圖</w:t>
        </w:r>
        <w:r w:rsidRPr="006917D4">
          <w:rPr>
            <w:rStyle w:val="aa"/>
            <w:b w:val="0"/>
            <w:sz w:val="24"/>
            <w:szCs w:val="24"/>
          </w:rPr>
          <w:t xml:space="preserve">4-3-3 </w:t>
        </w:r>
        <w:r w:rsidRPr="006917D4">
          <w:rPr>
            <w:rStyle w:val="aa"/>
            <w:rFonts w:hint="eastAsia"/>
            <w:b w:val="0"/>
            <w:sz w:val="24"/>
            <w:szCs w:val="24"/>
          </w:rPr>
          <w:t>東協汽車大國之相關節能政策</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_Toc470676649 \h </w:instrText>
        </w:r>
        <w:r w:rsidRPr="006917D4">
          <w:rPr>
            <w:b w:val="0"/>
            <w:webHidden/>
            <w:sz w:val="24"/>
            <w:szCs w:val="24"/>
          </w:rPr>
        </w:r>
        <w:r w:rsidRPr="006917D4">
          <w:rPr>
            <w:b w:val="0"/>
            <w:webHidden/>
            <w:sz w:val="24"/>
            <w:szCs w:val="24"/>
          </w:rPr>
          <w:fldChar w:fldCharType="separate"/>
        </w:r>
        <w:r w:rsidRPr="006917D4">
          <w:rPr>
            <w:b w:val="0"/>
            <w:webHidden/>
            <w:sz w:val="24"/>
            <w:szCs w:val="24"/>
          </w:rPr>
          <w:t>149</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50" w:history="1">
        <w:r w:rsidRPr="006917D4">
          <w:rPr>
            <w:rStyle w:val="aa"/>
            <w:rFonts w:hint="eastAsia"/>
            <w:b w:val="0"/>
            <w:sz w:val="24"/>
            <w:szCs w:val="24"/>
          </w:rPr>
          <w:t>圖</w:t>
        </w:r>
        <w:r w:rsidRPr="006917D4">
          <w:rPr>
            <w:rStyle w:val="aa"/>
            <w:b w:val="0"/>
            <w:sz w:val="24"/>
            <w:szCs w:val="24"/>
          </w:rPr>
          <w:t xml:space="preserve">5-2-1 </w:t>
        </w:r>
        <w:r w:rsidRPr="006917D4">
          <w:rPr>
            <w:rStyle w:val="aa"/>
            <w:rFonts w:hint="eastAsia"/>
            <w:b w:val="0"/>
            <w:sz w:val="24"/>
            <w:szCs w:val="24"/>
          </w:rPr>
          <w:t>東南亞十國網路及手機使用普及率</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_Toc470676650 \h </w:instrText>
        </w:r>
        <w:r w:rsidRPr="006917D4">
          <w:rPr>
            <w:b w:val="0"/>
            <w:webHidden/>
            <w:sz w:val="24"/>
            <w:szCs w:val="24"/>
          </w:rPr>
        </w:r>
        <w:r w:rsidRPr="006917D4">
          <w:rPr>
            <w:b w:val="0"/>
            <w:webHidden/>
            <w:sz w:val="24"/>
            <w:szCs w:val="24"/>
          </w:rPr>
          <w:fldChar w:fldCharType="separate"/>
        </w:r>
        <w:r w:rsidRPr="006917D4">
          <w:rPr>
            <w:b w:val="0"/>
            <w:webHidden/>
            <w:sz w:val="24"/>
            <w:szCs w:val="24"/>
          </w:rPr>
          <w:t>188</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51" w:history="1">
        <w:r w:rsidRPr="006917D4">
          <w:rPr>
            <w:rStyle w:val="aa"/>
            <w:rFonts w:hint="eastAsia"/>
            <w:b w:val="0"/>
            <w:sz w:val="24"/>
            <w:szCs w:val="24"/>
          </w:rPr>
          <w:t>圖</w:t>
        </w:r>
        <w:r w:rsidRPr="006917D4">
          <w:rPr>
            <w:rStyle w:val="aa"/>
            <w:b w:val="0"/>
            <w:sz w:val="24"/>
            <w:szCs w:val="24"/>
          </w:rPr>
          <w:t xml:space="preserve">5-2-2 </w:t>
        </w:r>
        <w:r w:rsidRPr="006917D4">
          <w:rPr>
            <w:rStyle w:val="aa"/>
            <w:rFonts w:hint="eastAsia"/>
            <w:b w:val="0"/>
            <w:sz w:val="24"/>
            <w:szCs w:val="24"/>
          </w:rPr>
          <w:t>東南亞十國道路建設完成比例</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_Toc470676651 \h </w:instrText>
        </w:r>
        <w:r w:rsidRPr="006917D4">
          <w:rPr>
            <w:b w:val="0"/>
            <w:webHidden/>
            <w:sz w:val="24"/>
            <w:szCs w:val="24"/>
          </w:rPr>
        </w:r>
        <w:r w:rsidRPr="006917D4">
          <w:rPr>
            <w:b w:val="0"/>
            <w:webHidden/>
            <w:sz w:val="24"/>
            <w:szCs w:val="24"/>
          </w:rPr>
          <w:fldChar w:fldCharType="separate"/>
        </w:r>
        <w:r w:rsidRPr="006917D4">
          <w:rPr>
            <w:b w:val="0"/>
            <w:webHidden/>
            <w:sz w:val="24"/>
            <w:szCs w:val="24"/>
          </w:rPr>
          <w:t>193</w:t>
        </w:r>
        <w:r w:rsidRPr="006917D4">
          <w:rPr>
            <w:b w:val="0"/>
            <w:webHidden/>
            <w:sz w:val="24"/>
            <w:szCs w:val="24"/>
          </w:rPr>
          <w:fldChar w:fldCharType="end"/>
        </w:r>
      </w:hyperlink>
    </w:p>
    <w:p w:rsidR="006917D4" w:rsidRPr="006917D4" w:rsidRDefault="006917D4">
      <w:pPr>
        <w:pStyle w:val="11"/>
        <w:rPr>
          <w:rFonts w:asciiTheme="minorHAnsi" w:eastAsiaTheme="minorEastAsia" w:hAnsiTheme="minorHAnsi" w:cstheme="minorBidi"/>
          <w:b w:val="0"/>
          <w:sz w:val="24"/>
          <w:szCs w:val="24"/>
        </w:rPr>
      </w:pPr>
      <w:hyperlink w:anchor="_Toc470676652" w:history="1">
        <w:r w:rsidRPr="006917D4">
          <w:rPr>
            <w:rStyle w:val="aa"/>
            <w:rFonts w:hint="eastAsia"/>
            <w:b w:val="0"/>
            <w:sz w:val="24"/>
            <w:szCs w:val="24"/>
          </w:rPr>
          <w:t>圖</w:t>
        </w:r>
        <w:r w:rsidRPr="006917D4">
          <w:rPr>
            <w:rStyle w:val="aa"/>
            <w:b w:val="0"/>
            <w:sz w:val="24"/>
            <w:szCs w:val="24"/>
          </w:rPr>
          <w:t>5-3-1</w:t>
        </w:r>
        <w:r w:rsidRPr="006917D4">
          <w:rPr>
            <w:rStyle w:val="aa"/>
            <w:rFonts w:hint="eastAsia"/>
            <w:b w:val="0"/>
            <w:sz w:val="24"/>
            <w:szCs w:val="24"/>
          </w:rPr>
          <w:t>「一帶一路」路線圖</w:t>
        </w:r>
        <w:r w:rsidRPr="006917D4">
          <w:rPr>
            <w:b w:val="0"/>
            <w:webHidden/>
            <w:sz w:val="24"/>
            <w:szCs w:val="24"/>
          </w:rPr>
          <w:tab/>
        </w:r>
        <w:r w:rsidRPr="006917D4">
          <w:rPr>
            <w:b w:val="0"/>
            <w:webHidden/>
            <w:sz w:val="24"/>
            <w:szCs w:val="24"/>
          </w:rPr>
          <w:fldChar w:fldCharType="begin"/>
        </w:r>
        <w:r w:rsidRPr="006917D4">
          <w:rPr>
            <w:b w:val="0"/>
            <w:webHidden/>
            <w:sz w:val="24"/>
            <w:szCs w:val="24"/>
          </w:rPr>
          <w:instrText xml:space="preserve"> PAGEREF _Toc470676652 \h </w:instrText>
        </w:r>
        <w:r w:rsidRPr="006917D4">
          <w:rPr>
            <w:b w:val="0"/>
            <w:webHidden/>
            <w:sz w:val="24"/>
            <w:szCs w:val="24"/>
          </w:rPr>
        </w:r>
        <w:r w:rsidRPr="006917D4">
          <w:rPr>
            <w:b w:val="0"/>
            <w:webHidden/>
            <w:sz w:val="24"/>
            <w:szCs w:val="24"/>
          </w:rPr>
          <w:fldChar w:fldCharType="separate"/>
        </w:r>
        <w:r w:rsidRPr="006917D4">
          <w:rPr>
            <w:b w:val="0"/>
            <w:webHidden/>
            <w:sz w:val="24"/>
            <w:szCs w:val="24"/>
          </w:rPr>
          <w:t>214</w:t>
        </w:r>
        <w:r w:rsidRPr="006917D4">
          <w:rPr>
            <w:b w:val="0"/>
            <w:webHidden/>
            <w:sz w:val="24"/>
            <w:szCs w:val="24"/>
          </w:rPr>
          <w:fldChar w:fldCharType="end"/>
        </w:r>
      </w:hyperlink>
    </w:p>
    <w:p w:rsidR="009E2A12" w:rsidRPr="00C77E77" w:rsidRDefault="009E2A12" w:rsidP="001A3731">
      <w:pPr>
        <w:rPr>
          <w:rFonts w:ascii="Times New Roman" w:eastAsia="標楷體" w:hAnsi="Times New Roman" w:cs="Times New Roman"/>
          <w:szCs w:val="24"/>
        </w:rPr>
        <w:sectPr w:rsidR="009E2A12" w:rsidRPr="00C77E77" w:rsidSect="009E2A12">
          <w:headerReference w:type="default" r:id="rId9"/>
          <w:footerReference w:type="default" r:id="rId10"/>
          <w:pgSz w:w="11906" w:h="16838"/>
          <w:pgMar w:top="1440" w:right="1276" w:bottom="1440" w:left="1418" w:header="851" w:footer="992" w:gutter="0"/>
          <w:pgNumType w:fmt="upperRoman" w:start="1"/>
          <w:cols w:space="425"/>
          <w:docGrid w:type="lines" w:linePitch="360"/>
        </w:sectPr>
      </w:pPr>
      <w:r w:rsidRPr="006917D4">
        <w:rPr>
          <w:rFonts w:ascii="Times New Roman" w:eastAsia="標楷體" w:hAnsi="Times New Roman" w:cs="Times New Roman"/>
          <w:szCs w:val="24"/>
        </w:rPr>
        <w:fldChar w:fldCharType="end"/>
      </w:r>
      <w:bookmarkEnd w:id="0"/>
    </w:p>
    <w:p w:rsidR="002D5ACE" w:rsidRPr="00C77E77" w:rsidRDefault="002D5ACE" w:rsidP="00DD156C">
      <w:pPr>
        <w:pStyle w:val="1"/>
        <w:spacing w:beforeLines="50" w:afterLines="50" w:line="500" w:lineRule="exact"/>
        <w:jc w:val="center"/>
        <w:rPr>
          <w:rFonts w:ascii="Times New Roman" w:eastAsia="標楷體" w:hAnsi="Times New Roman" w:cs="Times New Roman"/>
          <w:b w:val="0"/>
          <w:sz w:val="36"/>
          <w:szCs w:val="36"/>
        </w:rPr>
      </w:pPr>
      <w:bookmarkStart w:id="1" w:name="_Toc470676306"/>
      <w:r w:rsidRPr="00C77E77">
        <w:rPr>
          <w:rFonts w:ascii="Times New Roman" w:eastAsia="標楷體" w:hAnsi="Times New Roman" w:cs="Times New Roman"/>
          <w:sz w:val="36"/>
          <w:szCs w:val="36"/>
        </w:rPr>
        <w:lastRenderedPageBreak/>
        <w:t>第一章</w:t>
      </w:r>
      <w:r w:rsidRPr="00C77E77">
        <w:rPr>
          <w:rFonts w:ascii="Times New Roman" w:eastAsia="標楷體" w:hAnsi="Times New Roman" w:cs="Times New Roman"/>
          <w:sz w:val="36"/>
          <w:szCs w:val="36"/>
        </w:rPr>
        <w:t xml:space="preserve"> </w:t>
      </w:r>
      <w:r w:rsidRPr="00C77E77">
        <w:rPr>
          <w:rFonts w:ascii="Times New Roman" w:eastAsia="標楷體" w:hAnsi="Times New Roman" w:cs="Times New Roman"/>
          <w:sz w:val="36"/>
          <w:szCs w:val="36"/>
        </w:rPr>
        <w:t>緒論</w:t>
      </w:r>
      <w:bookmarkEnd w:id="1"/>
    </w:p>
    <w:p w:rsidR="00C94ACA" w:rsidRPr="00C77E77" w:rsidRDefault="00680021" w:rsidP="008218C6">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近年美、「中」、日等大國均重視</w:t>
      </w:r>
      <w:r w:rsidR="0054062A" w:rsidRPr="00C77E77">
        <w:rPr>
          <w:rFonts w:ascii="Times New Roman" w:eastAsia="標楷體" w:hAnsi="Times New Roman" w:cs="Times New Roman"/>
          <w:sz w:val="28"/>
          <w:szCs w:val="28"/>
        </w:rPr>
        <w:t>與東南亞及南亞之關係，我國也</w:t>
      </w:r>
      <w:r w:rsidR="0054062A" w:rsidRPr="00C77E77">
        <w:rPr>
          <w:rFonts w:ascii="Times New Roman" w:eastAsia="標楷體" w:hAnsi="Times New Roman" w:cs="Times New Roman"/>
          <w:color w:val="000000" w:themeColor="text1"/>
          <w:sz w:val="28"/>
          <w:szCs w:val="28"/>
        </w:rPr>
        <w:t>正積極拓展與該區域之良好互動。「新南向政策」之推動緣起，係著眼於東協及南亞人口紅利與經濟成長動能，同時希望借助於新住民與外籍移工搭建的文化鏈結，透過資源共享建立基礎友誼，再從經貿往來、人才培育加強合作。</w:t>
      </w:r>
      <w:r w:rsidR="00684DC0" w:rsidRPr="00C77E77">
        <w:rPr>
          <w:rFonts w:ascii="Times New Roman" w:eastAsia="標楷體" w:hAnsi="Times New Roman" w:cs="Times New Roman"/>
          <w:color w:val="000000" w:themeColor="text1"/>
          <w:sz w:val="28"/>
          <w:szCs w:val="28"/>
        </w:rPr>
        <w:t>新南向政策將國家區域經貿策略發展以多元、多面向的視角轉向近年來經濟實力上升、人口眾多、戰略位置重要的</w:t>
      </w:r>
      <w:r w:rsidR="00684DC0" w:rsidRPr="00C77E77">
        <w:rPr>
          <w:rFonts w:ascii="Times New Roman" w:eastAsia="標楷體" w:hAnsi="Times New Roman" w:cs="Times New Roman"/>
          <w:sz w:val="28"/>
          <w:szCs w:val="28"/>
        </w:rPr>
        <w:t>東南亞及南亞，如何</w:t>
      </w:r>
      <w:r w:rsidR="00954128" w:rsidRPr="00C77E77">
        <w:rPr>
          <w:rFonts w:ascii="Times New Roman" w:eastAsia="標楷體" w:hAnsi="Times New Roman" w:cs="Times New Roman"/>
          <w:sz w:val="28"/>
          <w:szCs w:val="28"/>
        </w:rPr>
        <w:t>研擬雙贏的合作模式，是本研究的主要目的。</w:t>
      </w:r>
    </w:p>
    <w:p w:rsidR="00557429" w:rsidRPr="00C77E77" w:rsidRDefault="00557429" w:rsidP="008218C6">
      <w:pPr>
        <w:pStyle w:val="ab"/>
        <w:numPr>
          <w:ilvl w:val="0"/>
          <w:numId w:val="1"/>
        </w:numPr>
        <w:spacing w:beforeLines="50" w:before="180" w:afterLines="50" w:after="180" w:line="500" w:lineRule="exact"/>
        <w:ind w:leftChars="0" w:left="0" w:firstLine="0"/>
        <w:jc w:val="both"/>
        <w:outlineLvl w:val="1"/>
        <w:rPr>
          <w:rFonts w:ascii="Times New Roman" w:eastAsia="標楷體" w:hAnsi="Times New Roman" w:cs="Times New Roman"/>
          <w:b/>
          <w:color w:val="000000" w:themeColor="text1"/>
          <w:spacing w:val="14"/>
          <w:sz w:val="32"/>
          <w:szCs w:val="32"/>
        </w:rPr>
      </w:pPr>
      <w:bookmarkStart w:id="2" w:name="_Toc470676307"/>
      <w:r w:rsidRPr="00C77E77">
        <w:rPr>
          <w:rFonts w:ascii="Times New Roman" w:eastAsia="標楷體" w:hAnsi="Times New Roman" w:cs="Times New Roman"/>
          <w:b/>
          <w:color w:val="000000" w:themeColor="text1"/>
          <w:spacing w:val="14"/>
          <w:sz w:val="32"/>
          <w:szCs w:val="32"/>
        </w:rPr>
        <w:t>研究動機與目的</w:t>
      </w:r>
      <w:bookmarkEnd w:id="2"/>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東南亞及南亞在最近幾年已經成為國際上異軍突起的新興市場，具有龐大的發展潛力。此係導因於</w:t>
      </w:r>
      <w:r w:rsidRPr="00C77E77">
        <w:rPr>
          <w:rFonts w:ascii="Times New Roman" w:eastAsia="標楷體" w:hAnsi="Times New Roman" w:cs="Times New Roman"/>
          <w:sz w:val="28"/>
          <w:szCs w:val="28"/>
        </w:rPr>
        <w:t>WTO</w:t>
      </w:r>
      <w:r w:rsidRPr="00C77E77">
        <w:rPr>
          <w:rFonts w:ascii="Times New Roman" w:eastAsia="標楷體" w:hAnsi="Times New Roman" w:cs="Times New Roman"/>
          <w:sz w:val="28"/>
          <w:szCs w:val="28"/>
        </w:rPr>
        <w:t>杜哈回合整體談判進展停滯，全球遂興起區域經濟整合之風潮。東亞各國雖啟動較晚，但卻最為積極，近年參與區域經濟整合之進程相當快速，包括東協十國於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年底完成東協經濟共同體（</w:t>
      </w:r>
      <w:r w:rsidRPr="00C77E77">
        <w:rPr>
          <w:rFonts w:ascii="Times New Roman" w:eastAsia="標楷體" w:hAnsi="Times New Roman" w:cs="Times New Roman"/>
          <w:sz w:val="28"/>
          <w:szCs w:val="28"/>
        </w:rPr>
        <w:t>ASEAN Economic Community, AEC</w:t>
      </w:r>
      <w:r w:rsidRPr="00C77E77">
        <w:rPr>
          <w:rFonts w:ascii="Times New Roman" w:eastAsia="標楷體" w:hAnsi="Times New Roman" w:cs="Times New Roman"/>
          <w:sz w:val="28"/>
          <w:szCs w:val="28"/>
        </w:rPr>
        <w:t>），使東協成為僅次於中國大陸、印度，擁有</w:t>
      </w:r>
      <w:r w:rsidRPr="00C77E77">
        <w:rPr>
          <w:rFonts w:ascii="Times New Roman" w:eastAsia="標楷體" w:hAnsi="Times New Roman" w:cs="Times New Roman"/>
          <w:sz w:val="28"/>
          <w:szCs w:val="28"/>
        </w:rPr>
        <w:t>6.3</w:t>
      </w:r>
      <w:r w:rsidRPr="00C77E77">
        <w:rPr>
          <w:rFonts w:ascii="Times New Roman" w:eastAsia="標楷體" w:hAnsi="Times New Roman" w:cs="Times New Roman"/>
          <w:sz w:val="28"/>
          <w:szCs w:val="28"/>
        </w:rPr>
        <w:t>億人口之單一市場。</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另外，由東協加上中國大陸、日本、韓國、澳洲、紐西蘭與印度等</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個國家所</w:t>
      </w:r>
      <w:r w:rsidR="007357D9" w:rsidRPr="00C77E77">
        <w:rPr>
          <w:rFonts w:ascii="Times New Roman" w:eastAsia="標楷體" w:hAnsi="Times New Roman" w:cs="Times New Roman"/>
          <w:sz w:val="28"/>
          <w:szCs w:val="28"/>
        </w:rPr>
        <w:t>推動</w:t>
      </w:r>
      <w:r w:rsidRPr="00C77E77">
        <w:rPr>
          <w:rFonts w:ascii="Times New Roman" w:eastAsia="標楷體" w:hAnsi="Times New Roman" w:cs="Times New Roman"/>
          <w:sz w:val="28"/>
          <w:szCs w:val="28"/>
        </w:rPr>
        <w:t>的「區域全面經濟夥伴協定」（</w:t>
      </w:r>
      <w:r w:rsidRPr="00C77E77">
        <w:rPr>
          <w:rFonts w:ascii="Times New Roman" w:eastAsia="標楷體" w:hAnsi="Times New Roman" w:cs="Times New Roman"/>
          <w:sz w:val="28"/>
          <w:szCs w:val="28"/>
        </w:rPr>
        <w:t>Regional Comprehensive Economic Partnership, RCEP</w:t>
      </w:r>
      <w:r w:rsidRPr="00C77E77">
        <w:rPr>
          <w:rFonts w:ascii="Times New Roman" w:eastAsia="標楷體" w:hAnsi="Times New Roman" w:cs="Times New Roman"/>
          <w:sz w:val="28"/>
          <w:szCs w:val="28"/>
        </w:rPr>
        <w:t>），</w:t>
      </w:r>
      <w:r w:rsidR="007357D9" w:rsidRPr="00C77E77">
        <w:rPr>
          <w:rFonts w:ascii="Times New Roman" w:eastAsia="標楷體" w:hAnsi="Times New Roman" w:cs="Times New Roman"/>
          <w:sz w:val="28"/>
          <w:szCs w:val="28"/>
        </w:rPr>
        <w:t>雖然談判進程推遲，但</w:t>
      </w:r>
      <w:r w:rsidRPr="00C77E77">
        <w:rPr>
          <w:rFonts w:ascii="Times New Roman" w:eastAsia="標楷體" w:hAnsi="Times New Roman" w:cs="Times New Roman"/>
          <w:sz w:val="28"/>
          <w:szCs w:val="28"/>
        </w:rPr>
        <w:t>若完成談判後，將成為全球人口最多（三十億人口，占全球</w:t>
      </w:r>
      <w:r w:rsidRPr="00C77E77">
        <w:rPr>
          <w:rFonts w:ascii="Times New Roman" w:eastAsia="標楷體" w:hAnsi="Times New Roman" w:cs="Times New Roman"/>
          <w:sz w:val="28"/>
          <w:szCs w:val="28"/>
        </w:rPr>
        <w:t>49.1</w:t>
      </w:r>
      <w:r w:rsidRPr="00C77E77">
        <w:rPr>
          <w:rFonts w:ascii="Times New Roman" w:eastAsia="標楷體" w:hAnsi="Times New Roman" w:cs="Times New Roman"/>
          <w:sz w:val="28"/>
          <w:szCs w:val="28"/>
        </w:rPr>
        <w:t>％）、經濟規模最大的自由貿易區；加以由日本和美國兩國主導，共有</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個國家（包括新加坡、越南、馬來西亞、汶萊等東協四國）加入的「跨太平洋夥伴協定」（</w:t>
      </w:r>
      <w:r w:rsidRPr="00C77E77">
        <w:rPr>
          <w:rFonts w:ascii="Times New Roman" w:eastAsia="標楷體" w:hAnsi="Times New Roman" w:cs="Times New Roman"/>
          <w:sz w:val="28"/>
          <w:szCs w:val="28"/>
        </w:rPr>
        <w:t>Trans-Pacific Partnership Agreement, TPP</w:t>
      </w:r>
      <w:r w:rsidRPr="00C77E77">
        <w:rPr>
          <w:rFonts w:ascii="Times New Roman" w:eastAsia="標楷體" w:hAnsi="Times New Roman" w:cs="Times New Roman"/>
          <w:sz w:val="28"/>
          <w:szCs w:val="28"/>
        </w:rPr>
        <w:t>）業已於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日完成第一輪談判，並於</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日完成簽署。與此同時，亞太經濟合作會議（</w:t>
      </w:r>
      <w:r w:rsidRPr="00C77E77">
        <w:rPr>
          <w:rFonts w:ascii="Times New Roman" w:eastAsia="標楷體" w:hAnsi="Times New Roman" w:cs="Times New Roman"/>
          <w:sz w:val="28"/>
          <w:szCs w:val="28"/>
        </w:rPr>
        <w:t>Asia-Pacific Economic Cooperation, APEC</w:t>
      </w:r>
      <w:r w:rsidRPr="00C77E77">
        <w:rPr>
          <w:rFonts w:ascii="Times New Roman" w:eastAsia="標楷體" w:hAnsi="Times New Roman" w:cs="Times New Roman"/>
          <w:sz w:val="28"/>
          <w:szCs w:val="28"/>
        </w:rPr>
        <w:t>）也正積極發展，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年領袖高峰會，</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位經濟體領袖（包括新加坡、汶萊、馬來西亞、印尼、泰國、越南、菲律賓等東協七國）</w:t>
      </w:r>
      <w:r w:rsidRPr="00C77E77">
        <w:rPr>
          <w:rFonts w:ascii="Times New Roman" w:eastAsia="標楷體" w:hAnsi="Times New Roman" w:cs="Times New Roman"/>
          <w:sz w:val="28"/>
          <w:szCs w:val="28"/>
        </w:rPr>
        <w:lastRenderedPageBreak/>
        <w:t>確認將原先鬆散的組織逐步整合成為亞太自由貿易區（</w:t>
      </w:r>
      <w:r w:rsidRPr="00C77E77">
        <w:rPr>
          <w:rFonts w:ascii="Times New Roman" w:eastAsia="標楷體" w:hAnsi="Times New Roman" w:cs="Times New Roman"/>
          <w:sz w:val="28"/>
          <w:szCs w:val="28"/>
        </w:rPr>
        <w:t>Free Trade Area of the Asia-Pacific, FTAAP</w:t>
      </w:r>
      <w:r w:rsidRPr="00C77E77">
        <w:rPr>
          <w:rFonts w:ascii="Times New Roman" w:eastAsia="標楷體" w:hAnsi="Times New Roman" w:cs="Times New Roman"/>
          <w:sz w:val="28"/>
          <w:szCs w:val="28"/>
        </w:rPr>
        <w:t>）的意願，並開始著手研究，預計在</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年著手實現</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w:t>
      </w:r>
      <w:r w:rsidR="00BC1EC7" w:rsidRPr="00C77E77">
        <w:rPr>
          <w:rFonts w:ascii="Times New Roman" w:eastAsia="標楷體" w:hAnsi="Times New Roman" w:cs="Times New Roman"/>
          <w:sz w:val="28"/>
          <w:szCs w:val="28"/>
        </w:rPr>
        <w:t>而「一帶一路」已正式成為中國大陸近年對外的主要經濟戰略，其以廣西和雲南與東協相鄰的優勢，加快發展北部灣經濟區、大湄公河次區域經濟合作計畫，並推動與周邊國家的運輸通道建設，使廣西與雲南成為面向南亞及東南亞的輻射中心，而將東南亞和印度、南亞也納入在「一帶一路」的政治、經貿影響的涵蓋範圍。</w:t>
      </w:r>
    </w:p>
    <w:p w:rsidR="000871A3" w:rsidRPr="00C77E77" w:rsidRDefault="007A30F2"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我國「新南向政策」則重視與東南亞及南亞國家之全方位關係發展。而</w:t>
      </w:r>
      <w:r w:rsidR="00EB57AA" w:rsidRPr="00C77E77">
        <w:rPr>
          <w:rFonts w:ascii="Times New Roman" w:eastAsia="標楷體" w:hAnsi="Times New Roman" w:cs="Times New Roman"/>
          <w:sz w:val="28"/>
          <w:szCs w:val="28"/>
        </w:rPr>
        <w:t>比起東南亞，南亞仍是整合程度較弱的地區。南亞區域合作組織</w:t>
      </w:r>
      <w:r w:rsidR="000D688D" w:rsidRPr="00C77E77">
        <w:rPr>
          <w:rFonts w:ascii="Times New Roman" w:eastAsia="標楷體" w:hAnsi="Times New Roman" w:cs="Times New Roman"/>
          <w:sz w:val="28"/>
          <w:szCs w:val="28"/>
        </w:rPr>
        <w:t>（</w:t>
      </w:r>
      <w:r w:rsidR="00EB57AA" w:rsidRPr="00C77E77">
        <w:rPr>
          <w:rFonts w:ascii="Times New Roman" w:eastAsia="標楷體" w:hAnsi="Times New Roman" w:cs="Times New Roman"/>
          <w:sz w:val="28"/>
          <w:szCs w:val="28"/>
        </w:rPr>
        <w:t>South Asian Association for Regional Cooperation, SAARC</w:t>
      </w:r>
      <w:r w:rsidR="000D688D" w:rsidRPr="00C77E77">
        <w:rPr>
          <w:rFonts w:ascii="Times New Roman" w:eastAsia="標楷體" w:hAnsi="Times New Roman" w:cs="Times New Roman"/>
          <w:sz w:val="28"/>
          <w:szCs w:val="28"/>
        </w:rPr>
        <w:t>）</w:t>
      </w:r>
      <w:r w:rsidR="00EB57AA" w:rsidRPr="00C77E77">
        <w:rPr>
          <w:rFonts w:ascii="Times New Roman" w:eastAsia="標楷體" w:hAnsi="Times New Roman" w:cs="Times New Roman"/>
          <w:sz w:val="28"/>
          <w:szCs w:val="28"/>
        </w:rPr>
        <w:t>是南亞地區的主要區域組織，由孟加拉國、不丹、印度、馬爾地夫、尼泊爾、巴基斯坦和斯里蘭卡等</w:t>
      </w:r>
      <w:r w:rsidR="00EB57AA" w:rsidRPr="00C77E77">
        <w:rPr>
          <w:rFonts w:ascii="Times New Roman" w:eastAsia="標楷體" w:hAnsi="Times New Roman" w:cs="Times New Roman"/>
          <w:sz w:val="28"/>
          <w:szCs w:val="28"/>
        </w:rPr>
        <w:t>7</w:t>
      </w:r>
      <w:r w:rsidR="00EB57AA" w:rsidRPr="00C77E77">
        <w:rPr>
          <w:rFonts w:ascii="Times New Roman" w:eastAsia="標楷體" w:hAnsi="Times New Roman" w:cs="Times New Roman"/>
          <w:sz w:val="28"/>
          <w:szCs w:val="28"/>
        </w:rPr>
        <w:t>個國家在</w:t>
      </w:r>
      <w:r w:rsidR="00EB57AA" w:rsidRPr="00C77E77">
        <w:rPr>
          <w:rFonts w:ascii="Times New Roman" w:eastAsia="標楷體" w:hAnsi="Times New Roman" w:cs="Times New Roman"/>
          <w:sz w:val="28"/>
          <w:szCs w:val="28"/>
        </w:rPr>
        <w:t>1985</w:t>
      </w:r>
      <w:r w:rsidR="00EB57AA" w:rsidRPr="00C77E77">
        <w:rPr>
          <w:rFonts w:ascii="Times New Roman" w:eastAsia="標楷體" w:hAnsi="Times New Roman" w:cs="Times New Roman"/>
          <w:sz w:val="28"/>
          <w:szCs w:val="28"/>
        </w:rPr>
        <w:t>年成立，</w:t>
      </w:r>
      <w:r w:rsidR="00EB57AA" w:rsidRPr="00C77E77">
        <w:rPr>
          <w:rFonts w:ascii="Times New Roman" w:eastAsia="標楷體" w:hAnsi="Times New Roman" w:cs="Times New Roman"/>
          <w:sz w:val="28"/>
          <w:szCs w:val="28"/>
        </w:rPr>
        <w:t>2005</w:t>
      </w:r>
      <w:r w:rsidR="00EB57AA" w:rsidRPr="00C77E77">
        <w:rPr>
          <w:rFonts w:ascii="Times New Roman" w:eastAsia="標楷體" w:hAnsi="Times New Roman" w:cs="Times New Roman"/>
          <w:sz w:val="28"/>
          <w:szCs w:val="28"/>
        </w:rPr>
        <w:t>年接納阿富汗成為第</w:t>
      </w:r>
      <w:r w:rsidR="00EB57AA" w:rsidRPr="00C77E77">
        <w:rPr>
          <w:rFonts w:ascii="Times New Roman" w:eastAsia="標楷體" w:hAnsi="Times New Roman" w:cs="Times New Roman"/>
          <w:sz w:val="28"/>
          <w:szCs w:val="28"/>
        </w:rPr>
        <w:t>8</w:t>
      </w:r>
      <w:r w:rsidR="00EB57AA" w:rsidRPr="00C77E77">
        <w:rPr>
          <w:rFonts w:ascii="Times New Roman" w:eastAsia="標楷體" w:hAnsi="Times New Roman" w:cs="Times New Roman"/>
          <w:sz w:val="28"/>
          <w:szCs w:val="28"/>
        </w:rPr>
        <w:t>個會員國。中美也在同年成為南亞區域合作組織的觀察員。在此背景下，成員國便尋求其它的雙邊協議方式做為彌補。以印度而言，身為亞洲第三大經濟體、世界上最大民主國家的印度，在美國主導的</w:t>
      </w:r>
      <w:r w:rsidR="00EB57AA" w:rsidRPr="00C77E77">
        <w:rPr>
          <w:rFonts w:ascii="Times New Roman" w:eastAsia="標楷體" w:hAnsi="Times New Roman" w:cs="Times New Roman"/>
          <w:sz w:val="28"/>
          <w:szCs w:val="28"/>
        </w:rPr>
        <w:t>TPP</w:t>
      </w:r>
      <w:r w:rsidR="00EB57AA" w:rsidRPr="00C77E77">
        <w:rPr>
          <w:rFonts w:ascii="Times New Roman" w:eastAsia="標楷體" w:hAnsi="Times New Roman" w:cs="Times New Roman"/>
          <w:sz w:val="28"/>
          <w:szCs w:val="28"/>
        </w:rPr>
        <w:t>中，印度並未被邀請加入，因此印度若要融入世界上最活躍的亞太經貿區域，則需轉向選擇中國大陸力推的</w:t>
      </w:r>
      <w:r w:rsidR="00EB57AA" w:rsidRPr="00C77E77">
        <w:rPr>
          <w:rFonts w:ascii="Times New Roman" w:eastAsia="標楷體" w:hAnsi="Times New Roman" w:cs="Times New Roman"/>
          <w:sz w:val="28"/>
          <w:szCs w:val="28"/>
        </w:rPr>
        <w:t>RCEP</w:t>
      </w:r>
      <w:r w:rsidR="00EB57AA" w:rsidRPr="00C77E77">
        <w:rPr>
          <w:rFonts w:ascii="Times New Roman" w:eastAsia="標楷體" w:hAnsi="Times New Roman" w:cs="Times New Roman"/>
          <w:sz w:val="28"/>
          <w:szCs w:val="28"/>
        </w:rPr>
        <w:t>，雖然不能加入</w:t>
      </w:r>
      <w:r w:rsidR="00EB57AA" w:rsidRPr="00C77E77">
        <w:rPr>
          <w:rFonts w:ascii="Times New Roman" w:eastAsia="標楷體" w:hAnsi="Times New Roman" w:cs="Times New Roman"/>
          <w:sz w:val="28"/>
          <w:szCs w:val="28"/>
        </w:rPr>
        <w:t>TPP</w:t>
      </w:r>
      <w:r w:rsidR="00EB57AA" w:rsidRPr="00C77E77">
        <w:rPr>
          <w:rFonts w:ascii="Times New Roman" w:eastAsia="標楷體" w:hAnsi="Times New Roman" w:cs="Times New Roman"/>
          <w:sz w:val="28"/>
          <w:szCs w:val="28"/>
        </w:rPr>
        <w:t>，但由於</w:t>
      </w:r>
      <w:r w:rsidR="00EB57AA" w:rsidRPr="00C77E77">
        <w:rPr>
          <w:rFonts w:ascii="Times New Roman" w:eastAsia="標楷體" w:hAnsi="Times New Roman" w:cs="Times New Roman"/>
          <w:sz w:val="28"/>
          <w:szCs w:val="28"/>
        </w:rPr>
        <w:t>TPP</w:t>
      </w:r>
      <w:r w:rsidR="00EB57AA" w:rsidRPr="00C77E77">
        <w:rPr>
          <w:rFonts w:ascii="Times New Roman" w:eastAsia="標楷體" w:hAnsi="Times New Roman" w:cs="Times New Roman"/>
          <w:sz w:val="28"/>
          <w:szCs w:val="28"/>
        </w:rPr>
        <w:t>和</w:t>
      </w:r>
      <w:r w:rsidR="00EB57AA" w:rsidRPr="00C77E77">
        <w:rPr>
          <w:rFonts w:ascii="Times New Roman" w:eastAsia="標楷體" w:hAnsi="Times New Roman" w:cs="Times New Roman"/>
          <w:sz w:val="28"/>
          <w:szCs w:val="28"/>
        </w:rPr>
        <w:t>RCEP</w:t>
      </w:r>
      <w:r w:rsidR="00EB57AA" w:rsidRPr="00C77E77">
        <w:rPr>
          <w:rFonts w:ascii="Times New Roman" w:eastAsia="標楷體" w:hAnsi="Times New Roman" w:cs="Times New Roman"/>
          <w:sz w:val="28"/>
          <w:szCs w:val="28"/>
        </w:rPr>
        <w:t>存在著市場交集，印度致力於</w:t>
      </w:r>
      <w:r w:rsidR="00EB57AA" w:rsidRPr="00C77E77">
        <w:rPr>
          <w:rFonts w:ascii="Times New Roman" w:eastAsia="標楷體" w:hAnsi="Times New Roman" w:cs="Times New Roman"/>
          <w:sz w:val="28"/>
          <w:szCs w:val="28"/>
        </w:rPr>
        <w:t>RCEP</w:t>
      </w:r>
      <w:r w:rsidR="00EB57AA" w:rsidRPr="00C77E77">
        <w:rPr>
          <w:rFonts w:ascii="Times New Roman" w:eastAsia="標楷體" w:hAnsi="Times New Roman" w:cs="Times New Roman"/>
          <w:sz w:val="28"/>
          <w:szCs w:val="28"/>
        </w:rPr>
        <w:t>談判是有助於經貿發展的選項。只是對印度而言，多邊自貿協定談判是一嚴峻挑戰，印度雖是亞洲第三大經濟體，但貿易基礎較為薄弱，加上印度落後的基礎設施建設，以及對外資外商的保守態度，印度要在關稅減免和非關稅壁壘方面作出承諾，需再進一步協商談判。</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綜言之，新加坡、越南、馬來西亞、汶萊等東協四國，同時是</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與未來</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的會員國；印尼、泰國、菲律賓等東協三國，僅是</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與未來</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的會員國；寮國、緬甸、柬埔寨等東協三國，以及南亞的大國印度，則僅是</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的成員；而臺灣僅是未</w:t>
      </w:r>
      <w:r w:rsidRPr="00C77E77">
        <w:rPr>
          <w:rFonts w:ascii="Times New Roman" w:eastAsia="標楷體" w:hAnsi="Times New Roman" w:cs="Times New Roman"/>
          <w:sz w:val="28"/>
          <w:szCs w:val="28"/>
        </w:rPr>
        <w:lastRenderedPageBreak/>
        <w:t>來</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的會員國，正努力申請加入</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與</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由於東南亞及南亞各國的經濟發展程度以及參與區域整合的深度不同，在經貿互賴上的「脆弱性」（</w:t>
      </w:r>
      <w:r w:rsidRPr="00C77E77">
        <w:rPr>
          <w:rFonts w:ascii="Times New Roman" w:eastAsia="標楷體" w:hAnsi="Times New Roman" w:cs="Times New Roman"/>
          <w:sz w:val="28"/>
          <w:szCs w:val="28"/>
        </w:rPr>
        <w:t>vulnerability</w:t>
      </w:r>
      <w:r w:rsidRPr="00C77E77">
        <w:rPr>
          <w:rFonts w:ascii="Times New Roman" w:eastAsia="標楷體" w:hAnsi="Times New Roman" w:cs="Times New Roman"/>
          <w:sz w:val="28"/>
          <w:szCs w:val="28"/>
        </w:rPr>
        <w:t>）與「敏感性」（</w:t>
      </w:r>
      <w:r w:rsidRPr="00C77E77">
        <w:rPr>
          <w:rFonts w:ascii="Times New Roman" w:eastAsia="標楷體" w:hAnsi="Times New Roman" w:cs="Times New Roman"/>
          <w:sz w:val="28"/>
          <w:szCs w:val="28"/>
        </w:rPr>
        <w:t>sensitivity</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1"/>
      </w:r>
      <w:r w:rsidRPr="00C77E77">
        <w:rPr>
          <w:rFonts w:ascii="Times New Roman" w:eastAsia="標楷體" w:hAnsi="Times New Roman" w:cs="Times New Roman"/>
          <w:sz w:val="28"/>
          <w:szCs w:val="28"/>
        </w:rPr>
        <w:t>不一樣，因此各國的經貿發展策略也有所不同。我國在制定新南向政策的具體措施時，必須要考量東南亞及南亞各國的區位差異，方能精確掌握我國在東南亞及南亞的潛在商機。</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然而，僅是探究</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等亞太區</w:t>
      </w:r>
      <w:r w:rsidR="00350EB2" w:rsidRPr="00C77E77">
        <w:rPr>
          <w:rFonts w:ascii="Times New Roman" w:eastAsia="標楷體" w:hAnsi="Times New Roman" w:cs="Times New Roman"/>
          <w:sz w:val="28"/>
          <w:szCs w:val="28"/>
        </w:rPr>
        <w:t>域經貿整合，以及檢視東南亞及南亞各國與主要國家的經貿互動情形，尚</w:t>
      </w:r>
      <w:r w:rsidRPr="00C77E77">
        <w:rPr>
          <w:rFonts w:ascii="Times New Roman" w:eastAsia="標楷體" w:hAnsi="Times New Roman" w:cs="Times New Roman"/>
          <w:sz w:val="28"/>
          <w:szCs w:val="28"/>
        </w:rPr>
        <w:t>不足以了解整個東南亞及南亞的經貿情勢。一個長期的</w:t>
      </w:r>
      <w:r w:rsidR="00350EB2" w:rsidRPr="00C77E77">
        <w:rPr>
          <w:rFonts w:ascii="Times New Roman" w:eastAsia="標楷體" w:hAnsi="Times New Roman" w:cs="Times New Roman"/>
          <w:sz w:val="28"/>
          <w:szCs w:val="28"/>
        </w:rPr>
        <w:t>經貿</w:t>
      </w:r>
      <w:r w:rsidRPr="00C77E77">
        <w:rPr>
          <w:rFonts w:ascii="Times New Roman" w:eastAsia="標楷體" w:hAnsi="Times New Roman" w:cs="Times New Roman"/>
          <w:sz w:val="28"/>
          <w:szCs w:val="28"/>
        </w:rPr>
        <w:t>區域發展策略規劃，不能僅注重區域層次與國家層次的分析，更需要拉高到跨區域的全球層次，也就是美、「中」經貿戰略角力的大格局。</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為維護國家利益、爭取國家目標之實踐，各個國家幾乎都會擬定相關之國家戰略與政策措施。在對外關係上，甚至策劃「大戰略」（</w:t>
      </w:r>
      <w:r w:rsidRPr="00C77E77">
        <w:rPr>
          <w:rFonts w:ascii="Times New Roman" w:eastAsia="標楷體" w:hAnsi="Times New Roman" w:cs="Times New Roman"/>
          <w:sz w:val="28"/>
          <w:szCs w:val="28"/>
        </w:rPr>
        <w:t>Grand Strategy</w:t>
      </w:r>
      <w:r w:rsidRPr="00C77E77">
        <w:rPr>
          <w:rFonts w:ascii="Times New Roman" w:eastAsia="標楷體" w:hAnsi="Times New Roman" w:cs="Times New Roman"/>
          <w:sz w:val="28"/>
          <w:szCs w:val="28"/>
        </w:rPr>
        <w:t>），結合所具備之軍事、政治、經濟、外交、科技、社會文化等方面資源，透過軍事與非軍事、物質與非物質的手段，以長期追求國家的最大利益。而隨著國際經濟互賴關係的廣化與深化，「對外經濟戰略」成為各國為了達成自身利益的極大化所使用的各種經濟策略及工具。</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美國總統歐巴馬（</w:t>
      </w:r>
      <w:r w:rsidRPr="00C77E77">
        <w:rPr>
          <w:rFonts w:ascii="Times New Roman" w:eastAsia="標楷體" w:hAnsi="Times New Roman" w:cs="Times New Roman"/>
          <w:sz w:val="28"/>
          <w:szCs w:val="28"/>
        </w:rPr>
        <w:t>Barack Obama</w:t>
      </w:r>
      <w:r w:rsidRPr="00C77E77">
        <w:rPr>
          <w:rFonts w:ascii="Times New Roman" w:eastAsia="標楷體" w:hAnsi="Times New Roman" w:cs="Times New Roman"/>
          <w:sz w:val="28"/>
          <w:szCs w:val="28"/>
        </w:rPr>
        <w:t>）在</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月份發表國情咨文，明確宣示再工業化的戰略，中期目標是重振美國製造業，促進就業，復甦經濟；長遠目標是佔領產業制高點，維持美國經濟在世界的霸主地位。歐盟執委會主席巴洛索（</w:t>
      </w:r>
      <w:r w:rsidRPr="00C77E77">
        <w:rPr>
          <w:rFonts w:ascii="Times New Roman" w:eastAsia="標楷體" w:hAnsi="Times New Roman" w:cs="Times New Roman"/>
          <w:sz w:val="28"/>
          <w:szCs w:val="28"/>
        </w:rPr>
        <w:t>Jose Manuel Barroso</w:t>
      </w:r>
      <w:r w:rsidRPr="00C77E77">
        <w:rPr>
          <w:rFonts w:ascii="Times New Roman" w:eastAsia="標楷體" w:hAnsi="Times New Roman" w:cs="Times New Roman"/>
          <w:sz w:val="28"/>
          <w:szCs w:val="28"/>
        </w:rPr>
        <w:t>）接著代表歐美雙方領袖宣布將打造《大西洋貿易與投資夥伴協議》（</w:t>
      </w:r>
      <w:r w:rsidRPr="00C77E77">
        <w:rPr>
          <w:rFonts w:ascii="Times New Roman" w:eastAsia="標楷體" w:hAnsi="Times New Roman" w:cs="Times New Roman"/>
          <w:sz w:val="28"/>
          <w:szCs w:val="28"/>
        </w:rPr>
        <w:t>TTIP</w:t>
      </w:r>
      <w:r w:rsidRPr="00C77E77">
        <w:rPr>
          <w:rFonts w:ascii="Times New Roman" w:eastAsia="標楷體" w:hAnsi="Times New Roman" w:cs="Times New Roman"/>
          <w:sz w:val="28"/>
          <w:szCs w:val="28"/>
        </w:rPr>
        <w:t>），並</w:t>
      </w:r>
      <w:r w:rsidRPr="00C77E77">
        <w:rPr>
          <w:rFonts w:ascii="Times New Roman" w:eastAsia="標楷體" w:hAnsi="Times New Roman" w:cs="Times New Roman"/>
          <w:sz w:val="28"/>
          <w:szCs w:val="28"/>
        </w:rPr>
        <w:lastRenderedPageBreak/>
        <w:t>鼓勵日本和歐盟簽訂自由貿易協定（</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TTIP</w:t>
      </w:r>
      <w:r w:rsidRPr="00C77E77">
        <w:rPr>
          <w:rFonts w:ascii="Times New Roman" w:eastAsia="標楷體" w:hAnsi="Times New Roman" w:cs="Times New Roman"/>
          <w:sz w:val="28"/>
          <w:szCs w:val="28"/>
        </w:rPr>
        <w:t>如果成立，歐美兩者經濟產出（</w:t>
      </w:r>
      <w:r w:rsidRPr="00C77E77">
        <w:rPr>
          <w:rFonts w:ascii="Times New Roman" w:eastAsia="標楷體" w:hAnsi="Times New Roman" w:cs="Times New Roman"/>
          <w:sz w:val="28"/>
          <w:szCs w:val="28"/>
        </w:rPr>
        <w:t>GDP</w:t>
      </w:r>
      <w:r w:rsidRPr="00C77E77">
        <w:rPr>
          <w:rFonts w:ascii="Times New Roman" w:eastAsia="標楷體" w:hAnsi="Times New Roman" w:cs="Times New Roman"/>
          <w:sz w:val="28"/>
          <w:szCs w:val="28"/>
        </w:rPr>
        <w:t>）加總起來將超過</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％，貿易占全球</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％；如果再加上日本，全球貿易和投資的結構將會發生重大變化。</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的經濟結構也在轉型當中。目前中國大陸的經濟正在加速由全球製造基地轉型成為內需市場。為此中國大陸的產業會加速整合，進而形成進口替代，此將對臺灣的出口造成一定挑戰。另外，中國大陸因為工資上漲，尤其是</w:t>
      </w:r>
      <w:r w:rsidRPr="00C77E77">
        <w:rPr>
          <w:rFonts w:ascii="Times New Roman" w:eastAsia="標楷體" w:hAnsi="Times New Roman" w:cs="Times New Roman"/>
          <w:sz w:val="28"/>
          <w:szCs w:val="28"/>
        </w:rPr>
        <w:t>2008</w:t>
      </w:r>
      <w:r w:rsidRPr="00C77E77">
        <w:rPr>
          <w:rFonts w:ascii="Times New Roman" w:eastAsia="標楷體" w:hAnsi="Times New Roman" w:cs="Times New Roman"/>
          <w:sz w:val="28"/>
          <w:szCs w:val="28"/>
        </w:rPr>
        <w:t>年</w:t>
      </w:r>
      <w:r w:rsidR="00350EB2" w:rsidRPr="00C77E77">
        <w:rPr>
          <w:rFonts w:ascii="Times New Roman" w:eastAsia="標楷體" w:hAnsi="Times New Roman" w:cs="Times New Roman"/>
          <w:sz w:val="28"/>
          <w:szCs w:val="28"/>
        </w:rPr>
        <w:t>之後，不但造成缺工現象，而且在沿海一帶的工人工資持續上漲；進而自</w:t>
      </w:r>
      <w:r w:rsidRPr="00C77E77">
        <w:rPr>
          <w:rFonts w:ascii="Times New Roman" w:eastAsia="標楷體" w:hAnsi="Times New Roman" w:cs="Times New Roman"/>
          <w:sz w:val="28"/>
          <w:szCs w:val="28"/>
        </w:rPr>
        <w:t>十二五規劃</w:t>
      </w:r>
      <w:r w:rsidR="00843134" w:rsidRPr="00C77E77">
        <w:rPr>
          <w:rFonts w:ascii="Times New Roman" w:eastAsia="標楷體" w:hAnsi="Times New Roman" w:cs="Times New Roman"/>
          <w:sz w:val="28"/>
          <w:szCs w:val="28"/>
        </w:rPr>
        <w:t>期間開始</w:t>
      </w:r>
      <w:r w:rsidRPr="00C77E77">
        <w:rPr>
          <w:rFonts w:ascii="Times New Roman" w:eastAsia="標楷體" w:hAnsi="Times New Roman" w:cs="Times New Roman"/>
          <w:sz w:val="28"/>
          <w:szCs w:val="28"/>
        </w:rPr>
        <w:t>，中國大陸政府</w:t>
      </w:r>
      <w:r w:rsidR="00843134" w:rsidRPr="00C77E77">
        <w:rPr>
          <w:rFonts w:ascii="Times New Roman" w:eastAsia="標楷體" w:hAnsi="Times New Roman" w:cs="Times New Roman"/>
          <w:sz w:val="28"/>
          <w:szCs w:val="28"/>
        </w:rPr>
        <w:t>已規劃</w:t>
      </w:r>
      <w:r w:rsidRPr="00C77E77">
        <w:rPr>
          <w:rFonts w:ascii="Times New Roman" w:eastAsia="標楷體" w:hAnsi="Times New Roman" w:cs="Times New Roman"/>
          <w:sz w:val="28"/>
          <w:szCs w:val="28"/>
        </w:rPr>
        <w:t>每一年的最低工資上漲率要達到</w:t>
      </w:r>
      <w:r w:rsidRPr="00C77E77">
        <w:rPr>
          <w:rFonts w:ascii="Times New Roman" w:eastAsia="標楷體" w:hAnsi="Times New Roman" w:cs="Times New Roman"/>
          <w:sz w:val="28"/>
          <w:szCs w:val="28"/>
        </w:rPr>
        <w:t>13</w:t>
      </w:r>
      <w:r w:rsidRPr="00C77E77">
        <w:rPr>
          <w:rFonts w:ascii="Times New Roman" w:eastAsia="標楷體" w:hAnsi="Times New Roman" w:cs="Times New Roman"/>
          <w:sz w:val="28"/>
          <w:szCs w:val="28"/>
        </w:rPr>
        <w:t>％。要言之，</w:t>
      </w:r>
      <w:r w:rsidR="007C2CF9" w:rsidRPr="00C77E77">
        <w:rPr>
          <w:rFonts w:ascii="Times New Roman" w:eastAsia="標楷體" w:hAnsi="Times New Roman" w:cs="Times New Roman"/>
          <w:sz w:val="28"/>
          <w:szCs w:val="28"/>
        </w:rPr>
        <w:t>臺商</w:t>
      </w:r>
      <w:r w:rsidRPr="00C77E77">
        <w:rPr>
          <w:rFonts w:ascii="Times New Roman" w:eastAsia="標楷體" w:hAnsi="Times New Roman" w:cs="Times New Roman"/>
          <w:sz w:val="28"/>
          <w:szCs w:val="28"/>
        </w:rPr>
        <w:t>在中國大陸的經營，於現在及可見的未來，將會受到工資上漲、缺工，以及內需市場競爭等嚴峻挑戰，因此必須思索新的發展道路。</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由於中國大陸投資環境改變，</w:t>
      </w:r>
      <w:r w:rsidR="007C2CF9" w:rsidRPr="00C77E77">
        <w:rPr>
          <w:rFonts w:ascii="Times New Roman" w:eastAsia="標楷體" w:hAnsi="Times New Roman" w:cs="Times New Roman"/>
          <w:sz w:val="28"/>
          <w:szCs w:val="28"/>
        </w:rPr>
        <w:t>臺商</w:t>
      </w:r>
      <w:r w:rsidRPr="00C77E77">
        <w:rPr>
          <w:rFonts w:ascii="Times New Roman" w:eastAsia="標楷體" w:hAnsi="Times New Roman" w:cs="Times New Roman"/>
          <w:sz w:val="28"/>
          <w:szCs w:val="28"/>
        </w:rPr>
        <w:t>面臨土地、勞動成本飆升，以及缺工、限電、環保規定日趨嚴苛等衝擊，為分散投資風險並降低生產成本，中國大陸</w:t>
      </w:r>
      <w:r w:rsidR="007C2CF9" w:rsidRPr="00C77E77">
        <w:rPr>
          <w:rFonts w:ascii="Times New Roman" w:eastAsia="標楷體" w:hAnsi="Times New Roman" w:cs="Times New Roman"/>
          <w:sz w:val="28"/>
          <w:szCs w:val="28"/>
        </w:rPr>
        <w:t>臺商</w:t>
      </w:r>
      <w:r w:rsidRPr="00C77E77">
        <w:rPr>
          <w:rFonts w:ascii="Times New Roman" w:eastAsia="標楷體" w:hAnsi="Times New Roman" w:cs="Times New Roman"/>
          <w:sz w:val="28"/>
          <w:szCs w:val="28"/>
        </w:rPr>
        <w:t>及外資已逐漸移轉製造基地至生產成本更低的東協國家。</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時，相對於歐美市場消費力不振，以及中國大陸成長趨緩，近幾年東協各國與印度則經濟成長快速。考量東南亞各國與印度具人口紅利，且中產階級興起，消費潛力龐大等特性，各主要國家的外資紛紛將終端產品組裝之生產線移至東協及印度市場，以便掌握當地消費需求並拓展市場占有率。</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此外，面對</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等區域經濟整合商機，</w:t>
      </w:r>
      <w:r w:rsidR="007C2CF9" w:rsidRPr="00C77E77">
        <w:rPr>
          <w:rFonts w:ascii="Times New Roman" w:eastAsia="標楷體" w:hAnsi="Times New Roman" w:cs="Times New Roman"/>
          <w:sz w:val="28"/>
          <w:szCs w:val="28"/>
        </w:rPr>
        <w:t>臺商</w:t>
      </w:r>
      <w:r w:rsidRPr="00C77E77">
        <w:rPr>
          <w:rFonts w:ascii="Times New Roman" w:eastAsia="標楷體" w:hAnsi="Times New Roman" w:cs="Times New Roman"/>
          <w:sz w:val="28"/>
          <w:szCs w:val="28"/>
        </w:rPr>
        <w:t>紛紛擴大在東協國家之投資，新進廠商亦陸續進駐，尤其在</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生效之後，產品須符合嚴格的原產地證明規定，才能享有免關稅優惠，因此可預期未來將有更多</w:t>
      </w:r>
      <w:r w:rsidR="007C2CF9" w:rsidRPr="00C77E77">
        <w:rPr>
          <w:rFonts w:ascii="Times New Roman" w:eastAsia="標楷體" w:hAnsi="Times New Roman" w:cs="Times New Roman"/>
          <w:sz w:val="28"/>
          <w:szCs w:val="28"/>
        </w:rPr>
        <w:t>臺商</w:t>
      </w:r>
      <w:r w:rsidRPr="00C77E77">
        <w:rPr>
          <w:rFonts w:ascii="Times New Roman" w:eastAsia="標楷體" w:hAnsi="Times New Roman" w:cs="Times New Roman"/>
          <w:sz w:val="28"/>
          <w:szCs w:val="28"/>
        </w:rPr>
        <w:t>因應區域經濟整合趨勢前往東協之越南、馬來西亞等國家投資。</w:t>
      </w:r>
    </w:p>
    <w:p w:rsidR="00557429" w:rsidRPr="00C77E77" w:rsidRDefault="0055742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至於東協十國已成立經濟共同體，甫簽署的</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協議與今年將</w:t>
      </w:r>
      <w:r w:rsidRPr="00C77E77">
        <w:rPr>
          <w:rFonts w:ascii="Times New Roman" w:eastAsia="標楷體" w:hAnsi="Times New Roman" w:cs="Times New Roman"/>
          <w:sz w:val="28"/>
          <w:szCs w:val="28"/>
        </w:rPr>
        <w:lastRenderedPageBreak/>
        <w:t>完成談判的</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，東協都扮演重要角色；如果</w:t>
      </w:r>
      <w:r w:rsidRPr="00C77E77">
        <w:rPr>
          <w:rFonts w:ascii="Times New Roman" w:eastAsia="標楷體" w:hAnsi="Times New Roman" w:cs="Times New Roman"/>
          <w:sz w:val="28"/>
          <w:szCs w:val="28"/>
        </w:rPr>
        <w:t>APEC</w:t>
      </w:r>
      <w:r w:rsidRPr="00C77E77">
        <w:rPr>
          <w:rFonts w:ascii="Times New Roman" w:eastAsia="標楷體" w:hAnsi="Times New Roman" w:cs="Times New Roman"/>
          <w:sz w:val="28"/>
          <w:szCs w:val="28"/>
        </w:rPr>
        <w:t>要深化整合成為</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，印度、緬甸、寮國、柬埔寨等非</w:t>
      </w:r>
      <w:r w:rsidRPr="00C77E77">
        <w:rPr>
          <w:rFonts w:ascii="Times New Roman" w:eastAsia="標楷體" w:hAnsi="Times New Roman" w:cs="Times New Roman"/>
          <w:sz w:val="28"/>
          <w:szCs w:val="28"/>
        </w:rPr>
        <w:t>APEC</w:t>
      </w:r>
      <w:r w:rsidRPr="00C77E77">
        <w:rPr>
          <w:rFonts w:ascii="Times New Roman" w:eastAsia="標楷體" w:hAnsi="Times New Roman" w:cs="Times New Roman"/>
          <w:sz w:val="28"/>
          <w:szCs w:val="28"/>
        </w:rPr>
        <w:t>會員的</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成員國更是首要考慮對象。以往我國南向政策是從分散風險的角度來思考，只是單向地想在當地</w:t>
      </w:r>
      <w:r w:rsidR="00843134" w:rsidRPr="00C77E77">
        <w:rPr>
          <w:rFonts w:ascii="Times New Roman" w:eastAsia="標楷體" w:hAnsi="Times New Roman" w:cs="Times New Roman"/>
          <w:sz w:val="28"/>
          <w:szCs w:val="28"/>
        </w:rPr>
        <w:t>投資設廠</w:t>
      </w:r>
      <w:r w:rsidRPr="00C77E77">
        <w:rPr>
          <w:rFonts w:ascii="Times New Roman" w:eastAsia="標楷體" w:hAnsi="Times New Roman" w:cs="Times New Roman"/>
          <w:sz w:val="28"/>
          <w:szCs w:val="28"/>
        </w:rPr>
        <w:t>，</w:t>
      </w:r>
      <w:r w:rsidR="00843134" w:rsidRPr="00C77E77">
        <w:rPr>
          <w:rFonts w:ascii="Times New Roman" w:eastAsia="標楷體" w:hAnsi="Times New Roman" w:cs="Times New Roman"/>
          <w:sz w:val="28"/>
          <w:szCs w:val="28"/>
        </w:rPr>
        <w:t>致使企業發展</w:t>
      </w:r>
      <w:r w:rsidRPr="00C77E77">
        <w:rPr>
          <w:rFonts w:ascii="Times New Roman" w:eastAsia="標楷體" w:hAnsi="Times New Roman" w:cs="Times New Roman"/>
          <w:sz w:val="28"/>
          <w:szCs w:val="28"/>
        </w:rPr>
        <w:t>受到侷限；現在</w:t>
      </w:r>
      <w:r w:rsidR="001A2978" w:rsidRPr="00C77E77">
        <w:rPr>
          <w:rFonts w:ascii="Times New Roman" w:eastAsia="標楷體" w:hAnsi="Times New Roman" w:cs="Times New Roman"/>
          <w:sz w:val="28"/>
          <w:szCs w:val="28"/>
        </w:rPr>
        <w:t>政府推動</w:t>
      </w:r>
      <w:r w:rsidRPr="00C77E77">
        <w:rPr>
          <w:rFonts w:ascii="Times New Roman" w:eastAsia="標楷體" w:hAnsi="Times New Roman" w:cs="Times New Roman"/>
          <w:sz w:val="28"/>
          <w:szCs w:val="28"/>
        </w:rPr>
        <w:t>「新南向政策」將與亞洲其他國家建立多元、多面向夥伴關係，並在推動貿易多元化的同時，強化對東協和印度的整體關係，著重人才、資金、技</w:t>
      </w:r>
      <w:r w:rsidR="001A2978" w:rsidRPr="00C77E77">
        <w:rPr>
          <w:rFonts w:ascii="Times New Roman" w:eastAsia="標楷體" w:hAnsi="Times New Roman" w:cs="Times New Roman"/>
          <w:sz w:val="28"/>
          <w:szCs w:val="28"/>
        </w:rPr>
        <w:t>術甚至生活模式的雙向交流，並以軟實力打進東南亞與南亞的消費市場，將能帶動我國與東南亞及南亞國家之間形成之緊密的合作關係。</w:t>
      </w:r>
    </w:p>
    <w:p w:rsidR="002B5339" w:rsidRPr="00C77E77" w:rsidRDefault="00157F15"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最新的「新南向政策推動計畫」，</w:t>
      </w:r>
      <w:r w:rsidR="008208EB" w:rsidRPr="00C77E77">
        <w:rPr>
          <w:rStyle w:val="a9"/>
          <w:rFonts w:ascii="Times New Roman" w:eastAsia="標楷體" w:hAnsi="Times New Roman" w:cs="Times New Roman"/>
          <w:sz w:val="28"/>
          <w:szCs w:val="28"/>
        </w:rPr>
        <w:footnoteReference w:id="2"/>
      </w:r>
      <w:r w:rsidRPr="00C77E77">
        <w:rPr>
          <w:rFonts w:ascii="Times New Roman" w:eastAsia="標楷體" w:hAnsi="Times New Roman" w:cs="Times New Roman"/>
          <w:sz w:val="28"/>
          <w:szCs w:val="28"/>
        </w:rPr>
        <w:t>在</w:t>
      </w:r>
      <w:r w:rsidR="002B5339" w:rsidRPr="00C77E77">
        <w:rPr>
          <w:rFonts w:ascii="Times New Roman" w:eastAsia="標楷體" w:hAnsi="Times New Roman" w:cs="Times New Roman"/>
          <w:sz w:val="28"/>
          <w:szCs w:val="28"/>
        </w:rPr>
        <w:t>總統府於</w:t>
      </w:r>
      <w:r w:rsidR="002B5339" w:rsidRPr="00C77E77">
        <w:rPr>
          <w:rFonts w:ascii="Times New Roman" w:eastAsia="標楷體" w:hAnsi="Times New Roman" w:cs="Times New Roman"/>
          <w:sz w:val="28"/>
          <w:szCs w:val="28"/>
        </w:rPr>
        <w:t>2016</w:t>
      </w:r>
      <w:r w:rsidR="002B5339" w:rsidRPr="00C77E77">
        <w:rPr>
          <w:rFonts w:ascii="Times New Roman" w:eastAsia="標楷體" w:hAnsi="Times New Roman" w:cs="Times New Roman"/>
          <w:sz w:val="28"/>
          <w:szCs w:val="28"/>
        </w:rPr>
        <w:t>年</w:t>
      </w:r>
      <w:r w:rsidR="002B5339" w:rsidRPr="00C77E77">
        <w:rPr>
          <w:rFonts w:ascii="Times New Roman" w:eastAsia="標楷體" w:hAnsi="Times New Roman" w:cs="Times New Roman"/>
          <w:sz w:val="28"/>
          <w:szCs w:val="28"/>
        </w:rPr>
        <w:t>8</w:t>
      </w:r>
      <w:r w:rsidR="002B5339" w:rsidRPr="00C77E77">
        <w:rPr>
          <w:rFonts w:ascii="Times New Roman" w:eastAsia="標楷體" w:hAnsi="Times New Roman" w:cs="Times New Roman"/>
          <w:sz w:val="28"/>
          <w:szCs w:val="28"/>
        </w:rPr>
        <w:t>月</w:t>
      </w:r>
      <w:r w:rsidR="002B5339" w:rsidRPr="00C77E77">
        <w:rPr>
          <w:rFonts w:ascii="Times New Roman" w:eastAsia="標楷體" w:hAnsi="Times New Roman" w:cs="Times New Roman"/>
          <w:sz w:val="28"/>
          <w:szCs w:val="28"/>
        </w:rPr>
        <w:t>16</w:t>
      </w:r>
      <w:r w:rsidR="002B5339" w:rsidRPr="00C77E77">
        <w:rPr>
          <w:rFonts w:ascii="Times New Roman" w:eastAsia="標楷體" w:hAnsi="Times New Roman" w:cs="Times New Roman"/>
          <w:sz w:val="28"/>
          <w:szCs w:val="28"/>
        </w:rPr>
        <w:t>日通過「新南向政策」後，行政院依據此綱領於</w:t>
      </w:r>
      <w:r w:rsidR="002B5339" w:rsidRPr="00C77E77">
        <w:rPr>
          <w:rFonts w:ascii="Times New Roman" w:eastAsia="標楷體" w:hAnsi="Times New Roman" w:cs="Times New Roman"/>
          <w:sz w:val="28"/>
          <w:szCs w:val="28"/>
        </w:rPr>
        <w:t>9</w:t>
      </w:r>
      <w:r w:rsidR="002B5339" w:rsidRPr="00C77E77">
        <w:rPr>
          <w:rFonts w:ascii="Times New Roman" w:eastAsia="標楷體" w:hAnsi="Times New Roman" w:cs="Times New Roman"/>
          <w:sz w:val="28"/>
          <w:szCs w:val="28"/>
        </w:rPr>
        <w:t>月</w:t>
      </w:r>
      <w:r w:rsidR="002B5339" w:rsidRPr="00C77E77">
        <w:rPr>
          <w:rFonts w:ascii="Times New Roman" w:eastAsia="標楷體" w:hAnsi="Times New Roman" w:cs="Times New Roman"/>
          <w:sz w:val="28"/>
          <w:szCs w:val="28"/>
        </w:rPr>
        <w:t>5</w:t>
      </w:r>
      <w:r w:rsidR="002B5339" w:rsidRPr="00C77E77">
        <w:rPr>
          <w:rFonts w:ascii="Times New Roman" w:eastAsia="標楷體" w:hAnsi="Times New Roman" w:cs="Times New Roman"/>
          <w:sz w:val="28"/>
          <w:szCs w:val="28"/>
        </w:rPr>
        <w:t>日推出，由行政院經貿談判辦公室負責政策協調及推動執行，國家發展委員會則按季統籌、管理考核，以確保計畫落實推動。「新南向政策推動計畫」以「長期深耕、多元開展、雙向互惠」作為計畫之核心理念，期能以互利共贏的新合作模式，建立「經濟發展的繁榮夥伴」、「人才資源的共享夥伴」、「生活品質的創新夥伴」及「國際鏈結的互惠夥伴」，最終凝聚「經濟共同體意識」。該計畫的目標市場瞄準於東協十國、南亞六國以及澳洲、紐西蘭，並以經貿合作、人才交流、</w:t>
      </w:r>
      <w:r w:rsidRPr="00C77E77">
        <w:rPr>
          <w:rFonts w:ascii="Times New Roman" w:eastAsia="標楷體" w:hAnsi="Times New Roman" w:cs="Times New Roman"/>
          <w:sz w:val="28"/>
          <w:szCs w:val="28"/>
        </w:rPr>
        <w:t>資源共享、區域鏈結四大面向作為推廣執行方針。</w:t>
      </w:r>
    </w:p>
    <w:p w:rsidR="00157F15" w:rsidRPr="00C77E77" w:rsidRDefault="00157F15"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由於新南向政策涉及層面廣泛，主要執行面由行政院負責，隸屬行政院之對外經貿談判辦公室負責協調與展開目標國對話，原總統府新南向辦公室做為總統政策幕僚單位。政府各部會皆有相關承做業務，需各就其專職進行分工，安排計畫推動，此外更需立法單位、地方政府的參與及配合，匯集中央至地方的力量，積極推廣政策落實，憑藉著臺灣特色，新住民與東南亞留學生人脈、我國軟實力、真誠待人態</w:t>
      </w:r>
      <w:r w:rsidRPr="00C77E77">
        <w:rPr>
          <w:rFonts w:ascii="Times New Roman" w:eastAsia="標楷體" w:hAnsi="Times New Roman" w:cs="Times New Roman"/>
          <w:sz w:val="28"/>
          <w:szCs w:val="28"/>
        </w:rPr>
        <w:lastRenderedPageBreak/>
        <w:t>度以及企業誠摯的經營精神，皆是我國有力資本，而能透過整體力量的結合，為新南向政策開創亮眼的成績。</w:t>
      </w:r>
    </w:p>
    <w:p w:rsidR="00BF666C" w:rsidRPr="00C77E77" w:rsidRDefault="00BD586F"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為掌握</w:t>
      </w:r>
      <w:r w:rsidR="00783879" w:rsidRPr="00C77E77">
        <w:rPr>
          <w:rFonts w:ascii="Times New Roman" w:eastAsia="標楷體" w:hAnsi="Times New Roman" w:cs="Times New Roman"/>
          <w:sz w:val="28"/>
          <w:szCs w:val="28"/>
        </w:rPr>
        <w:t>海外</w:t>
      </w:r>
      <w:r w:rsidRPr="00C77E77">
        <w:rPr>
          <w:rFonts w:ascii="Times New Roman" w:eastAsia="標楷體" w:hAnsi="Times New Roman" w:cs="Times New Roman"/>
          <w:sz w:val="28"/>
          <w:szCs w:val="28"/>
        </w:rPr>
        <w:t>商機，我國行政院自</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年開始推出十大系統輸出方案，透過一系統整合商，結合軟體、設備、零組件等軟硬體業者，以「整體解決方式」打包輸出，改變以往</w:t>
      </w:r>
      <w:r w:rsidR="002A1A51" w:rsidRPr="00C77E77">
        <w:rPr>
          <w:rFonts w:ascii="Times New Roman" w:eastAsia="標楷體" w:hAnsi="Times New Roman" w:cs="Times New Roman"/>
          <w:sz w:val="28"/>
          <w:szCs w:val="28"/>
        </w:rPr>
        <w:t>個</w:t>
      </w:r>
      <w:r w:rsidRPr="00C77E77">
        <w:rPr>
          <w:rFonts w:ascii="Times New Roman" w:eastAsia="標楷體" w:hAnsi="Times New Roman" w:cs="Times New Roman"/>
          <w:sz w:val="28"/>
          <w:szCs w:val="28"/>
        </w:rPr>
        <w:t>別廠商、單一產品輸出形式。由經濟部選定之十大關鍵系統領域，包括電子收費、綠色運輸、智慧物流、智慧健康、智慧校園、電子化政府、</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照明、雲端系統、石化、太陽能等，</w:t>
      </w:r>
      <w:r w:rsidR="00783879" w:rsidRPr="00C77E77">
        <w:rPr>
          <w:rFonts w:ascii="Times New Roman" w:eastAsia="標楷體" w:hAnsi="Times New Roman" w:cs="Times New Roman"/>
          <w:sz w:val="28"/>
          <w:szCs w:val="28"/>
        </w:rPr>
        <w:t>短期將有實績與潛力者推廣至海外，積極行銷目標市場；中長期則透過孵育機制，育成潛力出口旗艦。</w:t>
      </w:r>
      <w:r w:rsidR="00475E3D" w:rsidRPr="00C77E77">
        <w:rPr>
          <w:rFonts w:ascii="Times New Roman" w:eastAsia="標楷體" w:hAnsi="Times New Roman" w:cs="Times New Roman"/>
          <w:sz w:val="28"/>
          <w:szCs w:val="28"/>
        </w:rPr>
        <w:t>希冀透過此十大產業，改變臺灣以往</w:t>
      </w:r>
      <w:r w:rsidR="00783879" w:rsidRPr="00C77E77">
        <w:rPr>
          <w:rFonts w:ascii="Times New Roman" w:eastAsia="標楷體" w:hAnsi="Times New Roman" w:cs="Times New Roman"/>
          <w:sz w:val="28"/>
          <w:szCs w:val="28"/>
        </w:rPr>
        <w:t>仰賴「中間材」的出口形態，轉型為系統或終端消費產品輸出模式。</w:t>
      </w:r>
    </w:p>
    <w:p w:rsidR="00BF666C" w:rsidRPr="00C77E77" w:rsidRDefault="00BF666C" w:rsidP="00BF666C">
      <w:pPr>
        <w:spacing w:beforeLines="50" w:before="180" w:afterLines="50" w:after="180" w:line="360" w:lineRule="auto"/>
        <w:jc w:val="both"/>
        <w:rPr>
          <w:rFonts w:ascii="Times New Roman" w:eastAsia="標楷體" w:hAnsi="Times New Roman" w:cs="Times New Roman"/>
          <w:sz w:val="28"/>
          <w:szCs w:val="28"/>
        </w:rPr>
      </w:pPr>
      <w:r w:rsidRPr="00C77E77">
        <w:rPr>
          <w:rFonts w:ascii="Times New Roman" w:hAnsi="Times New Roman" w:cs="Times New Roman"/>
          <w:noProof/>
        </w:rPr>
        <w:drawing>
          <wp:inline distT="0" distB="0" distL="0" distR="0" wp14:anchorId="78838CFC" wp14:editId="12FA69AC">
            <wp:extent cx="5226685" cy="2859405"/>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903" t="1314" r="-1" b="-1"/>
                    <a:stretch/>
                  </pic:blipFill>
                  <pic:spPr bwMode="auto">
                    <a:xfrm>
                      <a:off x="0" y="0"/>
                      <a:ext cx="5226685" cy="2859405"/>
                    </a:xfrm>
                    <a:prstGeom prst="rect">
                      <a:avLst/>
                    </a:prstGeom>
                    <a:ln>
                      <a:noFill/>
                    </a:ln>
                    <a:extLst>
                      <a:ext uri="{53640926-AAD7-44D8-BBD7-CCE9431645EC}">
                        <a14:shadowObscured xmlns:a14="http://schemas.microsoft.com/office/drawing/2010/main"/>
                      </a:ext>
                    </a:extLst>
                  </pic:spPr>
                </pic:pic>
              </a:graphicData>
            </a:graphic>
          </wp:inline>
        </w:drawing>
      </w:r>
    </w:p>
    <w:p w:rsidR="00CA5AC2" w:rsidRPr="00C77E77" w:rsidRDefault="00CA5AC2" w:rsidP="00CA5AC2">
      <w:pPr>
        <w:pStyle w:val="af7"/>
      </w:pPr>
      <w:bookmarkStart w:id="3" w:name="_Toc470676624"/>
      <w:r w:rsidRPr="00C77E77">
        <w:t>圖</w:t>
      </w:r>
      <w:r w:rsidRPr="00C77E77">
        <w:t xml:space="preserve">1-1-1 </w:t>
      </w:r>
      <w:r w:rsidRPr="00C77E77">
        <w:t>經濟部推動十大系統整合案輸出</w:t>
      </w:r>
      <w:bookmarkEnd w:id="3"/>
    </w:p>
    <w:p w:rsidR="00BF666C" w:rsidRPr="00C77E77" w:rsidRDefault="00BF666C" w:rsidP="00B702A2">
      <w:pPr>
        <w:spacing w:afterLines="50" w:after="180" w:line="500" w:lineRule="exact"/>
        <w:ind w:left="1417" w:hangingChars="506" w:hanging="1417"/>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資料來源：經濟日報，</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年，〈政院拚出口</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推十大系統輸出〉，</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日。</w:t>
      </w:r>
      <w:r w:rsidRPr="00C77E77">
        <w:rPr>
          <w:rFonts w:ascii="Times New Roman" w:eastAsia="標楷體" w:hAnsi="Times New Roman" w:cs="Times New Roman"/>
          <w:sz w:val="28"/>
          <w:szCs w:val="28"/>
        </w:rPr>
        <w:t xml:space="preserve"> </w:t>
      </w:r>
    </w:p>
    <w:p w:rsidR="00BD586F" w:rsidRPr="00C77E77" w:rsidRDefault="00783879"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經濟部工業局</w:t>
      </w:r>
      <w:r w:rsidR="0072586F" w:rsidRPr="00C77E77">
        <w:rPr>
          <w:rFonts w:ascii="Times New Roman" w:eastAsia="標楷體" w:hAnsi="Times New Roman" w:cs="Times New Roman"/>
          <w:color w:val="000000" w:themeColor="text1"/>
          <w:sz w:val="28"/>
          <w:szCs w:val="28"/>
        </w:rPr>
        <w:t>定義新南向政策為「供應鏈的夥伴關係」，有別</w:t>
      </w:r>
      <w:r w:rsidR="00E25786" w:rsidRPr="00C77E77">
        <w:rPr>
          <w:rFonts w:ascii="Times New Roman" w:eastAsia="標楷體" w:hAnsi="Times New Roman" w:cs="Times New Roman"/>
          <w:color w:val="000000" w:themeColor="text1"/>
          <w:sz w:val="28"/>
          <w:szCs w:val="28"/>
        </w:rPr>
        <w:t>於著重本土產業發展的傳統思維，東協與南亞既是生產基地也是市場，</w:t>
      </w:r>
      <w:r w:rsidR="0072586F" w:rsidRPr="00C77E77">
        <w:rPr>
          <w:rFonts w:ascii="Times New Roman" w:eastAsia="標楷體" w:hAnsi="Times New Roman" w:cs="Times New Roman"/>
          <w:color w:val="000000" w:themeColor="text1"/>
          <w:sz w:val="28"/>
          <w:szCs w:val="28"/>
        </w:rPr>
        <w:lastRenderedPageBreak/>
        <w:t>以了解各國需求做為出發點，以期建構一個跨國的經濟生態系。</w:t>
      </w:r>
      <w:r w:rsidR="00E25786" w:rsidRPr="00C77E77">
        <w:rPr>
          <w:rFonts w:ascii="Times New Roman" w:eastAsia="標楷體" w:hAnsi="Times New Roman" w:cs="Times New Roman"/>
          <w:color w:val="000000" w:themeColor="text1"/>
          <w:sz w:val="28"/>
          <w:szCs w:val="28"/>
        </w:rPr>
        <w:t>工業局以現有各類之「推動辦公室」，結合工研院、資策會等兩大技術法人，藉以推動國際合作，再以產業公協會的名義進入目標巿場國家的官方管道，透過論壇的方式深化雙方產業合作關係，期能建立人脈。</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w:t>
      </w:r>
      <w:r w:rsidRPr="00C77E77">
        <w:rPr>
          <w:rFonts w:ascii="Times New Roman" w:eastAsia="標楷體" w:hAnsi="Times New Roman" w:cs="Times New Roman"/>
          <w:color w:val="000000" w:themeColor="text1"/>
          <w:sz w:val="28"/>
          <w:szCs w:val="28"/>
        </w:rPr>
        <w:t>10</w:t>
      </w:r>
      <w:r w:rsidRPr="00C77E77">
        <w:rPr>
          <w:rFonts w:ascii="Times New Roman" w:eastAsia="標楷體" w:hAnsi="Times New Roman" w:cs="Times New Roman"/>
          <w:color w:val="000000" w:themeColor="text1"/>
          <w:sz w:val="28"/>
          <w:szCs w:val="28"/>
        </w:rPr>
        <w:t>月成立</w:t>
      </w:r>
      <w:r w:rsidR="00E25786" w:rsidRPr="00C77E77">
        <w:rPr>
          <w:rFonts w:ascii="Times New Roman" w:eastAsia="標楷體" w:hAnsi="Times New Roman" w:cs="Times New Roman"/>
          <w:color w:val="000000" w:themeColor="text1"/>
          <w:sz w:val="28"/>
          <w:szCs w:val="28"/>
        </w:rPr>
        <w:t>工業局</w:t>
      </w:r>
      <w:r w:rsidRPr="00C77E77">
        <w:rPr>
          <w:rFonts w:ascii="Times New Roman" w:eastAsia="標楷體" w:hAnsi="Times New Roman" w:cs="Times New Roman"/>
          <w:color w:val="000000" w:themeColor="text1"/>
          <w:sz w:val="28"/>
          <w:szCs w:val="28"/>
        </w:rPr>
        <w:t>系統整合推動辦公室，委託</w:t>
      </w:r>
      <w:r w:rsidR="00E25786" w:rsidRPr="00C77E77">
        <w:rPr>
          <w:rFonts w:ascii="Times New Roman" w:eastAsia="標楷體" w:hAnsi="Times New Roman" w:cs="Times New Roman"/>
          <w:color w:val="000000" w:themeColor="text1"/>
          <w:sz w:val="28"/>
          <w:szCs w:val="28"/>
        </w:rPr>
        <w:t>工研院、資策會</w:t>
      </w:r>
      <w:r w:rsidRPr="00C77E77">
        <w:rPr>
          <w:rFonts w:ascii="Times New Roman" w:eastAsia="標楷體" w:hAnsi="Times New Roman" w:cs="Times New Roman"/>
          <w:color w:val="000000" w:themeColor="text1"/>
          <w:sz w:val="28"/>
          <w:szCs w:val="28"/>
        </w:rPr>
        <w:t>擔任「系統整合輸出平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建置計畫」執行單位</w:t>
      </w:r>
      <w:r w:rsidR="00E25786" w:rsidRPr="00C77E77">
        <w:rPr>
          <w:rFonts w:ascii="Times New Roman" w:eastAsia="標楷體" w:hAnsi="Times New Roman" w:cs="Times New Roman"/>
          <w:color w:val="000000" w:themeColor="text1"/>
          <w:sz w:val="28"/>
          <w:szCs w:val="28"/>
        </w:rPr>
        <w:t>，整合各單位資源推動系統整合與整廠輸出</w:t>
      </w:r>
      <w:r w:rsidR="00BF666C" w:rsidRPr="00C77E77">
        <w:rPr>
          <w:rFonts w:ascii="Times New Roman" w:eastAsia="標楷體" w:hAnsi="Times New Roman" w:cs="Times New Roman"/>
          <w:color w:val="000000" w:themeColor="text1"/>
          <w:sz w:val="28"/>
          <w:szCs w:val="28"/>
        </w:rPr>
        <w:t>，協助廠商與當地政府、業者進行洽談，並強化商情分析，以瞭解國際商機。</w:t>
      </w:r>
      <w:r w:rsidR="00E25786" w:rsidRPr="00C77E77">
        <w:rPr>
          <w:rFonts w:ascii="Times New Roman" w:eastAsia="標楷體" w:hAnsi="Times New Roman" w:cs="Times New Roman"/>
          <w:color w:val="000000" w:themeColor="text1"/>
          <w:sz w:val="28"/>
          <w:szCs w:val="28"/>
        </w:rPr>
        <w:t>同時</w:t>
      </w:r>
      <w:r w:rsidR="00BF666C" w:rsidRPr="00C77E77">
        <w:rPr>
          <w:rFonts w:ascii="Times New Roman" w:eastAsia="標楷體" w:hAnsi="Times New Roman" w:cs="Times New Roman"/>
          <w:color w:val="000000" w:themeColor="text1"/>
          <w:sz w:val="28"/>
          <w:szCs w:val="28"/>
        </w:rPr>
        <w:t>整合各單</w:t>
      </w:r>
      <w:r w:rsidR="00BF666C" w:rsidRPr="00C77E77">
        <w:rPr>
          <w:rFonts w:ascii="Times New Roman" w:eastAsia="標楷體" w:hAnsi="Times New Roman" w:cs="Times New Roman"/>
          <w:sz w:val="28"/>
          <w:szCs w:val="28"/>
        </w:rPr>
        <w:t>位建構金融、市場、產業、人才等良好環境，解決臺灣廠商出口障礙，並孵育未來具發展潛力的解決方案，培養更多方案在</w:t>
      </w:r>
      <w:r w:rsidR="00FD0D5A" w:rsidRPr="00C77E77">
        <w:rPr>
          <w:rFonts w:ascii="Times New Roman" w:eastAsia="標楷體" w:hAnsi="Times New Roman" w:cs="Times New Roman"/>
          <w:sz w:val="28"/>
          <w:szCs w:val="28"/>
        </w:rPr>
        <w:t>臺</w:t>
      </w:r>
      <w:r w:rsidR="00BF666C" w:rsidRPr="00C77E77">
        <w:rPr>
          <w:rFonts w:ascii="Times New Roman" w:eastAsia="標楷體" w:hAnsi="Times New Roman" w:cs="Times New Roman"/>
          <w:sz w:val="28"/>
          <w:szCs w:val="28"/>
        </w:rPr>
        <w:t>試煉，使出口動能源源不絕，</w:t>
      </w:r>
      <w:r w:rsidR="00E25786" w:rsidRPr="00C77E77">
        <w:rPr>
          <w:rFonts w:ascii="Times New Roman" w:eastAsia="標楷體" w:hAnsi="Times New Roman" w:cs="Times New Roman"/>
          <w:sz w:val="28"/>
          <w:szCs w:val="28"/>
        </w:rPr>
        <w:t>帶動</w:t>
      </w:r>
      <w:r w:rsidR="00BF666C" w:rsidRPr="00C77E77">
        <w:rPr>
          <w:rFonts w:ascii="Times New Roman" w:eastAsia="標楷體" w:hAnsi="Times New Roman" w:cs="Times New Roman"/>
          <w:sz w:val="28"/>
          <w:szCs w:val="28"/>
        </w:rPr>
        <w:t>未來經濟成長。推動平</w:t>
      </w:r>
      <w:r w:rsidR="00FD0D5A" w:rsidRPr="00C77E77">
        <w:rPr>
          <w:rFonts w:ascii="Times New Roman" w:eastAsia="標楷體" w:hAnsi="Times New Roman" w:cs="Times New Roman"/>
          <w:sz w:val="28"/>
          <w:szCs w:val="28"/>
        </w:rPr>
        <w:t>臺</w:t>
      </w:r>
      <w:r w:rsidR="00BF666C" w:rsidRPr="00C77E77">
        <w:rPr>
          <w:rFonts w:ascii="Times New Roman" w:eastAsia="標楷體" w:hAnsi="Times New Roman" w:cs="Times New Roman"/>
          <w:sz w:val="28"/>
          <w:szCs w:val="28"/>
        </w:rPr>
        <w:t>將透過駐外經貿及外交單位推廣，</w:t>
      </w:r>
      <w:r w:rsidR="00E25786" w:rsidRPr="00C77E77">
        <w:rPr>
          <w:rFonts w:ascii="Times New Roman" w:eastAsia="標楷體" w:hAnsi="Times New Roman" w:cs="Times New Roman"/>
          <w:sz w:val="28"/>
          <w:szCs w:val="28"/>
        </w:rPr>
        <w:t>舉辦、參與海內外相關商機會議</w:t>
      </w:r>
      <w:r w:rsidR="00BF666C" w:rsidRPr="00C77E77">
        <w:rPr>
          <w:rFonts w:ascii="Times New Roman" w:eastAsia="標楷體" w:hAnsi="Times New Roman" w:cs="Times New Roman"/>
          <w:sz w:val="28"/>
          <w:szCs w:val="28"/>
        </w:rPr>
        <w:t>，為臺灣優質產業經驗與軟硬體整合服務，創造更多國際媒合商機。</w:t>
      </w:r>
      <w:r w:rsidR="00BF666C" w:rsidRPr="00C77E77">
        <w:rPr>
          <w:rStyle w:val="a9"/>
          <w:rFonts w:ascii="Times New Roman" w:eastAsia="標楷體" w:hAnsi="Times New Roman" w:cs="Times New Roman"/>
          <w:sz w:val="28"/>
          <w:szCs w:val="28"/>
        </w:rPr>
        <w:footnoteReference w:id="3"/>
      </w:r>
    </w:p>
    <w:p w:rsidR="000776BA" w:rsidRPr="00C77E77" w:rsidRDefault="000776BA"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同時，因東協有</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億人口，預估</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年中間消費組群人口將高達</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億人，政府為提升我國電子商務產業競爭力，促進跨領域科技化創新應用，引領我國電子商務產業邁向國際化，除研擬「電子商務發展綱領」，架構我國至</w:t>
      </w:r>
      <w:r w:rsidRPr="00C77E77">
        <w:rPr>
          <w:rFonts w:ascii="Times New Roman" w:eastAsia="標楷體" w:hAnsi="Times New Roman" w:cs="Times New Roman"/>
          <w:sz w:val="28"/>
          <w:szCs w:val="28"/>
        </w:rPr>
        <w:t xml:space="preserve">2020 </w:t>
      </w:r>
      <w:r w:rsidRPr="00C77E77">
        <w:rPr>
          <w:rFonts w:ascii="Times New Roman" w:eastAsia="標楷體" w:hAnsi="Times New Roman" w:cs="Times New Roman"/>
          <w:sz w:val="28"/>
          <w:szCs w:val="28"/>
        </w:rPr>
        <w:t>年中長期電子商務產業發展策略方向外，並推動「輔導電商建立東協跨境營運生態體系計畫」，以「聯合艦隊」的方式輔導電商業者前進東協，由</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家</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灣指標性電商平臺，包括已在泰國紮根的</w:t>
      </w:r>
      <w:r w:rsidRPr="00C77E77">
        <w:rPr>
          <w:rFonts w:ascii="Times New Roman" w:eastAsia="標楷體" w:hAnsi="Times New Roman" w:cs="Times New Roman"/>
          <w:sz w:val="28"/>
          <w:szCs w:val="28"/>
        </w:rPr>
        <w:t>PChome</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MoMo</w:t>
      </w:r>
      <w:r w:rsidRPr="00C77E77">
        <w:rPr>
          <w:rFonts w:ascii="Times New Roman" w:eastAsia="標楷體" w:hAnsi="Times New Roman" w:cs="Times New Roman"/>
          <w:sz w:val="28"/>
          <w:szCs w:val="28"/>
        </w:rPr>
        <w:t>以及在星馬印尼開站的</w:t>
      </w:r>
      <w:r w:rsidRPr="00C77E77">
        <w:rPr>
          <w:rFonts w:ascii="Times New Roman" w:eastAsia="標楷體" w:hAnsi="Times New Roman" w:cs="Times New Roman"/>
          <w:sz w:val="28"/>
          <w:szCs w:val="28"/>
        </w:rPr>
        <w:t>ASAP</w:t>
      </w:r>
      <w:r w:rsidR="00FB7CAF" w:rsidRPr="00C77E77">
        <w:rPr>
          <w:rFonts w:ascii="Times New Roman" w:eastAsia="標楷體" w:hAnsi="Times New Roman" w:cs="Times New Roman"/>
          <w:sz w:val="28"/>
          <w:szCs w:val="28"/>
        </w:rPr>
        <w:t>，及</w:t>
      </w:r>
      <w:r w:rsidRPr="00C77E77">
        <w:rPr>
          <w:rFonts w:ascii="Times New Roman" w:eastAsia="標楷體" w:hAnsi="Times New Roman" w:cs="Times New Roman"/>
          <w:sz w:val="28"/>
          <w:szCs w:val="28"/>
        </w:rPr>
        <w:t>200</w:t>
      </w:r>
      <w:r w:rsidRPr="00C77E77">
        <w:rPr>
          <w:rFonts w:ascii="Times New Roman" w:eastAsia="標楷體" w:hAnsi="Times New Roman" w:cs="Times New Roman"/>
          <w:sz w:val="28"/>
          <w:szCs w:val="28"/>
        </w:rPr>
        <w:t>家品牌業者、千項商品上架，合作進攻東協</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億人口的市場。</w:t>
      </w:r>
      <w:r w:rsidRPr="00C77E77">
        <w:rPr>
          <w:rStyle w:val="a9"/>
          <w:rFonts w:ascii="Times New Roman" w:eastAsia="標楷體" w:hAnsi="Times New Roman" w:cs="Times New Roman"/>
          <w:sz w:val="28"/>
          <w:szCs w:val="28"/>
        </w:rPr>
        <w:footnoteReference w:id="4"/>
      </w:r>
    </w:p>
    <w:p w:rsidR="000776BA" w:rsidRPr="00C77E77" w:rsidRDefault="000776BA" w:rsidP="00E34F1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另一方面</w:t>
      </w:r>
      <w:r w:rsidR="00FB3B98" w:rsidRPr="00C77E77">
        <w:rPr>
          <w:rFonts w:ascii="Times New Roman" w:eastAsia="標楷體" w:hAnsi="Times New Roman" w:cs="Times New Roman"/>
          <w:sz w:val="28"/>
          <w:szCs w:val="28"/>
        </w:rPr>
        <w:t>，由於東南亞市場大多是</w:t>
      </w:r>
      <w:r w:rsidR="002A1A51" w:rsidRPr="00C77E77">
        <w:rPr>
          <w:rFonts w:ascii="Times New Roman" w:eastAsia="標楷體" w:hAnsi="Times New Roman" w:cs="Times New Roman"/>
          <w:sz w:val="28"/>
          <w:szCs w:val="28"/>
        </w:rPr>
        <w:t>開發</w:t>
      </w:r>
      <w:r w:rsidR="00FB3B98" w:rsidRPr="00C77E77">
        <w:rPr>
          <w:rFonts w:ascii="Times New Roman" w:eastAsia="標楷體" w:hAnsi="Times New Roman" w:cs="Times New Roman"/>
          <w:sz w:val="28"/>
          <w:szCs w:val="28"/>
        </w:rPr>
        <w:t>中國家，對農業生產技術需求很大，以及龐大的農產品外銷市場商機，政府已啟動農業新南向政策。依據「新南向政策」政策綱領中推動架構明確提出，將運用臺</w:t>
      </w:r>
      <w:r w:rsidR="00FB3B98" w:rsidRPr="00C77E77">
        <w:rPr>
          <w:rFonts w:ascii="Times New Roman" w:eastAsia="標楷體" w:hAnsi="Times New Roman" w:cs="Times New Roman"/>
          <w:sz w:val="28"/>
          <w:szCs w:val="28"/>
        </w:rPr>
        <w:lastRenderedPageBreak/>
        <w:t>灣農業合作廣泛經驗，推動和東協、南亞及紐澳等國家的多邊或雙邊合作事項。以及在新農業領域，建立供應鏈的連結，在下一世代的產</w:t>
      </w:r>
      <w:r w:rsidR="002A1A51" w:rsidRPr="00C77E77">
        <w:rPr>
          <w:rFonts w:ascii="Times New Roman" w:eastAsia="標楷體" w:hAnsi="Times New Roman" w:cs="Times New Roman"/>
          <w:sz w:val="28"/>
          <w:szCs w:val="28"/>
        </w:rPr>
        <w:t>業和貿易分工合作方面及早佈局，以利未來促進貿易和投資。隨著政府</w:t>
      </w:r>
      <w:r w:rsidR="00FB3B98" w:rsidRPr="00C77E77">
        <w:rPr>
          <w:rFonts w:ascii="Times New Roman" w:eastAsia="標楷體" w:hAnsi="Times New Roman" w:cs="Times New Roman"/>
          <w:sz w:val="28"/>
          <w:szCs w:val="28"/>
        </w:rPr>
        <w:t>啟動「新南向政策推動計畫」，目前已成立「</w:t>
      </w:r>
      <w:r w:rsidR="00FD0D5A" w:rsidRPr="00C77E77">
        <w:rPr>
          <w:rFonts w:ascii="Times New Roman" w:eastAsia="標楷體" w:hAnsi="Times New Roman" w:cs="Times New Roman"/>
          <w:sz w:val="28"/>
          <w:szCs w:val="28"/>
        </w:rPr>
        <w:t>臺</w:t>
      </w:r>
      <w:r w:rsidR="00FB3B98" w:rsidRPr="00C77E77">
        <w:rPr>
          <w:rFonts w:ascii="Times New Roman" w:eastAsia="標楷體" w:hAnsi="Times New Roman" w:cs="Times New Roman"/>
          <w:sz w:val="28"/>
          <w:szCs w:val="28"/>
        </w:rPr>
        <w:t>灣國際農業開發</w:t>
      </w:r>
      <w:r w:rsidR="00C07B0C" w:rsidRPr="00C77E77">
        <w:rPr>
          <w:rFonts w:ascii="Times New Roman" w:eastAsia="標楷體" w:hAnsi="Times New Roman" w:cs="Times New Roman"/>
          <w:sz w:val="28"/>
          <w:szCs w:val="28"/>
        </w:rPr>
        <w:t>（</w:t>
      </w:r>
      <w:r w:rsidR="00FB3B98" w:rsidRPr="00C77E77">
        <w:rPr>
          <w:rFonts w:ascii="Times New Roman" w:eastAsia="標楷體" w:hAnsi="Times New Roman" w:cs="Times New Roman"/>
          <w:sz w:val="28"/>
          <w:szCs w:val="28"/>
        </w:rPr>
        <w:t>股</w:t>
      </w:r>
      <w:r w:rsidR="00C07B0C" w:rsidRPr="00C77E77">
        <w:rPr>
          <w:rFonts w:ascii="Times New Roman" w:eastAsia="標楷體" w:hAnsi="Times New Roman" w:cs="Times New Roman"/>
          <w:sz w:val="28"/>
          <w:szCs w:val="28"/>
        </w:rPr>
        <w:t>）</w:t>
      </w:r>
      <w:r w:rsidR="00FB3B98" w:rsidRPr="00C77E77">
        <w:rPr>
          <w:rFonts w:ascii="Times New Roman" w:eastAsia="標楷體" w:hAnsi="Times New Roman" w:cs="Times New Roman"/>
          <w:sz w:val="28"/>
          <w:szCs w:val="28"/>
        </w:rPr>
        <w:t>公司」，不僅加強農產品及</w:t>
      </w:r>
      <w:r w:rsidR="002A1A51" w:rsidRPr="00C77E77">
        <w:rPr>
          <w:rFonts w:ascii="Times New Roman" w:eastAsia="標楷體" w:hAnsi="Times New Roman" w:cs="Times New Roman"/>
          <w:sz w:val="28"/>
          <w:szCs w:val="28"/>
        </w:rPr>
        <w:t>農</w:t>
      </w:r>
      <w:r w:rsidR="00FB3B98" w:rsidRPr="00C77E77">
        <w:rPr>
          <w:rFonts w:ascii="Times New Roman" w:eastAsia="標楷體" w:hAnsi="Times New Roman" w:cs="Times New Roman"/>
          <w:sz w:val="28"/>
          <w:szCs w:val="28"/>
        </w:rPr>
        <w:t>業資材出口，同時提供農技協助，推廣生物性資材及農機具，提升夥伴國經營能力。其政策目的在於運用農業軟實力，拓將臺灣農產品銷售到東南亞市場及全球市場，爭取雙邊及多邊合作機會。</w:t>
      </w:r>
    </w:p>
    <w:p w:rsidR="000776BA" w:rsidRPr="00C77E77" w:rsidRDefault="00A25C72" w:rsidP="00E34F11">
      <w:pPr>
        <w:spacing w:beforeLines="50" w:before="180" w:afterLines="50" w:after="180" w:line="500" w:lineRule="exact"/>
        <w:ind w:firstLineChars="202" w:firstLine="566"/>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為增強我國產業在南向發展之利基與競爭力，</w:t>
      </w:r>
      <w:r w:rsidRPr="00C77E77">
        <w:rPr>
          <w:rFonts w:ascii="Times New Roman" w:eastAsia="標楷體" w:hAnsi="Times New Roman" w:cs="Times New Roman"/>
          <w:color w:val="000000" w:themeColor="text1"/>
          <w:sz w:val="28"/>
          <w:szCs w:val="28"/>
        </w:rPr>
        <w:t>2016</w:t>
      </w:r>
      <w:r w:rsidRPr="00C77E77">
        <w:rPr>
          <w:rFonts w:ascii="Times New Roman" w:eastAsia="標楷體" w:hAnsi="Times New Roman" w:cs="Times New Roman"/>
          <w:color w:val="000000" w:themeColor="text1"/>
          <w:sz w:val="28"/>
          <w:szCs w:val="28"/>
        </w:rPr>
        <w:t>年政府陸續頒布各項方案與計畫，如「五加二創新產業計畫」、「推動數位國家創新經濟發展方案」、「綠能科技產業推動方案」與「新農業運動」等，足見政府</w:t>
      </w:r>
      <w:r w:rsidR="00805BD3" w:rsidRPr="00C77E77">
        <w:rPr>
          <w:rFonts w:ascii="Times New Roman" w:eastAsia="標楷體" w:hAnsi="Times New Roman" w:cs="Times New Roman"/>
          <w:color w:val="000000" w:themeColor="text1"/>
          <w:sz w:val="28"/>
          <w:szCs w:val="28"/>
        </w:rPr>
        <w:t>南向發展</w:t>
      </w:r>
      <w:r w:rsidRPr="00C77E77">
        <w:rPr>
          <w:rFonts w:ascii="Times New Roman" w:eastAsia="標楷體" w:hAnsi="Times New Roman" w:cs="Times New Roman"/>
          <w:color w:val="000000" w:themeColor="text1"/>
          <w:sz w:val="28"/>
          <w:szCs w:val="28"/>
        </w:rPr>
        <w:t>的決心與重視度。</w:t>
      </w:r>
      <w:r w:rsidR="00FB7CAF" w:rsidRPr="00C77E77">
        <w:rPr>
          <w:rFonts w:ascii="Times New Roman" w:eastAsia="標楷體" w:hAnsi="Times New Roman" w:cs="Times New Roman"/>
          <w:color w:val="000000" w:themeColor="text1"/>
          <w:sz w:val="28"/>
          <w:szCs w:val="28"/>
        </w:rPr>
        <w:t>據此，本研究</w:t>
      </w:r>
      <w:r w:rsidR="00805BD3" w:rsidRPr="00C77E77">
        <w:rPr>
          <w:rFonts w:ascii="Times New Roman" w:eastAsia="標楷體" w:hAnsi="Times New Roman" w:cs="Times New Roman"/>
          <w:color w:val="000000" w:themeColor="text1"/>
          <w:sz w:val="28"/>
          <w:szCs w:val="28"/>
        </w:rPr>
        <w:t>從政治經濟的角度</w:t>
      </w:r>
      <w:r w:rsidRPr="00C77E77">
        <w:rPr>
          <w:rFonts w:ascii="Times New Roman" w:eastAsia="標楷體" w:hAnsi="Times New Roman" w:cs="Times New Roman"/>
          <w:color w:val="000000" w:themeColor="text1"/>
          <w:sz w:val="28"/>
          <w:szCs w:val="28"/>
        </w:rPr>
        <w:t>盤點</w:t>
      </w:r>
      <w:r w:rsidR="000776BA" w:rsidRPr="00C77E77">
        <w:rPr>
          <w:rFonts w:ascii="Times New Roman" w:eastAsia="標楷體" w:hAnsi="Times New Roman" w:cs="Times New Roman"/>
          <w:color w:val="000000" w:themeColor="text1"/>
          <w:sz w:val="28"/>
          <w:szCs w:val="28"/>
        </w:rPr>
        <w:t>東南亞及</w:t>
      </w:r>
      <w:r w:rsidR="00805BD3" w:rsidRPr="00C77E77">
        <w:rPr>
          <w:rFonts w:ascii="Times New Roman" w:eastAsia="標楷體" w:hAnsi="Times New Roman" w:cs="Times New Roman"/>
          <w:color w:val="000000" w:themeColor="text1"/>
          <w:sz w:val="28"/>
          <w:szCs w:val="28"/>
        </w:rPr>
        <w:t>印度</w:t>
      </w:r>
      <w:r w:rsidR="000776BA" w:rsidRPr="00C77E77">
        <w:rPr>
          <w:rFonts w:ascii="Times New Roman" w:eastAsia="標楷體" w:hAnsi="Times New Roman" w:cs="Times New Roman"/>
          <w:color w:val="000000" w:themeColor="text1"/>
          <w:sz w:val="28"/>
          <w:szCs w:val="28"/>
        </w:rPr>
        <w:t>經貿情勢，</w:t>
      </w:r>
      <w:r w:rsidR="00805BD3" w:rsidRPr="00C77E77">
        <w:rPr>
          <w:rFonts w:ascii="Times New Roman" w:eastAsia="標楷體" w:hAnsi="Times New Roman" w:cs="Times New Roman"/>
          <w:color w:val="000000" w:themeColor="text1"/>
          <w:sz w:val="28"/>
          <w:szCs w:val="28"/>
        </w:rPr>
        <w:t>並</w:t>
      </w:r>
      <w:r w:rsidR="000776BA" w:rsidRPr="00C77E77">
        <w:rPr>
          <w:rFonts w:ascii="Times New Roman" w:eastAsia="標楷體" w:hAnsi="Times New Roman" w:cs="Times New Roman"/>
          <w:color w:val="000000" w:themeColor="text1"/>
          <w:sz w:val="28"/>
          <w:szCs w:val="28"/>
        </w:rPr>
        <w:t>就政府規劃之十大系統輸出，以及政府正戮力推行之「電子商務」、「新農業」等「</w:t>
      </w:r>
      <w:r w:rsidR="000776BA" w:rsidRPr="00C77E77">
        <w:rPr>
          <w:rFonts w:ascii="Times New Roman" w:eastAsia="標楷體" w:hAnsi="Times New Roman" w:cs="Times New Roman"/>
          <w:color w:val="000000" w:themeColor="text1"/>
          <w:sz w:val="28"/>
          <w:szCs w:val="28"/>
        </w:rPr>
        <w:t>10+2</w:t>
      </w:r>
      <w:r w:rsidRPr="00C77E77">
        <w:rPr>
          <w:rFonts w:ascii="Times New Roman" w:eastAsia="標楷體" w:hAnsi="Times New Roman" w:cs="Times New Roman"/>
          <w:color w:val="000000" w:themeColor="text1"/>
          <w:sz w:val="28"/>
          <w:szCs w:val="28"/>
        </w:rPr>
        <w:t>」產業做全盤分析，研擬促進雙贏的</w:t>
      </w:r>
      <w:r w:rsidR="000776BA" w:rsidRPr="00C77E77">
        <w:rPr>
          <w:rFonts w:ascii="Times New Roman" w:eastAsia="標楷體" w:hAnsi="Times New Roman" w:cs="Times New Roman"/>
          <w:color w:val="000000" w:themeColor="text1"/>
          <w:sz w:val="28"/>
          <w:szCs w:val="28"/>
        </w:rPr>
        <w:t>策略建議，俾利政府作為未來「新南向政策」之規劃參考。</w:t>
      </w:r>
    </w:p>
    <w:p w:rsidR="00B702A2" w:rsidRPr="00C77E77" w:rsidRDefault="00B702A2">
      <w:pPr>
        <w:widowControl/>
        <w:rPr>
          <w:rFonts w:ascii="Times New Roman" w:eastAsia="標楷體" w:hAnsi="Times New Roman" w:cs="Times New Roman"/>
          <w:sz w:val="28"/>
          <w:szCs w:val="28"/>
        </w:rPr>
      </w:pPr>
    </w:p>
    <w:p w:rsidR="008771FD" w:rsidRPr="00C77E77" w:rsidRDefault="00405ED9" w:rsidP="008218C6">
      <w:pPr>
        <w:pStyle w:val="ab"/>
        <w:numPr>
          <w:ilvl w:val="0"/>
          <w:numId w:val="1"/>
        </w:numPr>
        <w:spacing w:beforeLines="50" w:before="180" w:afterLines="50" w:after="180" w:line="500" w:lineRule="exact"/>
        <w:ind w:leftChars="0"/>
        <w:jc w:val="both"/>
        <w:outlineLvl w:val="1"/>
        <w:rPr>
          <w:rFonts w:ascii="Times New Roman" w:eastAsia="標楷體" w:hAnsi="Times New Roman" w:cs="Times New Roman"/>
          <w:b/>
          <w:color w:val="000000" w:themeColor="text1"/>
          <w:spacing w:val="14"/>
          <w:sz w:val="32"/>
          <w:szCs w:val="32"/>
        </w:rPr>
      </w:pPr>
      <w:bookmarkStart w:id="4" w:name="_Toc470676308"/>
      <w:r w:rsidRPr="00C77E77">
        <w:rPr>
          <w:rFonts w:ascii="Times New Roman" w:eastAsia="標楷體" w:hAnsi="Times New Roman" w:cs="Times New Roman"/>
          <w:b/>
          <w:color w:val="000000" w:themeColor="text1"/>
          <w:spacing w:val="14"/>
          <w:sz w:val="32"/>
          <w:szCs w:val="32"/>
        </w:rPr>
        <w:t>研究</w:t>
      </w:r>
      <w:r w:rsidR="0080222B" w:rsidRPr="00C77E77">
        <w:rPr>
          <w:rFonts w:ascii="Times New Roman" w:eastAsia="標楷體" w:hAnsi="Times New Roman" w:cs="Times New Roman"/>
          <w:b/>
          <w:color w:val="000000" w:themeColor="text1"/>
          <w:spacing w:val="14"/>
          <w:sz w:val="32"/>
          <w:szCs w:val="32"/>
        </w:rPr>
        <w:t>方法與架構</w:t>
      </w:r>
      <w:bookmarkEnd w:id="4"/>
    </w:p>
    <w:p w:rsidR="0080222B" w:rsidRPr="00C77E77" w:rsidRDefault="0080222B" w:rsidP="008218C6">
      <w:pPr>
        <w:spacing w:line="500" w:lineRule="exact"/>
        <w:rPr>
          <w:rFonts w:ascii="Times New Roman" w:eastAsia="標楷體" w:hAnsi="Times New Roman" w:cs="Times New Roman"/>
          <w:b/>
          <w:color w:val="000000" w:themeColor="text1"/>
          <w:spacing w:val="14"/>
          <w:sz w:val="28"/>
          <w:szCs w:val="28"/>
        </w:rPr>
      </w:pPr>
      <w:r w:rsidRPr="00C77E77">
        <w:rPr>
          <w:rFonts w:ascii="Times New Roman" w:eastAsia="標楷體" w:hAnsi="Times New Roman" w:cs="Times New Roman"/>
          <w:b/>
          <w:color w:val="000000" w:themeColor="text1"/>
          <w:spacing w:val="14"/>
          <w:sz w:val="28"/>
          <w:szCs w:val="28"/>
        </w:rPr>
        <w:t>一、研究途徑與方法</w:t>
      </w:r>
    </w:p>
    <w:p w:rsidR="007E53EE" w:rsidRDefault="007E53EE" w:rsidP="008218C6">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本文之研究途徑及方法主要係針對前述議題，利用質化分析，藉由文獻的蒐集與整理、深度訪談與焦點座談等方式，廣泛收集各方意見，並據此做出具有次序性及邏輯性的完整系統性分析，相關作法如下所述：</w:t>
      </w:r>
      <w:r w:rsidRPr="00C77E77">
        <w:rPr>
          <w:rStyle w:val="a9"/>
          <w:rFonts w:ascii="Times New Roman" w:eastAsia="標楷體" w:hAnsi="Times New Roman" w:cs="Times New Roman"/>
          <w:sz w:val="28"/>
          <w:szCs w:val="28"/>
        </w:rPr>
        <w:footnoteReference w:id="5"/>
      </w:r>
    </w:p>
    <w:p w:rsidR="001603D4" w:rsidRPr="00C77E77" w:rsidRDefault="001603D4" w:rsidP="008218C6">
      <w:pPr>
        <w:spacing w:beforeLines="50" w:before="180" w:afterLines="50" w:after="180" w:line="500" w:lineRule="exact"/>
        <w:ind w:leftChars="50" w:left="120" w:firstLine="480"/>
        <w:jc w:val="both"/>
        <w:rPr>
          <w:rFonts w:ascii="Times New Roman" w:eastAsia="標楷體" w:hAnsi="Times New Roman" w:cs="Times New Roman" w:hint="eastAsia"/>
          <w:sz w:val="28"/>
          <w:szCs w:val="28"/>
        </w:rPr>
      </w:pPr>
    </w:p>
    <w:p w:rsidR="007E53EE" w:rsidRPr="00C77E77" w:rsidRDefault="007E53EE" w:rsidP="008218C6">
      <w:pPr>
        <w:pStyle w:val="ab"/>
        <w:numPr>
          <w:ilvl w:val="0"/>
          <w:numId w:val="4"/>
        </w:numPr>
        <w:spacing w:beforeLines="50" w:before="180" w:afterLines="50" w:after="180" w:line="500" w:lineRule="exact"/>
        <w:ind w:leftChars="100" w:left="72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lastRenderedPageBreak/>
        <w:t>文獻分析法</w:t>
      </w:r>
    </w:p>
    <w:p w:rsidR="007E53EE" w:rsidRPr="00C77E77" w:rsidRDefault="007E53EE" w:rsidP="008218C6">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透過文獻分析的方法，整理出國內外相關理論的脈絡，將制度加以對比歸類，並藉由蒐集相關文獻（包括與研究主題相關之學術期刊論文及、政府所屬之相關單位之政策規劃報告等相關資料），進行系統化的彙整及客觀性的分析，並以之作為推論的基礎依據。亦即，利用蒐集過往歷史資料及相關文獻，進行所謂的歷史研究分析。針對已發生之事件，藉現存資料加以系統分析，其結果可使我們根據過去之充分瞭解，</w:t>
      </w:r>
      <w:r w:rsidR="009E58A8" w:rsidRPr="00C77E77">
        <w:rPr>
          <w:rFonts w:ascii="Times New Roman" w:eastAsia="標楷體" w:hAnsi="Times New Roman" w:cs="Times New Roman"/>
          <w:sz w:val="28"/>
          <w:szCs w:val="28"/>
        </w:rPr>
        <w:t>評估當前情勢，並</w:t>
      </w:r>
      <w:r w:rsidRPr="00C77E77">
        <w:rPr>
          <w:rFonts w:ascii="Times New Roman" w:eastAsia="標楷體" w:hAnsi="Times New Roman" w:cs="Times New Roman"/>
          <w:sz w:val="28"/>
          <w:szCs w:val="28"/>
        </w:rPr>
        <w:t>預測未來方向。</w:t>
      </w:r>
    </w:p>
    <w:p w:rsidR="007E53EE" w:rsidRPr="00C77E77" w:rsidRDefault="00025404" w:rsidP="008218C6">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本研究</w:t>
      </w:r>
      <w:r w:rsidR="007E53EE" w:rsidRPr="00C77E77">
        <w:rPr>
          <w:rFonts w:ascii="Times New Roman" w:eastAsia="標楷體" w:hAnsi="Times New Roman" w:cs="Times New Roman"/>
          <w:sz w:val="28"/>
          <w:szCs w:val="28"/>
        </w:rPr>
        <w:t>從此一途徑，針對當前東南亞及南亞外在環境變遷對我經濟發展之影響，提出具體做法及建議。做法上，主要是蒐集東南亞及南亞主要國家經貿發展策略，瞭解我國投資東南亞之潛在商機。尤其是</w:t>
      </w:r>
      <w:r w:rsidR="00C53456" w:rsidRPr="00C77E77">
        <w:rPr>
          <w:rFonts w:ascii="Times New Roman" w:eastAsia="標楷體" w:hAnsi="Times New Roman" w:cs="Times New Roman"/>
          <w:sz w:val="28"/>
          <w:szCs w:val="28"/>
        </w:rPr>
        <w:t>為因應我國之新南向政策，</w:t>
      </w:r>
      <w:r w:rsidR="00670036" w:rsidRPr="00C77E77">
        <w:rPr>
          <w:rFonts w:ascii="Times New Roman" w:eastAsia="標楷體" w:hAnsi="Times New Roman" w:cs="Times New Roman"/>
          <w:sz w:val="28"/>
          <w:szCs w:val="28"/>
        </w:rPr>
        <w:t>針對我行政院規劃的十大系統、電子商務及新農業整廠輸出方案，</w:t>
      </w:r>
      <w:r w:rsidR="00091702" w:rsidRPr="00C77E77">
        <w:rPr>
          <w:rFonts w:ascii="Times New Roman" w:eastAsia="標楷體" w:hAnsi="Times New Roman" w:cs="Times New Roman"/>
          <w:sz w:val="28"/>
          <w:szCs w:val="28"/>
        </w:rPr>
        <w:t>蒐集相關資訊，彙整</w:t>
      </w:r>
      <w:r w:rsidR="00670036" w:rsidRPr="00C77E77">
        <w:rPr>
          <w:rFonts w:ascii="Times New Roman" w:eastAsia="標楷體" w:hAnsi="Times New Roman" w:cs="Times New Roman"/>
          <w:sz w:val="28"/>
          <w:szCs w:val="28"/>
        </w:rPr>
        <w:t>我國在此十二項產業中的最新發展狀況，各擁有何優勢及劣勢，</w:t>
      </w:r>
      <w:r w:rsidR="00091702" w:rsidRPr="00C77E77">
        <w:rPr>
          <w:rFonts w:ascii="Times New Roman" w:eastAsia="標楷體" w:hAnsi="Times New Roman" w:cs="Times New Roman"/>
          <w:sz w:val="28"/>
          <w:szCs w:val="28"/>
        </w:rPr>
        <w:t>並探討該產業前往東南亞及印度之現況，以及東南亞及印度發展契機，分析各產業</w:t>
      </w:r>
      <w:r w:rsidR="00C53456" w:rsidRPr="00C77E77">
        <w:rPr>
          <w:rFonts w:ascii="Times New Roman" w:eastAsia="標楷體" w:hAnsi="Times New Roman" w:cs="Times New Roman"/>
          <w:sz w:val="28"/>
          <w:szCs w:val="28"/>
        </w:rPr>
        <w:t>是否適合前進當地佈局，做為我政府新南向政策之具體施政方向，提供政府扶植產業發展、邁向南進可參考之政策建議。</w:t>
      </w:r>
    </w:p>
    <w:p w:rsidR="007E53EE" w:rsidRPr="00C77E77" w:rsidRDefault="007E53EE" w:rsidP="008218C6">
      <w:pPr>
        <w:pStyle w:val="ab"/>
        <w:numPr>
          <w:ilvl w:val="0"/>
          <w:numId w:val="4"/>
        </w:numPr>
        <w:spacing w:beforeLines="50" w:before="180" w:afterLines="50" w:after="180" w:line="500" w:lineRule="exact"/>
        <w:ind w:leftChars="100" w:left="240" w:firstLine="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比較研究法</w:t>
      </w:r>
    </w:p>
    <w:p w:rsidR="007E53EE" w:rsidRPr="00C77E77" w:rsidRDefault="00FB7CAF" w:rsidP="008218C6">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除文獻資料分析外，本研究亦採取比較研究法</w:t>
      </w:r>
      <w:r w:rsidR="007E53EE" w:rsidRPr="00C77E77">
        <w:rPr>
          <w:rFonts w:ascii="Times New Roman" w:eastAsia="標楷體" w:hAnsi="Times New Roman" w:cs="Times New Roman"/>
          <w:sz w:val="28"/>
          <w:szCs w:val="28"/>
        </w:rPr>
        <w:t>。比較研究法是將兩種以上的問題或現象，進行有計劃、有目的的敘述，並加以對照、分析，找出其中的異同優劣，之後歸納出趨勢或原則，做為解決有關問題之參考。其可分為橫斷式及縱貫式兩種，橫面式的比較研究係比較兩個以上「地區」的現象或問題，而縱貫式的比較研究法是比較不同時期之現象、問題。</w:t>
      </w:r>
    </w:p>
    <w:p w:rsidR="007E53EE" w:rsidRPr="00C77E77" w:rsidRDefault="00FB7CAF" w:rsidP="008218C6">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因此，本研究利用比較研究法</w:t>
      </w:r>
      <w:r w:rsidR="007E53EE" w:rsidRPr="00C77E77">
        <w:rPr>
          <w:rFonts w:ascii="Times New Roman" w:eastAsia="標楷體" w:hAnsi="Times New Roman" w:cs="Times New Roman"/>
          <w:sz w:val="28"/>
          <w:szCs w:val="28"/>
        </w:rPr>
        <w:t>分析東南亞及</w:t>
      </w:r>
      <w:r w:rsidRPr="00C77E77">
        <w:rPr>
          <w:rFonts w:ascii="Times New Roman" w:eastAsia="標楷體" w:hAnsi="Times New Roman" w:cs="Times New Roman"/>
          <w:sz w:val="28"/>
          <w:szCs w:val="28"/>
        </w:rPr>
        <w:t>印度</w:t>
      </w:r>
      <w:r w:rsidR="007E53EE" w:rsidRPr="00C77E77">
        <w:rPr>
          <w:rFonts w:ascii="Times New Roman" w:eastAsia="標楷體" w:hAnsi="Times New Roman" w:cs="Times New Roman"/>
          <w:sz w:val="28"/>
          <w:szCs w:val="28"/>
        </w:rPr>
        <w:t>各國經貿整體目標與</w:t>
      </w:r>
      <w:r w:rsidRPr="00C77E77">
        <w:rPr>
          <w:rFonts w:ascii="Times New Roman" w:eastAsia="標楷體" w:hAnsi="Times New Roman" w:cs="Times New Roman"/>
          <w:sz w:val="28"/>
          <w:szCs w:val="28"/>
        </w:rPr>
        <w:t>發展</w:t>
      </w:r>
      <w:r w:rsidR="007E53EE" w:rsidRPr="00C77E77">
        <w:rPr>
          <w:rFonts w:ascii="Times New Roman" w:eastAsia="標楷體" w:hAnsi="Times New Roman" w:cs="Times New Roman"/>
          <w:sz w:val="28"/>
          <w:szCs w:val="28"/>
        </w:rPr>
        <w:t>；再者，</w:t>
      </w:r>
      <w:r w:rsidR="00C53456" w:rsidRPr="00C77E77">
        <w:rPr>
          <w:rFonts w:ascii="Times New Roman" w:eastAsia="標楷體" w:hAnsi="Times New Roman" w:cs="Times New Roman"/>
          <w:sz w:val="28"/>
          <w:szCs w:val="28"/>
        </w:rPr>
        <w:t>為分析十大系統、電子商務與新農業產業應優</w:t>
      </w:r>
      <w:r w:rsidR="00C53456" w:rsidRPr="00C77E77">
        <w:rPr>
          <w:rFonts w:ascii="Times New Roman" w:eastAsia="標楷體" w:hAnsi="Times New Roman" w:cs="Times New Roman"/>
          <w:sz w:val="28"/>
          <w:szCs w:val="28"/>
        </w:rPr>
        <w:lastRenderedPageBreak/>
        <w:t>先前往何國發展較為妥切，</w:t>
      </w:r>
      <w:r w:rsidR="005F19F9" w:rsidRPr="00C77E77">
        <w:rPr>
          <w:rFonts w:ascii="Times New Roman" w:eastAsia="標楷體" w:hAnsi="Times New Roman" w:cs="Times New Roman"/>
          <w:sz w:val="28"/>
          <w:szCs w:val="28"/>
        </w:rPr>
        <w:t>將進行此十二大產業之</w:t>
      </w:r>
      <w:r w:rsidR="005F19F9" w:rsidRPr="00C77E77">
        <w:rPr>
          <w:rFonts w:ascii="Times New Roman" w:eastAsia="標楷體" w:hAnsi="Times New Roman" w:cs="Times New Roman"/>
          <w:sz w:val="28"/>
          <w:szCs w:val="28"/>
        </w:rPr>
        <w:t>SWOT</w:t>
      </w:r>
      <w:r w:rsidR="005F19F9" w:rsidRPr="00C77E77">
        <w:rPr>
          <w:rFonts w:ascii="Times New Roman" w:eastAsia="標楷體" w:hAnsi="Times New Roman" w:cs="Times New Roman"/>
          <w:sz w:val="28"/>
          <w:szCs w:val="28"/>
        </w:rPr>
        <w:t>分析，並透過既有的綜合研究報告，評估各產業在各國的發展前景，藉由比較研究法及配合新南向政策規劃，提出十二大產業南向發展經貿之建議。</w:t>
      </w:r>
    </w:p>
    <w:p w:rsidR="007E53EE" w:rsidRPr="00C77E77" w:rsidRDefault="007E53EE" w:rsidP="008218C6">
      <w:pPr>
        <w:pStyle w:val="ab"/>
        <w:numPr>
          <w:ilvl w:val="0"/>
          <w:numId w:val="4"/>
        </w:numPr>
        <w:spacing w:beforeLines="50" w:before="180" w:afterLines="50" w:after="180" w:line="500" w:lineRule="exact"/>
        <w:ind w:leftChars="100" w:left="240" w:firstLine="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焦點座談法</w:t>
      </w:r>
    </w:p>
    <w:p w:rsidR="007E53EE" w:rsidRPr="00C77E77" w:rsidRDefault="00FB7CAF" w:rsidP="00B702A2">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在焦點座談人員之選取上，本研究</w:t>
      </w:r>
      <w:r w:rsidR="007E53EE" w:rsidRPr="00C77E77">
        <w:rPr>
          <w:rFonts w:ascii="Times New Roman" w:eastAsia="標楷體" w:hAnsi="Times New Roman" w:cs="Times New Roman"/>
          <w:sz w:val="28"/>
          <w:szCs w:val="28"/>
        </w:rPr>
        <w:t>針對與研究主題相關之人士進行焦點座談，包括政府代表、專家學者與相關民間團體及企業代表，本研究舉辦</w:t>
      </w:r>
      <w:r w:rsidRPr="00C77E77">
        <w:rPr>
          <w:rFonts w:ascii="Times New Roman" w:eastAsia="標楷體" w:hAnsi="Times New Roman" w:cs="Times New Roman"/>
          <w:sz w:val="28"/>
          <w:szCs w:val="28"/>
        </w:rPr>
        <w:t>三</w:t>
      </w:r>
      <w:r w:rsidR="007E53EE" w:rsidRPr="00C77E77">
        <w:rPr>
          <w:rFonts w:ascii="Times New Roman" w:eastAsia="標楷體" w:hAnsi="Times New Roman" w:cs="Times New Roman"/>
          <w:sz w:val="28"/>
          <w:szCs w:val="28"/>
        </w:rPr>
        <w:t>場次焦點座談，每場次焦點座談由本研究計畫之主持人或協同主持人擔任主持人，並邀請</w:t>
      </w:r>
      <w:r w:rsidR="007E53EE" w:rsidRPr="00C77E77">
        <w:rPr>
          <w:rFonts w:ascii="Times New Roman" w:eastAsia="標楷體" w:hAnsi="Times New Roman" w:cs="Times New Roman"/>
          <w:sz w:val="28"/>
          <w:szCs w:val="28"/>
        </w:rPr>
        <w:t>8</w:t>
      </w:r>
      <w:r w:rsidR="007E53EE" w:rsidRPr="00C77E77">
        <w:rPr>
          <w:rFonts w:ascii="Times New Roman" w:eastAsia="標楷體" w:hAnsi="Times New Roman" w:cs="Times New Roman"/>
          <w:sz w:val="28"/>
          <w:szCs w:val="28"/>
        </w:rPr>
        <w:t>至</w:t>
      </w:r>
      <w:r w:rsidR="007E53EE" w:rsidRPr="00C77E77">
        <w:rPr>
          <w:rFonts w:ascii="Times New Roman" w:eastAsia="標楷體" w:hAnsi="Times New Roman" w:cs="Times New Roman"/>
          <w:sz w:val="28"/>
          <w:szCs w:val="28"/>
        </w:rPr>
        <w:t>10</w:t>
      </w:r>
      <w:r w:rsidR="007E53EE" w:rsidRPr="00C77E77">
        <w:rPr>
          <w:rFonts w:ascii="Times New Roman" w:eastAsia="標楷體" w:hAnsi="Times New Roman" w:cs="Times New Roman"/>
          <w:sz w:val="28"/>
          <w:szCs w:val="28"/>
        </w:rPr>
        <w:t>位與談人與會。</w:t>
      </w:r>
    </w:p>
    <w:p w:rsidR="0080222B" w:rsidRPr="00C77E77" w:rsidRDefault="0080222B" w:rsidP="00764ED7">
      <w:pPr>
        <w:pStyle w:val="ab"/>
        <w:numPr>
          <w:ilvl w:val="0"/>
          <w:numId w:val="18"/>
        </w:numPr>
        <w:spacing w:beforeLines="50" w:before="180" w:afterLines="50" w:after="180" w:line="500" w:lineRule="exact"/>
        <w:ind w:leftChars="50" w:left="60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研究架構與章節安排</w:t>
      </w:r>
    </w:p>
    <w:p w:rsidR="007E53EE" w:rsidRPr="00C77E77" w:rsidRDefault="007E53EE" w:rsidP="008218C6">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東協十國於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年底完成東協經濟共同體整合，</w:t>
      </w:r>
      <w:r w:rsidRPr="00C77E77">
        <w:rPr>
          <w:rFonts w:ascii="Times New Roman" w:eastAsia="標楷體" w:hAnsi="Times New Roman" w:cs="Times New Roman"/>
          <w:sz w:val="28"/>
          <w:szCs w:val="28"/>
        </w:rPr>
        <w:t>6.3</w:t>
      </w:r>
      <w:r w:rsidRPr="00C77E77">
        <w:rPr>
          <w:rFonts w:ascii="Times New Roman" w:eastAsia="標楷體" w:hAnsi="Times New Roman" w:cs="Times New Roman"/>
          <w:sz w:val="28"/>
          <w:szCs w:val="28"/>
        </w:rPr>
        <w:t>億的消費人口使東協成為不可忽視的新興市場。與此同時，</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的談判進程也正在緊鑼密鼓地進行，但內部關於東協加一與東協加三的政治角力，拖慢了整體的談判步調，這也顯示出中國大陸與日本、韓國在亞洲地區的經貿競爭，已延伸到區域經濟整合領域。另一方面，印度由於在</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的談判中被視為局外人，也讓印度轉而強化</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的聯繫。結合中國大陸、印度與東協三個世界人口最多的區域貿易組織，其市場的潛力讓任何經濟大國皆不敢小覷。而臺灣處於中國大陸、日本、韓國與東南亞及南亞之間的連結位置，在規劃長期的區域發展策略、推行新南向政策，思考如何配合此一新興市場的興起前，了解身處的國際政經情勢應為首要工作。</w:t>
      </w:r>
    </w:p>
    <w:p w:rsidR="00A11733" w:rsidRPr="00C77E77" w:rsidRDefault="00A57AB9" w:rsidP="008218C6">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了解東南亞與印度整體市場概況後，本研究</w:t>
      </w:r>
      <w:r w:rsidR="00A11733" w:rsidRPr="00C77E77">
        <w:rPr>
          <w:rFonts w:ascii="Times New Roman" w:eastAsia="標楷體" w:hAnsi="Times New Roman" w:cs="Times New Roman"/>
          <w:sz w:val="28"/>
          <w:szCs w:val="28"/>
        </w:rPr>
        <w:t>聚焦於我國推行之新南向政策，以及針對政策所規劃之十大系統及電子商務、新農業輸出方案做分析探討。經濟部選定之十大系統包括電子收費、電子化政府、智慧校園、智慧物流、雲端系統、太陽能、</w:t>
      </w:r>
      <w:r w:rsidR="00A11733" w:rsidRPr="00C77E77">
        <w:rPr>
          <w:rFonts w:ascii="Times New Roman" w:eastAsia="標楷體" w:hAnsi="Times New Roman" w:cs="Times New Roman"/>
          <w:sz w:val="28"/>
          <w:szCs w:val="28"/>
        </w:rPr>
        <w:t>LED</w:t>
      </w:r>
      <w:r w:rsidR="00A11733" w:rsidRPr="00C77E77">
        <w:rPr>
          <w:rFonts w:ascii="Times New Roman" w:eastAsia="標楷體" w:hAnsi="Times New Roman" w:cs="Times New Roman"/>
          <w:sz w:val="28"/>
          <w:szCs w:val="28"/>
        </w:rPr>
        <w:t>、綠色運輸、石化及智慧健康產業，希望以系統輸出方式，將我國出口模式轉型，</w:t>
      </w:r>
      <w:r w:rsidR="00A11733" w:rsidRPr="00C77E77">
        <w:rPr>
          <w:rFonts w:ascii="Times New Roman" w:eastAsia="標楷體" w:hAnsi="Times New Roman" w:cs="Times New Roman"/>
          <w:sz w:val="28"/>
          <w:szCs w:val="28"/>
        </w:rPr>
        <w:lastRenderedPageBreak/>
        <w:t>並</w:t>
      </w:r>
      <w:r w:rsidR="00BA1F47" w:rsidRPr="00C77E77">
        <w:rPr>
          <w:rFonts w:ascii="Times New Roman" w:eastAsia="標楷體" w:hAnsi="Times New Roman" w:cs="Times New Roman"/>
          <w:sz w:val="28"/>
          <w:szCs w:val="28"/>
        </w:rPr>
        <w:t>做為我新南向政策之具體實行方案。</w:t>
      </w:r>
    </w:p>
    <w:p w:rsidR="007E53EE" w:rsidRPr="00C77E77" w:rsidRDefault="007E53EE" w:rsidP="008218C6">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因此，本計畫之研究架構與章節安排，首</w:t>
      </w:r>
      <w:r w:rsidR="00BA1F47" w:rsidRPr="00C77E77">
        <w:rPr>
          <w:rFonts w:ascii="Times New Roman" w:eastAsia="標楷體" w:hAnsi="Times New Roman" w:cs="Times New Roman"/>
          <w:sz w:val="28"/>
          <w:szCs w:val="28"/>
        </w:rPr>
        <w:t>先回顧過去我國政府提出之三波南向政策內容及成效，</w:t>
      </w:r>
      <w:r w:rsidR="009A6E42" w:rsidRPr="00C77E77">
        <w:rPr>
          <w:rFonts w:ascii="Times New Roman" w:eastAsia="標楷體" w:hAnsi="Times New Roman" w:cs="Times New Roman"/>
          <w:sz w:val="28"/>
          <w:szCs w:val="28"/>
        </w:rPr>
        <w:t>並對我國與東南亞及印度雙向貿易與投資之現況，以相關數據、圖表做全面性的介紹，</w:t>
      </w:r>
      <w:r w:rsidR="00693CB3" w:rsidRPr="00C77E77">
        <w:rPr>
          <w:rFonts w:ascii="Times New Roman" w:eastAsia="標楷體" w:hAnsi="Times New Roman" w:cs="Times New Roman"/>
          <w:sz w:val="28"/>
          <w:szCs w:val="28"/>
        </w:rPr>
        <w:t>再依序針對我國產業在個別國家發展的機會與挑戰做說明，並藉由東南亞及印度各國之產業發展、外人投資與貿易政策</w:t>
      </w:r>
      <w:r w:rsidR="00B862BC" w:rsidRPr="00C77E77">
        <w:rPr>
          <w:rFonts w:ascii="Times New Roman" w:eastAsia="標楷體" w:hAnsi="Times New Roman" w:cs="Times New Roman"/>
          <w:sz w:val="28"/>
          <w:szCs w:val="28"/>
        </w:rPr>
        <w:t>作為參考依據。</w:t>
      </w:r>
    </w:p>
    <w:p w:rsidR="007E53EE" w:rsidRPr="00C77E77" w:rsidRDefault="007E53EE" w:rsidP="008218C6">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在充分掌握東南亞及</w:t>
      </w:r>
      <w:r w:rsidR="00B862BC" w:rsidRPr="00C77E77">
        <w:rPr>
          <w:rFonts w:ascii="Times New Roman" w:eastAsia="標楷體" w:hAnsi="Times New Roman" w:cs="Times New Roman"/>
          <w:sz w:val="28"/>
          <w:szCs w:val="28"/>
        </w:rPr>
        <w:t>印度</w:t>
      </w:r>
      <w:r w:rsidRPr="00C77E77">
        <w:rPr>
          <w:rFonts w:ascii="Times New Roman" w:eastAsia="標楷體" w:hAnsi="Times New Roman" w:cs="Times New Roman"/>
          <w:sz w:val="28"/>
          <w:szCs w:val="28"/>
        </w:rPr>
        <w:t>的產業現況、經貿發展策略，以及與各主要國家的合作關係後，</w:t>
      </w:r>
      <w:r w:rsidR="00B862BC" w:rsidRPr="00C77E77">
        <w:rPr>
          <w:rFonts w:ascii="Times New Roman" w:eastAsia="標楷體" w:hAnsi="Times New Roman" w:cs="Times New Roman"/>
          <w:sz w:val="28"/>
          <w:szCs w:val="28"/>
        </w:rPr>
        <w:t>本研究將著重在行政院所規畫之我國十大系統及電子商務、新農業產業輸出計畫，首先根據此十二大產業在我國現行的發展狀況做分析，</w:t>
      </w:r>
      <w:r w:rsidR="00590E13" w:rsidRPr="00C77E77">
        <w:rPr>
          <w:rFonts w:ascii="Times New Roman" w:eastAsia="標楷體" w:hAnsi="Times New Roman" w:cs="Times New Roman"/>
          <w:sz w:val="28"/>
          <w:szCs w:val="28"/>
        </w:rPr>
        <w:t>說明該產業之優劣勢，以及目前產值。</w:t>
      </w:r>
      <w:r w:rsidRPr="00C77E77">
        <w:rPr>
          <w:rFonts w:ascii="Times New Roman" w:eastAsia="標楷體" w:hAnsi="Times New Roman" w:cs="Times New Roman"/>
          <w:sz w:val="28"/>
          <w:szCs w:val="28"/>
        </w:rPr>
        <w:t>再</w:t>
      </w:r>
      <w:r w:rsidR="00590E13" w:rsidRPr="00C77E77">
        <w:rPr>
          <w:rFonts w:ascii="Times New Roman" w:eastAsia="標楷體" w:hAnsi="Times New Roman" w:cs="Times New Roman"/>
          <w:sz w:val="28"/>
          <w:szCs w:val="28"/>
        </w:rPr>
        <w:t>將此十二大產業與新南向政策結合，</w:t>
      </w:r>
      <w:r w:rsidRPr="00C77E77">
        <w:rPr>
          <w:rFonts w:ascii="Times New Roman" w:eastAsia="標楷體" w:hAnsi="Times New Roman" w:cs="Times New Roman"/>
          <w:sz w:val="28"/>
          <w:szCs w:val="28"/>
        </w:rPr>
        <w:t>針對</w:t>
      </w:r>
      <w:r w:rsidR="00590E13" w:rsidRPr="00C77E77">
        <w:rPr>
          <w:rFonts w:ascii="Times New Roman" w:eastAsia="標楷體" w:hAnsi="Times New Roman" w:cs="Times New Roman"/>
          <w:sz w:val="28"/>
          <w:szCs w:val="28"/>
        </w:rPr>
        <w:t>這些產業在</w:t>
      </w:r>
      <w:r w:rsidRPr="00C77E77">
        <w:rPr>
          <w:rFonts w:ascii="Times New Roman" w:eastAsia="標楷體" w:hAnsi="Times New Roman" w:cs="Times New Roman"/>
          <w:sz w:val="28"/>
          <w:szCs w:val="28"/>
        </w:rPr>
        <w:t>東南亞及</w:t>
      </w:r>
      <w:r w:rsidR="00590E13" w:rsidRPr="00C77E77">
        <w:rPr>
          <w:rFonts w:ascii="Times New Roman" w:eastAsia="標楷體" w:hAnsi="Times New Roman" w:cs="Times New Roman"/>
          <w:sz w:val="28"/>
          <w:szCs w:val="28"/>
        </w:rPr>
        <w:t>印度之</w:t>
      </w:r>
      <w:r w:rsidRPr="00C77E77">
        <w:rPr>
          <w:rFonts w:ascii="Times New Roman" w:eastAsia="標楷體" w:hAnsi="Times New Roman" w:cs="Times New Roman"/>
          <w:sz w:val="28"/>
          <w:szCs w:val="28"/>
        </w:rPr>
        <w:t>發展</w:t>
      </w:r>
      <w:r w:rsidR="00590E13" w:rsidRPr="00C77E77">
        <w:rPr>
          <w:rFonts w:ascii="Times New Roman" w:eastAsia="標楷體" w:hAnsi="Times New Roman" w:cs="Times New Roman"/>
          <w:sz w:val="28"/>
          <w:szCs w:val="28"/>
        </w:rPr>
        <w:t>機會與挑戰做評估</w:t>
      </w:r>
      <w:r w:rsidRPr="00C77E77">
        <w:rPr>
          <w:rFonts w:ascii="Times New Roman" w:eastAsia="標楷體" w:hAnsi="Times New Roman" w:cs="Times New Roman"/>
          <w:sz w:val="28"/>
          <w:szCs w:val="28"/>
        </w:rPr>
        <w:t>，</w:t>
      </w:r>
      <w:r w:rsidR="00590E13" w:rsidRPr="00C77E77">
        <w:rPr>
          <w:rFonts w:ascii="Times New Roman" w:eastAsia="標楷體" w:hAnsi="Times New Roman" w:cs="Times New Roman"/>
          <w:sz w:val="28"/>
          <w:szCs w:val="28"/>
        </w:rPr>
        <w:t>分析我產業適合或不適合前往發展之國家，</w:t>
      </w:r>
      <w:r w:rsidRPr="00C77E77">
        <w:rPr>
          <w:rFonts w:ascii="Times New Roman" w:eastAsia="標楷體" w:hAnsi="Times New Roman" w:cs="Times New Roman"/>
          <w:sz w:val="28"/>
          <w:szCs w:val="28"/>
        </w:rPr>
        <w:t>思考未來我國</w:t>
      </w:r>
      <w:r w:rsidR="005B3971" w:rsidRPr="00C77E77">
        <w:rPr>
          <w:rFonts w:ascii="Times New Roman" w:eastAsia="標楷體" w:hAnsi="Times New Roman" w:cs="Times New Roman"/>
          <w:sz w:val="28"/>
          <w:szCs w:val="28"/>
        </w:rPr>
        <w:t>產業前往</w:t>
      </w:r>
      <w:r w:rsidRPr="00C77E77">
        <w:rPr>
          <w:rFonts w:ascii="Times New Roman" w:eastAsia="標楷體" w:hAnsi="Times New Roman" w:cs="Times New Roman"/>
          <w:sz w:val="28"/>
          <w:szCs w:val="28"/>
        </w:rPr>
        <w:t>東南亞及</w:t>
      </w:r>
      <w:r w:rsidR="005B3971" w:rsidRPr="00C77E77">
        <w:rPr>
          <w:rFonts w:ascii="Times New Roman" w:eastAsia="標楷體" w:hAnsi="Times New Roman" w:cs="Times New Roman"/>
          <w:sz w:val="28"/>
          <w:szCs w:val="28"/>
        </w:rPr>
        <w:t>印度進行經貿發展</w:t>
      </w:r>
      <w:r w:rsidR="005D0348" w:rsidRPr="00C77E77">
        <w:rPr>
          <w:rFonts w:ascii="Times New Roman" w:eastAsia="標楷體" w:hAnsi="Times New Roman" w:cs="Times New Roman"/>
          <w:sz w:val="28"/>
          <w:szCs w:val="28"/>
        </w:rPr>
        <w:t>之契機</w:t>
      </w:r>
      <w:r w:rsidRPr="00C77E77">
        <w:rPr>
          <w:rFonts w:ascii="Times New Roman" w:eastAsia="標楷體" w:hAnsi="Times New Roman" w:cs="Times New Roman"/>
          <w:sz w:val="28"/>
          <w:szCs w:val="28"/>
        </w:rPr>
        <w:t>。最後，提出我國未來在</w:t>
      </w:r>
      <w:r w:rsidR="005B3971" w:rsidRPr="00C77E77">
        <w:rPr>
          <w:rFonts w:ascii="Times New Roman" w:eastAsia="標楷體" w:hAnsi="Times New Roman" w:cs="Times New Roman"/>
          <w:sz w:val="28"/>
          <w:szCs w:val="28"/>
        </w:rPr>
        <w:t>新南向政策的方針下，前進</w:t>
      </w:r>
      <w:r w:rsidRPr="00C77E77">
        <w:rPr>
          <w:rFonts w:ascii="Times New Roman" w:eastAsia="標楷體" w:hAnsi="Times New Roman" w:cs="Times New Roman"/>
          <w:sz w:val="28"/>
          <w:szCs w:val="28"/>
        </w:rPr>
        <w:t>東南亞及</w:t>
      </w:r>
      <w:r w:rsidR="005B3971" w:rsidRPr="00C77E77">
        <w:rPr>
          <w:rFonts w:ascii="Times New Roman" w:eastAsia="標楷體" w:hAnsi="Times New Roman" w:cs="Times New Roman"/>
          <w:sz w:val="28"/>
          <w:szCs w:val="28"/>
        </w:rPr>
        <w:t>印度的</w:t>
      </w:r>
      <w:r w:rsidRPr="00C77E77">
        <w:rPr>
          <w:rFonts w:ascii="Times New Roman" w:eastAsia="標楷體" w:hAnsi="Times New Roman" w:cs="Times New Roman"/>
          <w:sz w:val="28"/>
          <w:szCs w:val="28"/>
        </w:rPr>
        <w:t>政策規劃</w:t>
      </w:r>
      <w:r w:rsidR="005B3971" w:rsidRPr="00C77E77">
        <w:rPr>
          <w:rFonts w:ascii="Times New Roman" w:eastAsia="標楷體" w:hAnsi="Times New Roman" w:cs="Times New Roman"/>
          <w:sz w:val="28"/>
          <w:szCs w:val="28"/>
        </w:rPr>
        <w:t>及產業發展</w:t>
      </w:r>
      <w:r w:rsidRPr="00C77E77">
        <w:rPr>
          <w:rFonts w:ascii="Times New Roman" w:eastAsia="標楷體" w:hAnsi="Times New Roman" w:cs="Times New Roman"/>
          <w:sz w:val="28"/>
          <w:szCs w:val="28"/>
        </w:rPr>
        <w:t>建議。</w:t>
      </w:r>
    </w:p>
    <w:p w:rsidR="007E53EE" w:rsidRPr="00C77E77" w:rsidRDefault="00A57AB9" w:rsidP="008218C6">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具體的研究架構</w:t>
      </w:r>
      <w:r w:rsidR="007E53EE" w:rsidRPr="00C77E77">
        <w:rPr>
          <w:rFonts w:ascii="Times New Roman" w:eastAsia="標楷體" w:hAnsi="Times New Roman" w:cs="Times New Roman"/>
          <w:sz w:val="28"/>
          <w:szCs w:val="28"/>
        </w:rPr>
        <w:t>如下：</w:t>
      </w:r>
    </w:p>
    <w:p w:rsidR="007E53EE" w:rsidRPr="00C77E77" w:rsidRDefault="007E53EE" w:rsidP="007E53EE">
      <w:pPr>
        <w:widowControl/>
        <w:rPr>
          <w:rFonts w:ascii="Times New Roman" w:eastAsia="標楷體" w:hAnsi="Times New Roman" w:cs="Times New Roman"/>
          <w:sz w:val="26"/>
          <w:szCs w:val="26"/>
        </w:rPr>
      </w:pPr>
      <w:r w:rsidRPr="00C77E77">
        <w:rPr>
          <w:rFonts w:ascii="Times New Roman" w:eastAsia="標楷體" w:hAnsi="Times New Roman" w:cs="Times New Roman"/>
          <w:sz w:val="26"/>
          <w:szCs w:val="26"/>
        </w:rPr>
        <w:br w:type="page"/>
      </w:r>
    </w:p>
    <w:p w:rsidR="007E53EE" w:rsidRPr="00C77E77" w:rsidRDefault="007E53EE" w:rsidP="00D718CC">
      <w:pPr>
        <w:pStyle w:val="ab"/>
        <w:numPr>
          <w:ilvl w:val="0"/>
          <w:numId w:val="2"/>
        </w:numPr>
        <w:spacing w:beforeLines="50" w:before="180" w:afterLines="50" w:after="180" w:line="360" w:lineRule="auto"/>
        <w:ind w:leftChars="100" w:left="1005"/>
        <w:jc w:val="both"/>
        <w:rPr>
          <w:rFonts w:ascii="Times New Roman" w:eastAsia="標楷體" w:hAnsi="Times New Roman" w:cs="Times New Roman"/>
          <w:b/>
          <w:sz w:val="26"/>
          <w:szCs w:val="26"/>
        </w:rPr>
      </w:pPr>
      <w:r w:rsidRPr="00C77E77">
        <w:rPr>
          <w:rFonts w:ascii="Times New Roman" w:eastAsia="標楷體" w:hAnsi="Times New Roman" w:cs="Times New Roman"/>
          <w:b/>
          <w:noProof/>
          <w:sz w:val="32"/>
        </w:rPr>
        <w:lastRenderedPageBreak/>
        <mc:AlternateContent>
          <mc:Choice Requires="wpg">
            <w:drawing>
              <wp:anchor distT="0" distB="0" distL="114300" distR="114300" simplePos="0" relativeHeight="251659776" behindDoc="0" locked="0" layoutInCell="1" allowOverlap="1" wp14:anchorId="729DFDA7" wp14:editId="3218DE1D">
                <wp:simplePos x="0" y="0"/>
                <wp:positionH relativeFrom="margin">
                  <wp:align>center</wp:align>
                </wp:positionH>
                <wp:positionV relativeFrom="paragraph">
                  <wp:posOffset>457200</wp:posOffset>
                </wp:positionV>
                <wp:extent cx="6507126" cy="7665721"/>
                <wp:effectExtent l="0" t="0" r="27305" b="11430"/>
                <wp:wrapNone/>
                <wp:docPr id="21" name="群組 21"/>
                <wp:cNvGraphicFramePr/>
                <a:graphic xmlns:a="http://schemas.openxmlformats.org/drawingml/2006/main">
                  <a:graphicData uri="http://schemas.microsoft.com/office/word/2010/wordprocessingGroup">
                    <wpg:wgp>
                      <wpg:cNvGrpSpPr/>
                      <wpg:grpSpPr>
                        <a:xfrm>
                          <a:off x="0" y="0"/>
                          <a:ext cx="6507126" cy="7665721"/>
                          <a:chOff x="59401" y="152415"/>
                          <a:chExt cx="6293723" cy="4237638"/>
                        </a:xfrm>
                      </wpg:grpSpPr>
                      <wps:wsp>
                        <wps:cNvPr id="22" name="文字方塊 2"/>
                        <wps:cNvSpPr txBox="1">
                          <a:spLocks noChangeArrowheads="1"/>
                        </wps:cNvSpPr>
                        <wps:spPr bwMode="auto">
                          <a:xfrm>
                            <a:off x="59401" y="1418964"/>
                            <a:ext cx="1532295" cy="1662323"/>
                          </a:xfrm>
                          <a:prstGeom prst="rect">
                            <a:avLst/>
                          </a:prstGeom>
                          <a:solidFill>
                            <a:srgbClr val="FFFFFF"/>
                          </a:solidFill>
                          <a:ln w="9525">
                            <a:solidFill>
                              <a:srgbClr val="000000"/>
                            </a:solidFill>
                            <a:miter lim="800000"/>
                            <a:headEnd/>
                            <a:tailEnd/>
                          </a:ln>
                        </wps:spPr>
                        <wps:txbx>
                          <w:txbxContent>
                            <w:p w:rsidR="00441968" w:rsidRPr="004D1389" w:rsidRDefault="00441968" w:rsidP="00F37ECE">
                              <w:pPr>
                                <w:rPr>
                                  <w:rFonts w:ascii="標楷體" w:eastAsia="標楷體" w:hAnsi="標楷體"/>
                                  <w:sz w:val="28"/>
                                  <w:u w:val="single"/>
                                </w:rPr>
                              </w:pPr>
                              <w:r w:rsidRPr="004D1389">
                                <w:rPr>
                                  <w:rFonts w:ascii="標楷體" w:eastAsia="標楷體" w:hAnsi="標楷體" w:hint="eastAsia"/>
                                  <w:sz w:val="28"/>
                                  <w:u w:val="single"/>
                                </w:rPr>
                                <w:t>文獻分析：</w:t>
                              </w:r>
                            </w:p>
                            <w:p w:rsidR="00441968" w:rsidRPr="004D1389" w:rsidRDefault="00441968" w:rsidP="00F37ECE">
                              <w:pPr>
                                <w:jc w:val="both"/>
                                <w:rPr>
                                  <w:rFonts w:ascii="標楷體" w:eastAsia="標楷體" w:hAnsi="標楷體"/>
                                  <w:sz w:val="28"/>
                                </w:rPr>
                              </w:pPr>
                              <w:r w:rsidRPr="004D1389">
                                <w:rPr>
                                  <w:rFonts w:ascii="標楷體" w:eastAsia="標楷體" w:hAnsi="標楷體" w:hint="eastAsia"/>
                                  <w:sz w:val="28"/>
                                </w:rPr>
                                <w:t>研究東南亞各國及</w:t>
                              </w:r>
                              <w:r>
                                <w:rPr>
                                  <w:rFonts w:ascii="標楷體" w:eastAsia="標楷體" w:hAnsi="標楷體" w:hint="eastAsia"/>
                                  <w:sz w:val="28"/>
                                </w:rPr>
                                <w:t>印度</w:t>
                              </w:r>
                              <w:r w:rsidRPr="004D1389">
                                <w:rPr>
                                  <w:rFonts w:ascii="標楷體" w:eastAsia="標楷體" w:hAnsi="標楷體" w:hint="eastAsia"/>
                                  <w:sz w:val="28"/>
                                </w:rPr>
                                <w:t>之產業競合現況與經貿發展策略，以及與各主要國家之合作關係</w:t>
                              </w:r>
                            </w:p>
                          </w:txbxContent>
                        </wps:txbx>
                        <wps:bodyPr rot="0" vert="horz" wrap="square" lIns="91440" tIns="45720" rIns="91440" bIns="45720" anchor="t" anchorCtr="0">
                          <a:noAutofit/>
                        </wps:bodyPr>
                      </wps:wsp>
                      <wps:wsp>
                        <wps:cNvPr id="23" name="文字方塊 2"/>
                        <wps:cNvSpPr txBox="1">
                          <a:spLocks noChangeArrowheads="1"/>
                        </wps:cNvSpPr>
                        <wps:spPr bwMode="auto">
                          <a:xfrm>
                            <a:off x="4801824" y="1418861"/>
                            <a:ext cx="1551300" cy="1685604"/>
                          </a:xfrm>
                          <a:prstGeom prst="rect">
                            <a:avLst/>
                          </a:prstGeom>
                          <a:solidFill>
                            <a:srgbClr val="FFFFFF"/>
                          </a:solidFill>
                          <a:ln w="9525">
                            <a:solidFill>
                              <a:srgbClr val="000000"/>
                            </a:solidFill>
                            <a:miter lim="800000"/>
                            <a:headEnd/>
                            <a:tailEnd/>
                          </a:ln>
                        </wps:spPr>
                        <wps:txbx>
                          <w:txbxContent>
                            <w:p w:rsidR="00441968" w:rsidRPr="004D1389" w:rsidRDefault="00441968" w:rsidP="00F37ECE">
                              <w:pPr>
                                <w:rPr>
                                  <w:rFonts w:ascii="標楷體" w:eastAsia="標楷體" w:hAnsi="標楷體"/>
                                  <w:sz w:val="28"/>
                                  <w:u w:val="single"/>
                                </w:rPr>
                              </w:pPr>
                              <w:r w:rsidRPr="004D1389">
                                <w:rPr>
                                  <w:rFonts w:ascii="標楷體" w:eastAsia="標楷體" w:hAnsi="標楷體" w:hint="eastAsia"/>
                                  <w:sz w:val="28"/>
                                  <w:u w:val="single"/>
                                </w:rPr>
                                <w:t>量化資料：</w:t>
                              </w:r>
                            </w:p>
                            <w:p w:rsidR="00441968" w:rsidRPr="004D1389" w:rsidRDefault="00441968" w:rsidP="00F37ECE">
                              <w:pPr>
                                <w:jc w:val="both"/>
                                <w:rPr>
                                  <w:rFonts w:ascii="標楷體" w:eastAsia="標楷體" w:hAnsi="標楷體"/>
                                  <w:sz w:val="28"/>
                                </w:rPr>
                              </w:pPr>
                              <w:r w:rsidRPr="004D1389">
                                <w:rPr>
                                  <w:rFonts w:ascii="標楷體" w:eastAsia="標楷體" w:hAnsi="標楷體" w:hint="eastAsia"/>
                                  <w:sz w:val="28"/>
                                </w:rPr>
                                <w:t>配合</w:t>
                              </w:r>
                              <w:r>
                                <w:rPr>
                                  <w:rFonts w:ascii="標楷體" w:eastAsia="標楷體" w:hAnsi="標楷體" w:hint="eastAsia"/>
                                  <w:sz w:val="28"/>
                                </w:rPr>
                                <w:t>我國</w:t>
                              </w:r>
                              <w:r>
                                <w:rPr>
                                  <w:rFonts w:ascii="標楷體" w:eastAsia="標楷體" w:hAnsi="標楷體"/>
                                  <w:sz w:val="28"/>
                                </w:rPr>
                                <w:t>十大系統及電子商務、新農業產業</w:t>
                              </w:r>
                              <w:r>
                                <w:rPr>
                                  <w:rFonts w:ascii="標楷體" w:eastAsia="標楷體" w:hAnsi="標楷體" w:hint="eastAsia"/>
                                  <w:sz w:val="28"/>
                                </w:rPr>
                                <w:t>之</w:t>
                              </w:r>
                              <w:r>
                                <w:rPr>
                                  <w:rFonts w:ascii="標楷體" w:eastAsia="標楷體" w:hAnsi="標楷體"/>
                                  <w:sz w:val="28"/>
                                </w:rPr>
                                <w:t>產值數據，評估前往東南亞發展契機</w:t>
                              </w:r>
                            </w:p>
                          </w:txbxContent>
                        </wps:txbx>
                        <wps:bodyPr rot="0" vert="horz" wrap="square" lIns="91440" tIns="45720" rIns="91440" bIns="45720" anchor="t" anchorCtr="0">
                          <a:noAutofit/>
                        </wps:bodyPr>
                      </wps:wsp>
                      <wps:wsp>
                        <wps:cNvPr id="24" name="文字方塊 24"/>
                        <wps:cNvSpPr txBox="1">
                          <a:spLocks noChangeArrowheads="1"/>
                        </wps:cNvSpPr>
                        <wps:spPr bwMode="auto">
                          <a:xfrm>
                            <a:off x="2456039" y="1530305"/>
                            <a:ext cx="1466998" cy="1345638"/>
                          </a:xfrm>
                          <a:prstGeom prst="rect">
                            <a:avLst/>
                          </a:prstGeom>
                          <a:solidFill>
                            <a:srgbClr val="FFFFFF"/>
                          </a:solidFill>
                          <a:ln w="9525">
                            <a:solidFill>
                              <a:srgbClr val="000000"/>
                            </a:solidFill>
                            <a:miter lim="800000"/>
                            <a:headEnd/>
                            <a:tailEnd/>
                          </a:ln>
                        </wps:spPr>
                        <wps:txbx>
                          <w:txbxContent>
                            <w:p w:rsidR="00441968" w:rsidRPr="004D1389" w:rsidRDefault="00441968" w:rsidP="00F37ECE">
                              <w:pPr>
                                <w:rPr>
                                  <w:rFonts w:ascii="標楷體" w:eastAsia="標楷體" w:hAnsi="標楷體"/>
                                  <w:sz w:val="28"/>
                                  <w:u w:val="single"/>
                                </w:rPr>
                              </w:pPr>
                              <w:r w:rsidRPr="004D1389">
                                <w:rPr>
                                  <w:rFonts w:ascii="標楷體" w:eastAsia="標楷體" w:hAnsi="標楷體" w:hint="eastAsia"/>
                                  <w:sz w:val="28"/>
                                  <w:u w:val="single"/>
                                </w:rPr>
                                <w:t>策略研擬：</w:t>
                              </w:r>
                            </w:p>
                            <w:p w:rsidR="00441968" w:rsidRPr="004D1389" w:rsidRDefault="00441968" w:rsidP="00F37ECE">
                              <w:pPr>
                                <w:jc w:val="both"/>
                                <w:rPr>
                                  <w:rFonts w:ascii="標楷體" w:eastAsia="標楷體" w:hAnsi="標楷體"/>
                                  <w:sz w:val="28"/>
                                </w:rPr>
                              </w:pPr>
                              <w:r w:rsidRPr="004D1389">
                                <w:rPr>
                                  <w:rFonts w:ascii="標楷體" w:eastAsia="標楷體" w:hAnsi="標楷體" w:hint="eastAsia"/>
                                  <w:sz w:val="28"/>
                                </w:rPr>
                                <w:t>思考我國新南向政策的區域經貿戰略佈局</w:t>
                              </w:r>
                            </w:p>
                          </w:txbxContent>
                        </wps:txbx>
                        <wps:bodyPr rot="0" vert="horz" wrap="square" lIns="91440" tIns="45720" rIns="91440" bIns="45720" anchor="t" anchorCtr="0">
                          <a:noAutofit/>
                        </wps:bodyPr>
                      </wps:wsp>
                      <wps:wsp>
                        <wps:cNvPr id="25" name="文字方塊 25"/>
                        <wps:cNvSpPr txBox="1">
                          <a:spLocks noChangeArrowheads="1"/>
                        </wps:cNvSpPr>
                        <wps:spPr bwMode="auto">
                          <a:xfrm>
                            <a:off x="981086" y="152415"/>
                            <a:ext cx="4364986" cy="963392"/>
                          </a:xfrm>
                          <a:prstGeom prst="rect">
                            <a:avLst/>
                          </a:prstGeom>
                          <a:solidFill>
                            <a:srgbClr val="FFFFFF"/>
                          </a:solidFill>
                          <a:ln w="9525">
                            <a:solidFill>
                              <a:srgbClr val="000000"/>
                            </a:solidFill>
                            <a:miter lim="800000"/>
                            <a:headEnd/>
                            <a:tailEnd/>
                          </a:ln>
                        </wps:spPr>
                        <wps:txbx>
                          <w:txbxContent>
                            <w:p w:rsidR="00441968" w:rsidRPr="004D1389" w:rsidRDefault="00441968" w:rsidP="00F37ECE">
                              <w:pPr>
                                <w:rPr>
                                  <w:rFonts w:ascii="標楷體" w:eastAsia="標楷體" w:hAnsi="標楷體"/>
                                  <w:sz w:val="28"/>
                                  <w:szCs w:val="26"/>
                                  <w:u w:val="single"/>
                                </w:rPr>
                              </w:pPr>
                              <w:r w:rsidRPr="004D1389">
                                <w:rPr>
                                  <w:rFonts w:ascii="標楷體" w:eastAsia="標楷體" w:hAnsi="標楷體" w:hint="eastAsia"/>
                                  <w:sz w:val="28"/>
                                  <w:szCs w:val="26"/>
                                  <w:u w:val="single"/>
                                </w:rPr>
                                <w:t>國際經貿背景：</w:t>
                              </w:r>
                            </w:p>
                            <w:p w:rsidR="00441968" w:rsidRPr="004D1389" w:rsidRDefault="00441968" w:rsidP="00956A38">
                              <w:pPr>
                                <w:rPr>
                                  <w:rFonts w:ascii="標楷體" w:eastAsia="標楷體" w:hAnsi="標楷體"/>
                                  <w:sz w:val="28"/>
                                  <w:szCs w:val="26"/>
                                </w:rPr>
                              </w:pPr>
                              <w:r>
                                <w:rPr>
                                  <w:rFonts w:ascii="標楷體" w:eastAsia="標楷體" w:hAnsi="標楷體" w:hint="eastAsia"/>
                                  <w:sz w:val="28"/>
                                  <w:szCs w:val="26"/>
                                </w:rPr>
                                <w:t>回顧我國過去南向政策內容與成效，並說明我國與東南亞國家與印度之雙向貿易和投資現況。</w:t>
                              </w:r>
                            </w:p>
                          </w:txbxContent>
                        </wps:txbx>
                        <wps:bodyPr rot="0" vert="horz" wrap="square" lIns="91440" tIns="45720" rIns="91440" bIns="45720" anchor="t" anchorCtr="0">
                          <a:noAutofit/>
                        </wps:bodyPr>
                      </wps:wsp>
                      <wps:wsp>
                        <wps:cNvPr id="26" name="文字方塊 26"/>
                        <wps:cNvSpPr txBox="1">
                          <a:spLocks noChangeArrowheads="1"/>
                        </wps:cNvSpPr>
                        <wps:spPr bwMode="auto">
                          <a:xfrm>
                            <a:off x="1382203" y="3349893"/>
                            <a:ext cx="3436138" cy="1040160"/>
                          </a:xfrm>
                          <a:prstGeom prst="rect">
                            <a:avLst/>
                          </a:prstGeom>
                          <a:solidFill>
                            <a:srgbClr val="FFFFFF"/>
                          </a:solidFill>
                          <a:ln w="9525">
                            <a:solidFill>
                              <a:srgbClr val="000000"/>
                            </a:solidFill>
                            <a:miter lim="800000"/>
                            <a:headEnd/>
                            <a:tailEnd/>
                          </a:ln>
                        </wps:spPr>
                        <wps:txbx>
                          <w:txbxContent>
                            <w:p w:rsidR="00441968" w:rsidRPr="004D1389" w:rsidRDefault="00441968" w:rsidP="00F37ECE">
                              <w:pPr>
                                <w:rPr>
                                  <w:rFonts w:ascii="標楷體" w:eastAsia="標楷體" w:hAnsi="標楷體"/>
                                  <w:sz w:val="28"/>
                                  <w:u w:val="single"/>
                                </w:rPr>
                              </w:pPr>
                              <w:r w:rsidRPr="004D1389">
                                <w:rPr>
                                  <w:rFonts w:ascii="標楷體" w:eastAsia="標楷體" w:hAnsi="標楷體" w:hint="eastAsia"/>
                                  <w:sz w:val="28"/>
                                  <w:u w:val="single"/>
                                </w:rPr>
                                <w:t>政策建議：</w:t>
                              </w:r>
                            </w:p>
                            <w:p w:rsidR="00441968" w:rsidRPr="004D1389" w:rsidRDefault="00441968" w:rsidP="00F37ECE">
                              <w:pPr>
                                <w:jc w:val="both"/>
                                <w:rPr>
                                  <w:rFonts w:ascii="標楷體" w:eastAsia="標楷體" w:hAnsi="標楷體"/>
                                  <w:sz w:val="28"/>
                                </w:rPr>
                              </w:pPr>
                              <w:r w:rsidRPr="004D1389">
                                <w:rPr>
                                  <w:rFonts w:ascii="標楷體" w:eastAsia="標楷體" w:hAnsi="標楷體" w:hint="eastAsia"/>
                                  <w:sz w:val="28"/>
                                </w:rPr>
                                <w:t>提出我國</w:t>
                              </w:r>
                              <w:r>
                                <w:rPr>
                                  <w:rFonts w:ascii="標楷體" w:eastAsia="標楷體" w:hAnsi="標楷體" w:hint="eastAsia"/>
                                  <w:sz w:val="28"/>
                                </w:rPr>
                                <w:t>新南向政策配合十大系統及電子商務、新農業產業輸出計畫，</w:t>
                              </w:r>
                              <w:r>
                                <w:rPr>
                                  <w:rFonts w:ascii="標楷體" w:eastAsia="標楷體" w:hAnsi="標楷體"/>
                                  <w:sz w:val="28"/>
                                </w:rPr>
                                <w:t>前往東南亞國家及印度之政策規劃建議</w:t>
                              </w:r>
                            </w:p>
                          </w:txbxContent>
                        </wps:txbx>
                        <wps:bodyPr rot="0" vert="horz" wrap="square" lIns="91440" tIns="45720" rIns="91440" bIns="45720" anchor="t" anchorCtr="0">
                          <a:noAutofit/>
                        </wps:bodyPr>
                      </wps:wsp>
                      <wps:wsp>
                        <wps:cNvPr id="28" name="向下箭號 28"/>
                        <wps:cNvSpPr/>
                        <wps:spPr>
                          <a:xfrm>
                            <a:off x="2879253" y="2966578"/>
                            <a:ext cx="485775" cy="324484"/>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向下箭號 29"/>
                        <wps:cNvSpPr/>
                        <wps:spPr>
                          <a:xfrm rot="16200000">
                            <a:off x="1846034" y="2138470"/>
                            <a:ext cx="367582" cy="495299"/>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向下箭號 30"/>
                        <wps:cNvSpPr/>
                        <wps:spPr>
                          <a:xfrm rot="5400000">
                            <a:off x="4245330" y="2138468"/>
                            <a:ext cx="367580" cy="495300"/>
                          </a:xfrm>
                          <a:prstGeom prst="downArrow">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9DFDA7" id="群組 21" o:spid="_x0000_s1026" style="position:absolute;left:0;text-align:left;margin-left:0;margin-top:36pt;width:512.35pt;height:603.6pt;z-index:251659776;mso-position-horizontal:center;mso-position-horizontal-relative:margin;mso-width-relative:margin;mso-height-relative:margin" coordorigin="594,1524" coordsize="62937,4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">
                <v:shapetype id="_x0000_t202" coordsize="21600,21600" o:spt="202" path="m,l,21600r21600,l21600,xe">
                  <v:stroke joinstyle="miter"/>
                  <v:path gradientshapeok="t" o:connecttype="rect"/>
                </v:shapetype>
                <v:shape id="文字方塊 2" o:spid="_x0000_s1027" type="#_x0000_t202" style="position:absolute;left:594;top:14189;width:15322;height:16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">
                  <v:textbox>
                    <w:txbxContent>
                      <w:p w:rsidR="00441968" w:rsidRPr="004D1389" w:rsidRDefault="00441968" w:rsidP="00F37ECE">
                        <w:pPr>
                          <w:rPr>
                            <w:rFonts w:ascii="標楷體" w:eastAsia="標楷體" w:hAnsi="標楷體"/>
                            <w:sz w:val="28"/>
                            <w:u w:val="single"/>
                          </w:rPr>
                        </w:pPr>
                        <w:r w:rsidRPr="004D1389">
                          <w:rPr>
                            <w:rFonts w:ascii="標楷體" w:eastAsia="標楷體" w:hAnsi="標楷體" w:hint="eastAsia"/>
                            <w:sz w:val="28"/>
                            <w:u w:val="single"/>
                          </w:rPr>
                          <w:t>文獻分析：</w:t>
                        </w:r>
                      </w:p>
                      <w:p w:rsidR="00441968" w:rsidRPr="004D1389" w:rsidRDefault="00441968" w:rsidP="00F37ECE">
                        <w:pPr>
                          <w:jc w:val="both"/>
                          <w:rPr>
                            <w:rFonts w:ascii="標楷體" w:eastAsia="標楷體" w:hAnsi="標楷體"/>
                            <w:sz w:val="28"/>
                          </w:rPr>
                        </w:pPr>
                        <w:r w:rsidRPr="004D1389">
                          <w:rPr>
                            <w:rFonts w:ascii="標楷體" w:eastAsia="標楷體" w:hAnsi="標楷體" w:hint="eastAsia"/>
                            <w:sz w:val="28"/>
                          </w:rPr>
                          <w:t>研究東南亞各國及</w:t>
                        </w:r>
                        <w:r>
                          <w:rPr>
                            <w:rFonts w:ascii="標楷體" w:eastAsia="標楷體" w:hAnsi="標楷體" w:hint="eastAsia"/>
                            <w:sz w:val="28"/>
                          </w:rPr>
                          <w:t>印度</w:t>
                        </w:r>
                        <w:r w:rsidRPr="004D1389">
                          <w:rPr>
                            <w:rFonts w:ascii="標楷體" w:eastAsia="標楷體" w:hAnsi="標楷體" w:hint="eastAsia"/>
                            <w:sz w:val="28"/>
                          </w:rPr>
                          <w:t>之產業競合現況與經貿發展策略，以及與各主要國家之合作關係</w:t>
                        </w:r>
                      </w:p>
                    </w:txbxContent>
                  </v:textbox>
                </v:shape>
                <v:shape id="文字方塊 2" o:spid="_x0000_s1028" type="#_x0000_t202" style="position:absolute;left:48018;top:14188;width:15513;height:16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gc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">
                  <v:textbox>
                    <w:txbxContent>
                      <w:p w:rsidR="00441968" w:rsidRPr="004D1389" w:rsidRDefault="00441968" w:rsidP="00F37ECE">
                        <w:pPr>
                          <w:rPr>
                            <w:rFonts w:ascii="標楷體" w:eastAsia="標楷體" w:hAnsi="標楷體"/>
                            <w:sz w:val="28"/>
                            <w:u w:val="single"/>
                          </w:rPr>
                        </w:pPr>
                        <w:r w:rsidRPr="004D1389">
                          <w:rPr>
                            <w:rFonts w:ascii="標楷體" w:eastAsia="標楷體" w:hAnsi="標楷體" w:hint="eastAsia"/>
                            <w:sz w:val="28"/>
                            <w:u w:val="single"/>
                          </w:rPr>
                          <w:t>量化資料：</w:t>
                        </w:r>
                      </w:p>
                      <w:p w:rsidR="00441968" w:rsidRPr="004D1389" w:rsidRDefault="00441968" w:rsidP="00F37ECE">
                        <w:pPr>
                          <w:jc w:val="both"/>
                          <w:rPr>
                            <w:rFonts w:ascii="標楷體" w:eastAsia="標楷體" w:hAnsi="標楷體"/>
                            <w:sz w:val="28"/>
                          </w:rPr>
                        </w:pPr>
                        <w:r w:rsidRPr="004D1389">
                          <w:rPr>
                            <w:rFonts w:ascii="標楷體" w:eastAsia="標楷體" w:hAnsi="標楷體" w:hint="eastAsia"/>
                            <w:sz w:val="28"/>
                          </w:rPr>
                          <w:t>配合</w:t>
                        </w:r>
                        <w:r>
                          <w:rPr>
                            <w:rFonts w:ascii="標楷體" w:eastAsia="標楷體" w:hAnsi="標楷體" w:hint="eastAsia"/>
                            <w:sz w:val="28"/>
                          </w:rPr>
                          <w:t>我國</w:t>
                        </w:r>
                        <w:r>
                          <w:rPr>
                            <w:rFonts w:ascii="標楷體" w:eastAsia="標楷體" w:hAnsi="標楷體"/>
                            <w:sz w:val="28"/>
                          </w:rPr>
                          <w:t>十大系統及電子商務、新農業產業</w:t>
                        </w:r>
                        <w:r>
                          <w:rPr>
                            <w:rFonts w:ascii="標楷體" w:eastAsia="標楷體" w:hAnsi="標楷體" w:hint="eastAsia"/>
                            <w:sz w:val="28"/>
                          </w:rPr>
                          <w:t>之</w:t>
                        </w:r>
                        <w:r>
                          <w:rPr>
                            <w:rFonts w:ascii="標楷體" w:eastAsia="標楷體" w:hAnsi="標楷體"/>
                            <w:sz w:val="28"/>
                          </w:rPr>
                          <w:t>產值數據，評估前往東南亞發展契機</w:t>
                        </w:r>
                      </w:p>
                    </w:txbxContent>
                  </v:textbox>
                </v:shape>
                <v:shape id="文字方塊 24" o:spid="_x0000_s1029" type="#_x0000_t202" style="position:absolute;left:24560;top:15303;width:14670;height:1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">
                  <v:textbox>
                    <w:txbxContent>
                      <w:p w:rsidR="00441968" w:rsidRPr="004D1389" w:rsidRDefault="00441968" w:rsidP="00F37ECE">
                        <w:pPr>
                          <w:rPr>
                            <w:rFonts w:ascii="標楷體" w:eastAsia="標楷體" w:hAnsi="標楷體"/>
                            <w:sz w:val="28"/>
                            <w:u w:val="single"/>
                          </w:rPr>
                        </w:pPr>
                        <w:r w:rsidRPr="004D1389">
                          <w:rPr>
                            <w:rFonts w:ascii="標楷體" w:eastAsia="標楷體" w:hAnsi="標楷體" w:hint="eastAsia"/>
                            <w:sz w:val="28"/>
                            <w:u w:val="single"/>
                          </w:rPr>
                          <w:t>策略研擬：</w:t>
                        </w:r>
                      </w:p>
                      <w:p w:rsidR="00441968" w:rsidRPr="004D1389" w:rsidRDefault="00441968" w:rsidP="00F37ECE">
                        <w:pPr>
                          <w:jc w:val="both"/>
                          <w:rPr>
                            <w:rFonts w:ascii="標楷體" w:eastAsia="標楷體" w:hAnsi="標楷體"/>
                            <w:sz w:val="28"/>
                          </w:rPr>
                        </w:pPr>
                        <w:r w:rsidRPr="004D1389">
                          <w:rPr>
                            <w:rFonts w:ascii="標楷體" w:eastAsia="標楷體" w:hAnsi="標楷體" w:hint="eastAsia"/>
                            <w:sz w:val="28"/>
                          </w:rPr>
                          <w:t>思考我國新南向政策的區域經貿戰略佈局</w:t>
                        </w:r>
                      </w:p>
                    </w:txbxContent>
                  </v:textbox>
                </v:shape>
                <v:shape id="文字方塊 25" o:spid="_x0000_s1030" type="#_x0000_t202" style="position:absolute;left:9810;top:1524;width:4365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rsidR="00441968" w:rsidRPr="004D1389" w:rsidRDefault="00441968" w:rsidP="00F37ECE">
                        <w:pPr>
                          <w:rPr>
                            <w:rFonts w:ascii="標楷體" w:eastAsia="標楷體" w:hAnsi="標楷體"/>
                            <w:sz w:val="28"/>
                            <w:szCs w:val="26"/>
                            <w:u w:val="single"/>
                          </w:rPr>
                        </w:pPr>
                        <w:r w:rsidRPr="004D1389">
                          <w:rPr>
                            <w:rFonts w:ascii="標楷體" w:eastAsia="標楷體" w:hAnsi="標楷體" w:hint="eastAsia"/>
                            <w:sz w:val="28"/>
                            <w:szCs w:val="26"/>
                            <w:u w:val="single"/>
                          </w:rPr>
                          <w:t>國際經貿背景：</w:t>
                        </w:r>
                      </w:p>
                      <w:p w:rsidR="00441968" w:rsidRPr="004D1389" w:rsidRDefault="00441968" w:rsidP="00956A38">
                        <w:pPr>
                          <w:rPr>
                            <w:rFonts w:ascii="標楷體" w:eastAsia="標楷體" w:hAnsi="標楷體"/>
                            <w:sz w:val="28"/>
                            <w:szCs w:val="26"/>
                          </w:rPr>
                        </w:pPr>
                        <w:r>
                          <w:rPr>
                            <w:rFonts w:ascii="標楷體" w:eastAsia="標楷體" w:hAnsi="標楷體" w:hint="eastAsia"/>
                            <w:sz w:val="28"/>
                            <w:szCs w:val="26"/>
                          </w:rPr>
                          <w:t>回顧我國過去南向政策內容與成效，並說明我國與東南亞國家與印度之雙向貿易和投資現況。</w:t>
                        </w:r>
                      </w:p>
                    </w:txbxContent>
                  </v:textbox>
                </v:shape>
                <v:shape id="文字方塊 26" o:spid="_x0000_s1031" type="#_x0000_t202" style="position:absolute;left:13822;top:33498;width:34361;height:10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">
                  <v:textbox>
                    <w:txbxContent>
                      <w:p w:rsidR="00441968" w:rsidRPr="004D1389" w:rsidRDefault="00441968" w:rsidP="00F37ECE">
                        <w:pPr>
                          <w:rPr>
                            <w:rFonts w:ascii="標楷體" w:eastAsia="標楷體" w:hAnsi="標楷體"/>
                            <w:sz w:val="28"/>
                            <w:u w:val="single"/>
                          </w:rPr>
                        </w:pPr>
                        <w:r w:rsidRPr="004D1389">
                          <w:rPr>
                            <w:rFonts w:ascii="標楷體" w:eastAsia="標楷體" w:hAnsi="標楷體" w:hint="eastAsia"/>
                            <w:sz w:val="28"/>
                            <w:u w:val="single"/>
                          </w:rPr>
                          <w:t>政策建議：</w:t>
                        </w:r>
                      </w:p>
                      <w:p w:rsidR="00441968" w:rsidRPr="004D1389" w:rsidRDefault="00441968" w:rsidP="00F37ECE">
                        <w:pPr>
                          <w:jc w:val="both"/>
                          <w:rPr>
                            <w:rFonts w:ascii="標楷體" w:eastAsia="標楷體" w:hAnsi="標楷體"/>
                            <w:sz w:val="28"/>
                          </w:rPr>
                        </w:pPr>
                        <w:r w:rsidRPr="004D1389">
                          <w:rPr>
                            <w:rFonts w:ascii="標楷體" w:eastAsia="標楷體" w:hAnsi="標楷體" w:hint="eastAsia"/>
                            <w:sz w:val="28"/>
                          </w:rPr>
                          <w:t>提出我國</w:t>
                        </w:r>
                        <w:r>
                          <w:rPr>
                            <w:rFonts w:ascii="標楷體" w:eastAsia="標楷體" w:hAnsi="標楷體" w:hint="eastAsia"/>
                            <w:sz w:val="28"/>
                          </w:rPr>
                          <w:t>新南向政策配合十大系統及電子商務、新農業產業輸出計畫，</w:t>
                        </w:r>
                        <w:r>
                          <w:rPr>
                            <w:rFonts w:ascii="標楷體" w:eastAsia="標楷體" w:hAnsi="標楷體"/>
                            <w:sz w:val="28"/>
                          </w:rPr>
                          <w:t>前往東南亞國家及印度之政策規劃建議</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28" o:spid="_x0000_s1032" type="#_x0000_t67" style="position:absolute;left:28792;top:29665;width:4858;height:3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" adj="10800" fillcolor="window" strokecolor="windowText" strokeweight="2pt"/>
                <v:shape id="向下箭號 29" o:spid="_x0000_s1033" type="#_x0000_t67" style="position:absolute;left:18460;top:21384;width:3676;height:49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" adj="13585" fillcolor="window" strokecolor="windowText" strokeweight="2pt"/>
                <v:shape id="向下箭號 30" o:spid="_x0000_s1034" type="#_x0000_t67" style="position:absolute;left:42453;top:21384;width:3676;height:49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" adj="13585" fillcolor="window" strokecolor="windowText" strokeweight="2pt"/>
                <w10:wrap anchorx="margin"/>
              </v:group>
            </w:pict>
          </mc:Fallback>
        </mc:AlternateContent>
      </w:r>
      <w:r w:rsidRPr="00C77E77">
        <w:rPr>
          <w:rFonts w:ascii="Times New Roman" w:eastAsia="標楷體" w:hAnsi="Times New Roman" w:cs="Times New Roman"/>
          <w:b/>
          <w:sz w:val="26"/>
          <w:szCs w:val="26"/>
        </w:rPr>
        <w:t>研究架構</w:t>
      </w: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center"/>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spacing w:beforeLines="50" w:before="180" w:afterLines="50" w:after="180" w:line="360" w:lineRule="auto"/>
        <w:jc w:val="both"/>
        <w:rPr>
          <w:rFonts w:ascii="Times New Roman" w:eastAsia="標楷體" w:hAnsi="Times New Roman" w:cs="Times New Roman"/>
          <w:sz w:val="26"/>
          <w:szCs w:val="26"/>
        </w:rPr>
      </w:pPr>
    </w:p>
    <w:p w:rsidR="007E53EE" w:rsidRPr="00C77E77" w:rsidRDefault="007E53EE" w:rsidP="007E53EE">
      <w:pPr>
        <w:jc w:val="both"/>
        <w:rPr>
          <w:rFonts w:ascii="Times New Roman" w:eastAsia="標楷體" w:hAnsi="Times New Roman" w:cs="Times New Roman"/>
          <w:sz w:val="26"/>
          <w:szCs w:val="26"/>
        </w:rPr>
      </w:pPr>
    </w:p>
    <w:p w:rsidR="007E53EE" w:rsidRPr="00C77E77" w:rsidRDefault="007E53EE" w:rsidP="007E53EE">
      <w:pPr>
        <w:jc w:val="both"/>
        <w:rPr>
          <w:rFonts w:ascii="Times New Roman" w:eastAsia="標楷體" w:hAnsi="Times New Roman" w:cs="Times New Roman"/>
          <w:sz w:val="26"/>
          <w:szCs w:val="26"/>
        </w:rPr>
      </w:pPr>
    </w:p>
    <w:p w:rsidR="007E53EE" w:rsidRPr="00C77E77" w:rsidRDefault="007E53EE" w:rsidP="007E53EE">
      <w:pPr>
        <w:jc w:val="both"/>
        <w:rPr>
          <w:rFonts w:ascii="Times New Roman" w:eastAsia="標楷體" w:hAnsi="Times New Roman" w:cs="Times New Roman"/>
          <w:sz w:val="26"/>
          <w:szCs w:val="26"/>
        </w:rPr>
      </w:pPr>
    </w:p>
    <w:p w:rsidR="007E53EE" w:rsidRPr="00C77E77" w:rsidRDefault="007E53EE" w:rsidP="007E53EE">
      <w:pPr>
        <w:jc w:val="both"/>
        <w:rPr>
          <w:rFonts w:ascii="Times New Roman" w:eastAsia="標楷體" w:hAnsi="Times New Roman" w:cs="Times New Roman"/>
          <w:sz w:val="26"/>
          <w:szCs w:val="26"/>
        </w:rPr>
      </w:pPr>
    </w:p>
    <w:p w:rsidR="00956A38" w:rsidRPr="00C77E77" w:rsidRDefault="00956A38" w:rsidP="007E53EE">
      <w:pPr>
        <w:pStyle w:val="af7"/>
      </w:pPr>
    </w:p>
    <w:p w:rsidR="00956A38" w:rsidRPr="00C77E77" w:rsidRDefault="00956A38" w:rsidP="00956A38">
      <w:pPr>
        <w:rPr>
          <w:rFonts w:ascii="Times New Roman" w:hAnsi="Times New Roman" w:cs="Times New Roman"/>
        </w:rPr>
      </w:pPr>
    </w:p>
    <w:p w:rsidR="00956A38" w:rsidRPr="00C77E77" w:rsidRDefault="00956A38" w:rsidP="007E53EE">
      <w:pPr>
        <w:pStyle w:val="af7"/>
      </w:pPr>
      <w:bookmarkStart w:id="5" w:name="_Toc470676625"/>
      <w:r w:rsidRPr="00C77E77">
        <w:t>圖</w:t>
      </w:r>
      <w:r w:rsidRPr="00C77E77">
        <w:t xml:space="preserve">1-2-1 </w:t>
      </w:r>
      <w:r w:rsidRPr="00C77E77">
        <w:t>研究架構圖</w:t>
      </w:r>
      <w:bookmarkEnd w:id="5"/>
    </w:p>
    <w:p w:rsidR="007E53EE" w:rsidRPr="00C77E77" w:rsidRDefault="007E53EE" w:rsidP="00D718CC">
      <w:pPr>
        <w:pStyle w:val="ab"/>
        <w:numPr>
          <w:ilvl w:val="0"/>
          <w:numId w:val="2"/>
        </w:numPr>
        <w:spacing w:beforeLines="50" w:before="180" w:afterLines="50" w:after="180" w:line="360" w:lineRule="auto"/>
        <w:ind w:leftChars="100" w:left="1005"/>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lastRenderedPageBreak/>
        <w:t>章節安排</w:t>
      </w:r>
    </w:p>
    <w:p w:rsidR="007E53EE" w:rsidRPr="00C77E77" w:rsidRDefault="007E53EE" w:rsidP="00DD156C">
      <w:pPr>
        <w:spacing w:beforeLines="50" w:before="180"/>
        <w:ind w:leftChars="100" w:left="240" w:firstLine="482"/>
        <w:rPr>
          <w:rFonts w:ascii="Times New Roman" w:eastAsia="標楷體" w:hAnsi="Times New Roman" w:cs="Times New Roman"/>
          <w:sz w:val="28"/>
          <w:szCs w:val="28"/>
        </w:rPr>
      </w:pPr>
      <w:r w:rsidRPr="00C77E77">
        <w:rPr>
          <w:rFonts w:ascii="Times New Roman" w:eastAsia="標楷體" w:hAnsi="Times New Roman" w:cs="Times New Roman"/>
          <w:sz w:val="28"/>
          <w:szCs w:val="28"/>
        </w:rPr>
        <w:t>本計畫之章節安排如下：</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第一章　緒論</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第一節　研究動機與目的</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第二節　研究方法與架構</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第二章　我國與東南亞、印度之雙向經貿概況</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第一節　我國東南亞及印度經貿發展政策之回顧與展望</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第二節　我國與東南亞及印度雙向貿易與投資概況</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第三節　我國產業在東南亞及印度的機會與挑戰</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第三章　我國十大系統輸出及新農業、電子商務產業發展現況</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第一節　我國電子收費、電子化政府、智慧校園產業發展現況</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第二節　我國</w:t>
      </w:r>
      <w:r w:rsidR="000763F5" w:rsidRPr="00C77E77">
        <w:rPr>
          <w:rFonts w:ascii="Times New Roman" w:eastAsia="標楷體" w:hAnsi="Times New Roman" w:cs="Times New Roman"/>
          <w:szCs w:val="24"/>
        </w:rPr>
        <w:t>電子</w:t>
      </w:r>
      <w:r w:rsidR="00D70592" w:rsidRPr="00C77E77">
        <w:rPr>
          <w:rFonts w:ascii="Times New Roman" w:eastAsia="標楷體" w:hAnsi="Times New Roman" w:cs="Times New Roman"/>
          <w:szCs w:val="24"/>
        </w:rPr>
        <w:t>商務、智慧物流、雲端系統產業發展現況</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第三節　我國太陽能、</w:t>
      </w:r>
      <w:r w:rsidR="00D70592" w:rsidRPr="00C77E77">
        <w:rPr>
          <w:rFonts w:ascii="Times New Roman" w:eastAsia="標楷體" w:hAnsi="Times New Roman" w:cs="Times New Roman"/>
          <w:szCs w:val="24"/>
        </w:rPr>
        <w:t>LED</w:t>
      </w:r>
      <w:r w:rsidR="00D70592" w:rsidRPr="00C77E77">
        <w:rPr>
          <w:rFonts w:ascii="Times New Roman" w:eastAsia="標楷體" w:hAnsi="Times New Roman" w:cs="Times New Roman"/>
          <w:szCs w:val="24"/>
        </w:rPr>
        <w:t>照明、綠色運輸產業發展現況</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第四節　我國石化、智慧健康、新農業產業發展現況</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 w:val="22"/>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 xml:space="preserve">第四章　</w:t>
      </w:r>
      <w:r w:rsidR="00D70592" w:rsidRPr="00C77E77">
        <w:rPr>
          <w:rFonts w:ascii="Times New Roman" w:eastAsia="標楷體" w:hAnsi="Times New Roman" w:cs="Times New Roman"/>
          <w:sz w:val="22"/>
        </w:rPr>
        <w:t>我國十大系統輸出及新農業、電子商務產業南向發展之機會與挑戰</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 w:val="23"/>
          <w:szCs w:val="23"/>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 xml:space="preserve">第一節　</w:t>
      </w:r>
      <w:r w:rsidR="00D70592" w:rsidRPr="00C77E77">
        <w:rPr>
          <w:rFonts w:ascii="Times New Roman" w:eastAsia="標楷體" w:hAnsi="Times New Roman" w:cs="Times New Roman"/>
          <w:sz w:val="23"/>
          <w:szCs w:val="23"/>
        </w:rPr>
        <w:t>電子收費、電子化政府、智慧校園產業南向發展之機會與挑戰</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 xml:space="preserve">第二節　</w:t>
      </w:r>
      <w:r w:rsidR="000763F5" w:rsidRPr="00C77E77">
        <w:rPr>
          <w:rFonts w:ascii="Times New Roman" w:eastAsia="標楷體" w:hAnsi="Times New Roman" w:cs="Times New Roman"/>
          <w:szCs w:val="24"/>
        </w:rPr>
        <w:t>電子</w:t>
      </w:r>
      <w:r w:rsidR="00D70592" w:rsidRPr="00C77E77">
        <w:rPr>
          <w:rFonts w:ascii="Times New Roman" w:eastAsia="標楷體" w:hAnsi="Times New Roman" w:cs="Times New Roman"/>
          <w:szCs w:val="24"/>
        </w:rPr>
        <w:t>商務、智慧物流、雲端系統產業南向發展之機會與挑戰</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第三節　太陽能、</w:t>
      </w:r>
      <w:r w:rsidR="00D70592" w:rsidRPr="00C77E77">
        <w:rPr>
          <w:rFonts w:ascii="Times New Roman" w:eastAsia="標楷體" w:hAnsi="Times New Roman" w:cs="Times New Roman"/>
          <w:szCs w:val="24"/>
        </w:rPr>
        <w:t>LED</w:t>
      </w:r>
      <w:r w:rsidR="00D70592" w:rsidRPr="00C77E77">
        <w:rPr>
          <w:rFonts w:ascii="Times New Roman" w:eastAsia="標楷體" w:hAnsi="Times New Roman" w:cs="Times New Roman"/>
          <w:szCs w:val="24"/>
        </w:rPr>
        <w:t>照明、綠色運輸產業南向發展之機會與挑戰</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第四節　石化、智慧健康、新農業產業南向發展之機會與挑戰</w:t>
      </w:r>
    </w:p>
    <w:p w:rsidR="00D70592" w:rsidRPr="00C77E77" w:rsidRDefault="0080222B" w:rsidP="00DD156C">
      <w:pPr>
        <w:pStyle w:val="ab"/>
        <w:spacing w:beforeLines="50" w:before="180" w:afterLines="50" w:after="180"/>
        <w:ind w:leftChars="0" w:left="765"/>
        <w:rPr>
          <w:rFonts w:ascii="Times New Roman" w:eastAsia="標楷體" w:hAnsi="Times New Roman" w:cs="Times New Roman"/>
          <w:szCs w:val="24"/>
        </w:rPr>
      </w:pPr>
      <w:r w:rsidRPr="00C77E77">
        <w:rPr>
          <w:rFonts w:ascii="Times New Roman" w:eastAsia="標楷體" w:hAnsi="Times New Roman" w:cs="Times New Roman"/>
          <w:szCs w:val="24"/>
        </w:rPr>
        <w:t xml:space="preserve"> </w:t>
      </w:r>
      <w:r w:rsidR="00D70592" w:rsidRPr="00C77E77">
        <w:rPr>
          <w:rFonts w:ascii="Times New Roman" w:eastAsia="標楷體" w:hAnsi="Times New Roman" w:cs="Times New Roman"/>
          <w:szCs w:val="24"/>
        </w:rPr>
        <w:t>第五章　結論</w:t>
      </w:r>
    </w:p>
    <w:p w:rsidR="00E078C6" w:rsidRPr="00C77E77" w:rsidRDefault="00E078C6" w:rsidP="00E078C6">
      <w:pPr>
        <w:pStyle w:val="ab"/>
        <w:spacing w:beforeLines="50" w:before="180" w:afterLines="50" w:after="180"/>
        <w:ind w:leftChars="0" w:left="851"/>
        <w:rPr>
          <w:rFonts w:ascii="Times New Roman" w:eastAsia="標楷體" w:hAnsi="Times New Roman" w:cs="Times New Roman"/>
          <w:szCs w:val="24"/>
        </w:rPr>
      </w:pPr>
      <w:r w:rsidRPr="00C77E77">
        <w:rPr>
          <w:rFonts w:ascii="Times New Roman" w:eastAsia="標楷體" w:hAnsi="Times New Roman" w:cs="Times New Roman"/>
          <w:szCs w:val="24"/>
        </w:rPr>
        <w:t>第一節　「</w:t>
      </w:r>
      <w:r w:rsidRPr="00C77E77">
        <w:rPr>
          <w:rFonts w:ascii="Times New Roman" w:eastAsia="標楷體" w:hAnsi="Times New Roman" w:cs="Times New Roman"/>
          <w:szCs w:val="24"/>
        </w:rPr>
        <w:t>10+2</w:t>
      </w:r>
      <w:r w:rsidRPr="00C77E77">
        <w:rPr>
          <w:rFonts w:ascii="Times New Roman" w:eastAsia="標楷體" w:hAnsi="Times New Roman" w:cs="Times New Roman"/>
          <w:szCs w:val="24"/>
        </w:rPr>
        <w:t>」產業南向發展之整體佈局建議</w:t>
      </w:r>
    </w:p>
    <w:p w:rsidR="00DD156C" w:rsidRPr="00C77E77" w:rsidRDefault="00D70592" w:rsidP="00E078C6">
      <w:pPr>
        <w:pStyle w:val="ab"/>
        <w:spacing w:beforeLines="50" w:before="180" w:afterLines="50" w:after="180"/>
        <w:ind w:leftChars="0" w:left="851"/>
        <w:rPr>
          <w:rFonts w:ascii="Times New Roman" w:eastAsia="標楷體" w:hAnsi="Times New Roman" w:cs="Times New Roman"/>
          <w:szCs w:val="24"/>
        </w:rPr>
      </w:pPr>
      <w:r w:rsidRPr="00C77E77">
        <w:rPr>
          <w:rFonts w:ascii="Times New Roman" w:eastAsia="標楷體" w:hAnsi="Times New Roman" w:cs="Times New Roman"/>
          <w:szCs w:val="24"/>
        </w:rPr>
        <w:t xml:space="preserve">第二節　</w:t>
      </w:r>
      <w:r w:rsidR="00E078C6" w:rsidRPr="00C77E77">
        <w:rPr>
          <w:rFonts w:ascii="Times New Roman" w:eastAsia="標楷體" w:hAnsi="Times New Roman" w:cs="Times New Roman"/>
          <w:szCs w:val="24"/>
        </w:rPr>
        <w:t>「</w:t>
      </w:r>
      <w:r w:rsidR="00E078C6" w:rsidRPr="00C77E77">
        <w:rPr>
          <w:rFonts w:ascii="Times New Roman" w:eastAsia="標楷體" w:hAnsi="Times New Roman" w:cs="Times New Roman"/>
          <w:szCs w:val="24"/>
        </w:rPr>
        <w:t>10+2</w:t>
      </w:r>
      <w:r w:rsidR="00E078C6" w:rsidRPr="00C77E77">
        <w:rPr>
          <w:rFonts w:ascii="Times New Roman" w:eastAsia="標楷體" w:hAnsi="Times New Roman" w:cs="Times New Roman"/>
          <w:szCs w:val="24"/>
        </w:rPr>
        <w:t>」產業南向發展之個別產業建議</w:t>
      </w:r>
    </w:p>
    <w:p w:rsidR="00E078C6" w:rsidRPr="00C77E77" w:rsidRDefault="00E078C6" w:rsidP="00E078C6">
      <w:pPr>
        <w:pStyle w:val="ab"/>
        <w:spacing w:beforeLines="50" w:before="180" w:afterLines="50" w:after="180"/>
        <w:ind w:leftChars="0" w:left="851"/>
        <w:rPr>
          <w:rFonts w:ascii="Times New Roman" w:eastAsia="標楷體" w:hAnsi="Times New Roman" w:cs="Times New Roman"/>
          <w:szCs w:val="24"/>
        </w:rPr>
      </w:pPr>
      <w:r w:rsidRPr="00C77E77">
        <w:rPr>
          <w:rFonts w:ascii="Times New Roman" w:eastAsia="標楷體" w:hAnsi="Times New Roman" w:cs="Times New Roman"/>
          <w:szCs w:val="24"/>
        </w:rPr>
        <w:t>第三節</w:t>
      </w:r>
      <w:r w:rsidRPr="00C77E77">
        <w:rPr>
          <w:rFonts w:ascii="Times New Roman" w:eastAsia="標楷體" w:hAnsi="Times New Roman" w:cs="Times New Roman"/>
          <w:szCs w:val="24"/>
        </w:rPr>
        <w:tab/>
      </w:r>
      <w:r w:rsidRPr="00C77E77">
        <w:rPr>
          <w:rFonts w:ascii="Times New Roman" w:eastAsia="標楷體" w:hAnsi="Times New Roman" w:cs="Times New Roman"/>
          <w:szCs w:val="24"/>
        </w:rPr>
        <w:t>新南向政策之相關建議</w:t>
      </w:r>
    </w:p>
    <w:p w:rsidR="006D2155" w:rsidRPr="00C77E77" w:rsidRDefault="006D2155" w:rsidP="00DD156C">
      <w:pPr>
        <w:spacing w:beforeLines="50" w:before="180" w:afterLines="50" w:after="180"/>
        <w:rPr>
          <w:rFonts w:ascii="Times New Roman" w:eastAsia="標楷體" w:hAnsi="Times New Roman" w:cs="Times New Roman"/>
          <w:szCs w:val="24"/>
        </w:rPr>
      </w:pPr>
    </w:p>
    <w:p w:rsidR="00427C57" w:rsidRPr="00C77E77" w:rsidRDefault="00A57AB9" w:rsidP="00D718CC">
      <w:pPr>
        <w:pStyle w:val="ab"/>
        <w:numPr>
          <w:ilvl w:val="0"/>
          <w:numId w:val="2"/>
        </w:numPr>
        <w:spacing w:beforeLines="50" w:before="180" w:afterLines="50" w:after="180" w:line="360" w:lineRule="auto"/>
        <w:ind w:leftChars="100" w:left="1005"/>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lastRenderedPageBreak/>
        <w:t>研究</w:t>
      </w:r>
      <w:r w:rsidR="00427C57" w:rsidRPr="00C77E77">
        <w:rPr>
          <w:rFonts w:ascii="Times New Roman" w:eastAsia="標楷體" w:hAnsi="Times New Roman" w:cs="Times New Roman"/>
          <w:b/>
          <w:sz w:val="28"/>
          <w:szCs w:val="28"/>
        </w:rPr>
        <w:t>成果</w:t>
      </w:r>
    </w:p>
    <w:p w:rsidR="00427C57" w:rsidRPr="00C77E77" w:rsidRDefault="00026C27" w:rsidP="00026C27">
      <w:pPr>
        <w:pStyle w:val="ab"/>
        <w:numPr>
          <w:ilvl w:val="0"/>
          <w:numId w:val="3"/>
        </w:numPr>
        <w:spacing w:beforeLines="50" w:before="180" w:afterLines="50" w:after="180" w:line="360" w:lineRule="auto"/>
        <w:ind w:leftChars="0" w:left="709"/>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比較「新南向政策」與過去三波南向政策之異同，並探討新南向政策對於我國產業輸出東協國家與印度的可行性。</w:t>
      </w:r>
    </w:p>
    <w:p w:rsidR="00427C57" w:rsidRPr="00C77E77" w:rsidRDefault="00427C57" w:rsidP="00D718CC">
      <w:pPr>
        <w:pStyle w:val="ab"/>
        <w:numPr>
          <w:ilvl w:val="0"/>
          <w:numId w:val="3"/>
        </w:numPr>
        <w:spacing w:beforeLines="50" w:before="180" w:afterLines="50" w:after="180" w:line="360" w:lineRule="auto"/>
        <w:ind w:leftChars="10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分析主要國家與東南亞及南亞的經貿合作關係，尤其側重可能與我國有競爭性質的相關產業發展。</w:t>
      </w:r>
    </w:p>
    <w:p w:rsidR="00427C57" w:rsidRPr="00C77E77" w:rsidRDefault="00997CE7" w:rsidP="00D718CC">
      <w:pPr>
        <w:pStyle w:val="ab"/>
        <w:numPr>
          <w:ilvl w:val="0"/>
          <w:numId w:val="3"/>
        </w:numPr>
        <w:spacing w:beforeLines="50" w:before="180" w:afterLines="50" w:after="180" w:line="360" w:lineRule="auto"/>
        <w:ind w:leftChars="10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探討東南亞及南亞各國經貿發展策略及機會與挑戰，</w:t>
      </w:r>
      <w:r w:rsidR="00427C57" w:rsidRPr="00C77E77">
        <w:rPr>
          <w:rFonts w:ascii="Times New Roman" w:eastAsia="標楷體" w:hAnsi="Times New Roman" w:cs="Times New Roman"/>
          <w:sz w:val="28"/>
          <w:szCs w:val="28"/>
        </w:rPr>
        <w:t>了解我國之潛在商機，並做為我國推動東南亞及南亞經貿關係之參考。</w:t>
      </w:r>
    </w:p>
    <w:p w:rsidR="00427C57" w:rsidRPr="00C77E77" w:rsidRDefault="00427C57" w:rsidP="00D718CC">
      <w:pPr>
        <w:pStyle w:val="ab"/>
        <w:numPr>
          <w:ilvl w:val="0"/>
          <w:numId w:val="3"/>
        </w:numPr>
        <w:spacing w:beforeLines="50" w:before="180" w:afterLines="50" w:after="180" w:line="360" w:lineRule="auto"/>
        <w:ind w:leftChars="10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我國在東南亞及南亞區域發展策略之回顧與展望。</w:t>
      </w:r>
    </w:p>
    <w:p w:rsidR="00427C57" w:rsidRPr="00C77E77" w:rsidRDefault="00427C57" w:rsidP="00D718CC">
      <w:pPr>
        <w:pStyle w:val="ab"/>
        <w:numPr>
          <w:ilvl w:val="0"/>
          <w:numId w:val="3"/>
        </w:numPr>
        <w:spacing w:beforeLines="50" w:before="180" w:afterLines="50" w:after="180" w:line="360" w:lineRule="auto"/>
        <w:ind w:leftChars="10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探索我國新南向政策的東南亞及南亞經貿布局戰略。</w:t>
      </w:r>
    </w:p>
    <w:p w:rsidR="0080222B" w:rsidRPr="00C77E77" w:rsidRDefault="0080222B" w:rsidP="00D718CC">
      <w:pPr>
        <w:pStyle w:val="ab"/>
        <w:numPr>
          <w:ilvl w:val="0"/>
          <w:numId w:val="3"/>
        </w:numPr>
        <w:spacing w:beforeLines="50" w:before="180" w:afterLines="50" w:after="180" w:line="360" w:lineRule="auto"/>
        <w:ind w:leftChars="10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探討我國十大系統</w:t>
      </w:r>
      <w:r w:rsidR="00DD156C" w:rsidRPr="00C77E77">
        <w:rPr>
          <w:rFonts w:ascii="Times New Roman" w:eastAsia="標楷體" w:hAnsi="Times New Roman" w:cs="Times New Roman"/>
          <w:sz w:val="28"/>
          <w:szCs w:val="28"/>
        </w:rPr>
        <w:t>、電子商務及新農業等產業</w:t>
      </w:r>
      <w:r w:rsidRPr="00C77E77">
        <w:rPr>
          <w:rFonts w:ascii="Times New Roman" w:eastAsia="標楷體" w:hAnsi="Times New Roman" w:cs="Times New Roman"/>
          <w:sz w:val="28"/>
          <w:szCs w:val="28"/>
        </w:rPr>
        <w:t>輸出至東南亞及印度之可能性。</w:t>
      </w:r>
    </w:p>
    <w:p w:rsidR="00DD2426" w:rsidRPr="00C77E77" w:rsidRDefault="0080222B">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405ED9" w:rsidRPr="00C77E77" w:rsidRDefault="005B100C" w:rsidP="006D2155">
      <w:pPr>
        <w:pStyle w:val="1"/>
        <w:spacing w:line="500" w:lineRule="exact"/>
        <w:jc w:val="center"/>
        <w:rPr>
          <w:rFonts w:ascii="Times New Roman" w:eastAsia="標楷體" w:hAnsi="Times New Roman" w:cs="Times New Roman"/>
          <w:color w:val="000000" w:themeColor="text1"/>
          <w:spacing w:val="14"/>
          <w:sz w:val="36"/>
          <w:szCs w:val="36"/>
        </w:rPr>
      </w:pPr>
      <w:bookmarkStart w:id="6" w:name="_Toc470676309"/>
      <w:r w:rsidRPr="00C77E77">
        <w:rPr>
          <w:rFonts w:ascii="Times New Roman" w:eastAsia="標楷體" w:hAnsi="Times New Roman" w:cs="Times New Roman"/>
          <w:color w:val="000000" w:themeColor="text1"/>
          <w:spacing w:val="14"/>
          <w:sz w:val="36"/>
          <w:szCs w:val="36"/>
        </w:rPr>
        <w:lastRenderedPageBreak/>
        <w:t>第二章</w:t>
      </w:r>
      <w:r w:rsidRPr="00C77E77">
        <w:rPr>
          <w:rFonts w:ascii="Times New Roman" w:eastAsia="標楷體" w:hAnsi="Times New Roman" w:cs="Times New Roman"/>
          <w:color w:val="000000" w:themeColor="text1"/>
          <w:spacing w:val="14"/>
          <w:sz w:val="36"/>
          <w:szCs w:val="36"/>
        </w:rPr>
        <w:t xml:space="preserve"> </w:t>
      </w:r>
      <w:r w:rsidR="005A24AB" w:rsidRPr="00C77E77">
        <w:rPr>
          <w:rFonts w:ascii="Times New Roman" w:eastAsia="標楷體" w:hAnsi="Times New Roman" w:cs="Times New Roman"/>
          <w:color w:val="000000" w:themeColor="text1"/>
          <w:spacing w:val="14"/>
          <w:sz w:val="36"/>
          <w:szCs w:val="36"/>
        </w:rPr>
        <w:t>我國與東南亞、印度之雙向經貿概況</w:t>
      </w:r>
      <w:bookmarkEnd w:id="6"/>
    </w:p>
    <w:p w:rsidR="00026C27" w:rsidRPr="00C77E77" w:rsidRDefault="00026C27" w:rsidP="00CF6371">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章回顧並比較歷屆政府所推出的四次「南向政策」，檢視過去三次政策失敗的原因，然後呈現新政府推行「新南向政策」之特點與必要性。接著說明我國與東協國家和印度的雙向貿易與投資狀況，然後分析我國產業在該地區發展的機會與挑戰。</w:t>
      </w:r>
    </w:p>
    <w:p w:rsidR="005B100C" w:rsidRPr="00C77E77" w:rsidRDefault="005A24AB" w:rsidP="00764ED7">
      <w:pPr>
        <w:pStyle w:val="ab"/>
        <w:numPr>
          <w:ilvl w:val="0"/>
          <w:numId w:val="5"/>
        </w:numPr>
        <w:spacing w:beforeLines="50" w:before="180" w:afterLines="50" w:after="180" w:line="500" w:lineRule="exact"/>
        <w:ind w:leftChars="0" w:left="1418" w:hanging="1418"/>
        <w:outlineLvl w:val="1"/>
        <w:rPr>
          <w:rFonts w:ascii="Times New Roman" w:eastAsia="標楷體" w:hAnsi="Times New Roman" w:cs="Times New Roman"/>
          <w:b/>
          <w:color w:val="000000" w:themeColor="text1"/>
          <w:spacing w:val="14"/>
          <w:sz w:val="31"/>
          <w:szCs w:val="31"/>
        </w:rPr>
      </w:pPr>
      <w:bookmarkStart w:id="7" w:name="_Toc470676310"/>
      <w:r w:rsidRPr="00C77E77">
        <w:rPr>
          <w:rFonts w:ascii="Times New Roman" w:eastAsia="標楷體" w:hAnsi="Times New Roman" w:cs="Times New Roman"/>
          <w:b/>
          <w:color w:val="000000" w:themeColor="text1"/>
          <w:spacing w:val="14"/>
          <w:sz w:val="31"/>
          <w:szCs w:val="31"/>
        </w:rPr>
        <w:t>我國東南亞及印度經貿發展政策之回顧與展望</w:t>
      </w:r>
      <w:bookmarkEnd w:id="7"/>
    </w:p>
    <w:p w:rsidR="006D2155" w:rsidRPr="00C77E77" w:rsidRDefault="006D2155" w:rsidP="006D2155">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新政府上臺後正式提出「新南向政策」，可謂我國政府所倡議之第四波南向政策。本節先回顧過去前總統李登輝與陳水扁時期所提出之三次南向政策，接著檢視我國與東南亞及印度雙向貿易與投資概況，然後再探討此波「新南向政策」與我國產業在東南亞及印度的機會與挑戰。</w:t>
      </w:r>
    </w:p>
    <w:p w:rsidR="006D2155" w:rsidRPr="00C77E77" w:rsidRDefault="006D2155" w:rsidP="00764ED7">
      <w:pPr>
        <w:pStyle w:val="ab"/>
        <w:numPr>
          <w:ilvl w:val="0"/>
          <w:numId w:val="6"/>
        </w:numPr>
        <w:spacing w:before="50" w:after="50" w:line="500" w:lineRule="exact"/>
        <w:ind w:leftChars="50" w:left="840"/>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過去三次南向政策之回顧</w:t>
      </w:r>
    </w:p>
    <w:p w:rsidR="006D2155" w:rsidRPr="00C77E77" w:rsidRDefault="006D2155" w:rsidP="00764ED7">
      <w:pPr>
        <w:pStyle w:val="ab"/>
        <w:numPr>
          <w:ilvl w:val="1"/>
          <w:numId w:val="6"/>
        </w:numPr>
        <w:spacing w:before="50" w:after="50" w:line="500" w:lineRule="exact"/>
        <w:ind w:leftChars="100" w:left="1125" w:hanging="885"/>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第一波「南向政策」（</w:t>
      </w:r>
      <w:r w:rsidRPr="00C77E77">
        <w:rPr>
          <w:rFonts w:ascii="Times New Roman" w:eastAsia="標楷體" w:hAnsi="Times New Roman" w:cs="Times New Roman"/>
          <w:b/>
          <w:color w:val="000000" w:themeColor="text1"/>
          <w:sz w:val="28"/>
          <w:szCs w:val="28"/>
        </w:rPr>
        <w:t>1994—1996</w:t>
      </w:r>
      <w:r w:rsidRPr="00C77E77">
        <w:rPr>
          <w:rFonts w:ascii="Times New Roman" w:eastAsia="標楷體" w:hAnsi="Times New Roman" w:cs="Times New Roman"/>
          <w:b/>
          <w:color w:val="000000" w:themeColor="text1"/>
          <w:sz w:val="28"/>
          <w:szCs w:val="28"/>
        </w:rPr>
        <w:t>，李登輝總統時期）</w:t>
      </w:r>
    </w:p>
    <w:p w:rsidR="006D2155" w:rsidRPr="00C77E77" w:rsidRDefault="006D2155" w:rsidP="00F32487">
      <w:pPr>
        <w:spacing w:before="50" w:after="50" w:line="500" w:lineRule="exact"/>
        <w:ind w:leftChars="177" w:left="425"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1960</w:t>
      </w:r>
      <w:r w:rsidRPr="00C77E77">
        <w:rPr>
          <w:rFonts w:ascii="Times New Roman" w:eastAsia="標楷體" w:hAnsi="Times New Roman" w:cs="Times New Roman"/>
          <w:color w:val="000000" w:themeColor="text1"/>
          <w:sz w:val="28"/>
          <w:szCs w:val="28"/>
        </w:rPr>
        <w:t>至</w:t>
      </w:r>
      <w:r w:rsidRPr="00C77E77">
        <w:rPr>
          <w:rFonts w:ascii="Times New Roman" w:eastAsia="標楷體" w:hAnsi="Times New Roman" w:cs="Times New Roman"/>
          <w:color w:val="000000" w:themeColor="text1"/>
          <w:sz w:val="28"/>
          <w:szCs w:val="28"/>
        </w:rPr>
        <w:t>1980</w:t>
      </w:r>
      <w:r w:rsidRPr="00C77E77">
        <w:rPr>
          <w:rFonts w:ascii="Times New Roman" w:eastAsia="標楷體" w:hAnsi="Times New Roman" w:cs="Times New Roman"/>
          <w:color w:val="000000" w:themeColor="text1"/>
          <w:sz w:val="28"/>
          <w:szCs w:val="28"/>
        </w:rPr>
        <w:t>年代之間，臺灣以加工出口為導向，創造經濟起飛的高峰期。在經濟發展的同時，工資與地價上揚與環保意識逐漸抬頭，使企業生產成本攀升。臺資企業開始尋找海外投資對象，當時適逢中國大陸於</w:t>
      </w:r>
      <w:r w:rsidRPr="00C77E77">
        <w:rPr>
          <w:rFonts w:ascii="Times New Roman" w:eastAsia="標楷體" w:hAnsi="Times New Roman" w:cs="Times New Roman"/>
          <w:color w:val="000000" w:themeColor="text1"/>
          <w:sz w:val="28"/>
          <w:szCs w:val="28"/>
        </w:rPr>
        <w:t>1978</w:t>
      </w:r>
      <w:r w:rsidRPr="00C77E77">
        <w:rPr>
          <w:rFonts w:ascii="Times New Roman" w:eastAsia="標楷體" w:hAnsi="Times New Roman" w:cs="Times New Roman"/>
          <w:color w:val="000000" w:themeColor="text1"/>
          <w:sz w:val="28"/>
          <w:szCs w:val="28"/>
        </w:rPr>
        <w:t>年實施改革開放政策，中國大陸遂成為我國企業一個重要的投資地點。</w:t>
      </w:r>
      <w:r w:rsidRPr="00C77E77">
        <w:rPr>
          <w:rFonts w:ascii="Times New Roman" w:eastAsia="標楷體" w:hAnsi="Times New Roman" w:cs="Times New Roman"/>
          <w:color w:val="000000" w:themeColor="text1"/>
          <w:sz w:val="28"/>
          <w:szCs w:val="28"/>
        </w:rPr>
        <w:t>1992</w:t>
      </w:r>
      <w:r w:rsidRPr="00C77E77">
        <w:rPr>
          <w:rFonts w:ascii="Times New Roman" w:eastAsia="標楷體" w:hAnsi="Times New Roman" w:cs="Times New Roman"/>
          <w:color w:val="000000" w:themeColor="text1"/>
          <w:sz w:val="28"/>
          <w:szCs w:val="28"/>
        </w:rPr>
        <w:t>年中共領導人鄧小平發表「南巡講話」，確立中國大陸的市場化改革路線後，臺商赴中國大陸投資的企業漸以知名企業集團和上市公司為主流，不僅投資金額大增，產業也朝技術密集與先進技術發展。</w:t>
      </w:r>
    </w:p>
    <w:p w:rsidR="006D2155" w:rsidRPr="00C77E77" w:rsidRDefault="00FC4EBF" w:rsidP="00F32487">
      <w:pPr>
        <w:spacing w:before="50" w:after="5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李登輝總統評估國際形勢，在「務實外交」的主軸下</w:t>
      </w:r>
      <w:r w:rsidR="006D2155" w:rsidRPr="00C77E77">
        <w:rPr>
          <w:rFonts w:ascii="Times New Roman" w:eastAsia="標楷體" w:hAnsi="Times New Roman" w:cs="Times New Roman"/>
          <w:color w:val="000000" w:themeColor="text1"/>
          <w:sz w:val="28"/>
          <w:szCs w:val="28"/>
        </w:rPr>
        <w:t>於</w:t>
      </w:r>
      <w:r w:rsidR="006D2155" w:rsidRPr="00C77E77">
        <w:rPr>
          <w:rFonts w:ascii="Times New Roman" w:eastAsia="標楷體" w:hAnsi="Times New Roman" w:cs="Times New Roman"/>
          <w:color w:val="000000" w:themeColor="text1"/>
          <w:sz w:val="28"/>
          <w:szCs w:val="28"/>
        </w:rPr>
        <w:t>1994</w:t>
      </w:r>
      <w:r w:rsidRPr="00C77E77">
        <w:rPr>
          <w:rFonts w:ascii="Times New Roman" w:eastAsia="標楷體" w:hAnsi="Times New Roman" w:cs="Times New Roman"/>
          <w:color w:val="000000" w:themeColor="text1"/>
          <w:sz w:val="28"/>
          <w:szCs w:val="28"/>
        </w:rPr>
        <w:t>年提出「南向政策」。</w:t>
      </w:r>
      <w:r w:rsidR="006D2155" w:rsidRPr="00C77E77">
        <w:rPr>
          <w:rFonts w:ascii="Times New Roman" w:eastAsia="標楷體" w:hAnsi="Times New Roman" w:cs="Times New Roman"/>
          <w:color w:val="000000" w:themeColor="text1"/>
          <w:sz w:val="28"/>
          <w:szCs w:val="28"/>
        </w:rPr>
        <w:t>考量包括：第一，避免經貿過度集中於中國大陸可能帶來的主權與</w:t>
      </w:r>
      <w:r w:rsidRPr="00C77E77">
        <w:rPr>
          <w:rFonts w:ascii="Times New Roman" w:eastAsia="標楷體" w:hAnsi="Times New Roman" w:cs="Times New Roman"/>
          <w:color w:val="000000" w:themeColor="text1"/>
          <w:sz w:val="28"/>
          <w:szCs w:val="28"/>
        </w:rPr>
        <w:t>安全疑慮，並減輕國內經濟受到中國大陸經濟政策及情勢變動之衝擊。</w:t>
      </w:r>
      <w:r w:rsidR="006D2155" w:rsidRPr="00C77E77">
        <w:rPr>
          <w:rFonts w:ascii="Times New Roman" w:eastAsia="標楷體" w:hAnsi="Times New Roman" w:cs="Times New Roman"/>
          <w:color w:val="000000" w:themeColor="text1"/>
          <w:sz w:val="28"/>
          <w:szCs w:val="28"/>
        </w:rPr>
        <w:t>據陸委會計算，</w:t>
      </w:r>
      <w:r w:rsidR="006D2155" w:rsidRPr="00C77E77">
        <w:rPr>
          <w:rFonts w:ascii="Times New Roman" w:eastAsia="標楷體" w:hAnsi="Times New Roman" w:cs="Times New Roman"/>
          <w:color w:val="000000" w:themeColor="text1"/>
          <w:sz w:val="28"/>
          <w:szCs w:val="28"/>
        </w:rPr>
        <w:t>1989</w:t>
      </w:r>
      <w:r w:rsidR="006D2155" w:rsidRPr="00C77E77">
        <w:rPr>
          <w:rFonts w:ascii="Times New Roman" w:eastAsia="標楷體" w:hAnsi="Times New Roman" w:cs="Times New Roman"/>
          <w:color w:val="000000" w:themeColor="text1"/>
          <w:sz w:val="28"/>
          <w:szCs w:val="28"/>
        </w:rPr>
        <w:t>至</w:t>
      </w:r>
      <w:r w:rsidR="006D2155" w:rsidRPr="00C77E77">
        <w:rPr>
          <w:rFonts w:ascii="Times New Roman" w:eastAsia="標楷體" w:hAnsi="Times New Roman" w:cs="Times New Roman"/>
          <w:color w:val="000000" w:themeColor="text1"/>
          <w:sz w:val="28"/>
          <w:szCs w:val="28"/>
        </w:rPr>
        <w:t>1995</w:t>
      </w:r>
      <w:r w:rsidR="006D2155" w:rsidRPr="00C77E77">
        <w:rPr>
          <w:rFonts w:ascii="Times New Roman" w:eastAsia="標楷體" w:hAnsi="Times New Roman" w:cs="Times New Roman"/>
          <w:color w:val="000000" w:themeColor="text1"/>
          <w:sz w:val="28"/>
          <w:szCs w:val="28"/>
        </w:rPr>
        <w:t>年間，兩岸貿易每年皆以</w:t>
      </w:r>
      <w:r w:rsidR="006D2155" w:rsidRPr="00C77E77">
        <w:rPr>
          <w:rFonts w:ascii="Times New Roman" w:eastAsia="標楷體" w:hAnsi="Times New Roman" w:cs="Times New Roman"/>
          <w:color w:val="000000" w:themeColor="text1"/>
          <w:sz w:val="28"/>
          <w:szCs w:val="28"/>
        </w:rPr>
        <w:t>20</w:t>
      </w:r>
      <w:r w:rsidR="006D2155" w:rsidRPr="00C77E77">
        <w:rPr>
          <w:rFonts w:ascii="Times New Roman" w:eastAsia="標楷體" w:hAnsi="Times New Roman" w:cs="Times New Roman"/>
          <w:color w:val="000000" w:themeColor="text1"/>
          <w:sz w:val="28"/>
          <w:szCs w:val="28"/>
        </w:rPr>
        <w:t>％以上的速度成長。臺灣對中國大陸的投資</w:t>
      </w:r>
      <w:r w:rsidR="006D2155" w:rsidRPr="00C77E77">
        <w:rPr>
          <w:rFonts w:ascii="Times New Roman" w:eastAsia="標楷體" w:hAnsi="Times New Roman" w:cs="Times New Roman"/>
          <w:color w:val="000000" w:themeColor="text1"/>
          <w:sz w:val="28"/>
          <w:szCs w:val="28"/>
        </w:rPr>
        <w:lastRenderedPageBreak/>
        <w:t>由</w:t>
      </w:r>
      <w:r w:rsidR="006D2155" w:rsidRPr="00C77E77">
        <w:rPr>
          <w:rFonts w:ascii="Times New Roman" w:eastAsia="標楷體" w:hAnsi="Times New Roman" w:cs="Times New Roman"/>
          <w:color w:val="000000" w:themeColor="text1"/>
          <w:sz w:val="28"/>
          <w:szCs w:val="28"/>
        </w:rPr>
        <w:t>1992</w:t>
      </w:r>
      <w:r w:rsidR="006D2155" w:rsidRPr="00C77E77">
        <w:rPr>
          <w:rFonts w:ascii="Times New Roman" w:eastAsia="標楷體" w:hAnsi="Times New Roman" w:cs="Times New Roman"/>
          <w:color w:val="000000" w:themeColor="text1"/>
          <w:sz w:val="28"/>
          <w:szCs w:val="28"/>
        </w:rPr>
        <w:t>年佔整體對外投資的</w:t>
      </w:r>
      <w:r w:rsidRPr="00C77E77">
        <w:rPr>
          <w:rFonts w:ascii="Times New Roman" w:eastAsia="標楷體" w:hAnsi="Times New Roman" w:cs="Times New Roman"/>
          <w:color w:val="000000" w:themeColor="text1"/>
          <w:sz w:val="28"/>
          <w:szCs w:val="28"/>
        </w:rPr>
        <w:t>21.</w:t>
      </w:r>
      <w:r w:rsidR="006D2155" w:rsidRPr="00C77E77">
        <w:rPr>
          <w:rFonts w:ascii="Times New Roman" w:eastAsia="標楷體" w:hAnsi="Times New Roman" w:cs="Times New Roman"/>
          <w:color w:val="000000" w:themeColor="text1"/>
          <w:sz w:val="28"/>
          <w:szCs w:val="28"/>
        </w:rPr>
        <w:t>8</w:t>
      </w:r>
      <w:r w:rsidR="006D2155" w:rsidRPr="00C77E77">
        <w:rPr>
          <w:rFonts w:ascii="Times New Roman" w:eastAsia="標楷體" w:hAnsi="Times New Roman" w:cs="Times New Roman"/>
          <w:color w:val="000000" w:themeColor="text1"/>
          <w:sz w:val="28"/>
          <w:szCs w:val="28"/>
        </w:rPr>
        <w:t>％增加到</w:t>
      </w:r>
      <w:r w:rsidR="006D2155" w:rsidRPr="00C77E77">
        <w:rPr>
          <w:rFonts w:ascii="Times New Roman" w:eastAsia="標楷體" w:hAnsi="Times New Roman" w:cs="Times New Roman"/>
          <w:color w:val="000000" w:themeColor="text1"/>
          <w:sz w:val="28"/>
          <w:szCs w:val="28"/>
        </w:rPr>
        <w:t>1993</w:t>
      </w:r>
      <w:r w:rsidR="006D2155" w:rsidRPr="00C77E77">
        <w:rPr>
          <w:rFonts w:ascii="Times New Roman" w:eastAsia="標楷體" w:hAnsi="Times New Roman" w:cs="Times New Roman"/>
          <w:color w:val="000000" w:themeColor="text1"/>
          <w:sz w:val="28"/>
          <w:szCs w:val="28"/>
        </w:rPr>
        <w:t>年的</w:t>
      </w:r>
      <w:r w:rsidRPr="00C77E77">
        <w:rPr>
          <w:rFonts w:ascii="Times New Roman" w:eastAsia="標楷體" w:hAnsi="Times New Roman" w:cs="Times New Roman"/>
          <w:color w:val="000000" w:themeColor="text1"/>
          <w:sz w:val="28"/>
          <w:szCs w:val="28"/>
        </w:rPr>
        <w:t>40.7</w:t>
      </w:r>
      <w:r w:rsidR="006D2155" w:rsidRPr="00C77E77">
        <w:rPr>
          <w:rFonts w:ascii="Times New Roman" w:eastAsia="標楷體" w:hAnsi="Times New Roman" w:cs="Times New Roman"/>
          <w:color w:val="000000" w:themeColor="text1"/>
          <w:sz w:val="28"/>
          <w:szCs w:val="28"/>
        </w:rPr>
        <w:t>％。</w:t>
      </w:r>
    </w:p>
    <w:p w:rsidR="006D2155" w:rsidRPr="00C77E77" w:rsidRDefault="006D2155" w:rsidP="00F32487">
      <w:pPr>
        <w:spacing w:before="50" w:after="50" w:line="500" w:lineRule="exact"/>
        <w:ind w:leftChars="177" w:left="425"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第二，增強臺灣在區域體系的地位。</w:t>
      </w:r>
      <w:r w:rsidRPr="00C77E77">
        <w:rPr>
          <w:rFonts w:ascii="Times New Roman" w:eastAsia="標楷體" w:hAnsi="Times New Roman" w:cs="Times New Roman"/>
          <w:color w:val="000000" w:themeColor="text1"/>
          <w:sz w:val="28"/>
          <w:szCs w:val="28"/>
        </w:rPr>
        <w:t>1992</w:t>
      </w:r>
      <w:r w:rsidRPr="00C77E77">
        <w:rPr>
          <w:rFonts w:ascii="Times New Roman" w:eastAsia="標楷體" w:hAnsi="Times New Roman" w:cs="Times New Roman"/>
          <w:color w:val="000000" w:themeColor="text1"/>
          <w:sz w:val="28"/>
          <w:szCs w:val="28"/>
        </w:rPr>
        <w:t>年東南亞國家簽訂「東協自由貿易協定」（</w:t>
      </w:r>
      <w:r w:rsidRPr="00C77E77">
        <w:rPr>
          <w:rFonts w:ascii="Times New Roman" w:eastAsia="標楷體" w:hAnsi="Times New Roman" w:cs="Times New Roman"/>
          <w:color w:val="000000" w:themeColor="text1"/>
          <w:sz w:val="28"/>
          <w:szCs w:val="28"/>
        </w:rPr>
        <w:t>ASEAN Free Trade Area, AFTA</w:t>
      </w:r>
      <w:r w:rsidRPr="00C77E77">
        <w:rPr>
          <w:rFonts w:ascii="Times New Roman" w:eastAsia="標楷體" w:hAnsi="Times New Roman" w:cs="Times New Roman"/>
          <w:color w:val="000000" w:themeColor="text1"/>
          <w:sz w:val="28"/>
          <w:szCs w:val="28"/>
        </w:rPr>
        <w:t>）之後，各界對東南亞國家未來經濟發展一片看好，美日歐等國家在此地區的投資和經濟援助不斷增加，並有計畫的加強和此地區國家的經貿與政治關係。由於臺灣並不是此體系中的一員，而且當時我國在東南亞的投資多半為中小企業單打獨鬥的型式，沒有明確的目標，所以政府希望透過國內廠商前往當地投資設廠，創造就業機會、促進經濟繁榮，幫助提升與東協國家之實質關係。</w:t>
      </w:r>
    </w:p>
    <w:p w:rsidR="006D2155" w:rsidRPr="00C77E77" w:rsidRDefault="006D2155" w:rsidP="00F32487">
      <w:pPr>
        <w:spacing w:before="50" w:after="5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三，運用東南亞地區資源豐富、勞力充沛、土地低廉、具有經濟發展潛力等有利條件，政府鼓勵臺商赴東南亞投資取得當地農工原料，結合我國企業之技術與資金，在東南亞建立低成本的生產據點，成為我國廠商之海外生產基地，並作為臺灣的出口市場之一。</w:t>
      </w:r>
    </w:p>
    <w:p w:rsidR="006D2155" w:rsidRPr="00C77E77" w:rsidRDefault="006D2155" w:rsidP="00F32487">
      <w:pPr>
        <w:spacing w:before="50" w:after="5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在實質作為方面，以經濟部發佈之《加強對東南亞地區經貿工作綱領》為指導原則，實施範圍涵蓋泰、馬、印、菲、星、越、汶等</w:t>
      </w:r>
      <w:r w:rsidRPr="00C77E77">
        <w:rPr>
          <w:rFonts w:ascii="Times New Roman" w:eastAsia="標楷體" w:hAnsi="Times New Roman" w:cs="Times New Roman"/>
          <w:color w:val="000000" w:themeColor="text1"/>
          <w:sz w:val="28"/>
          <w:szCs w:val="28"/>
        </w:rPr>
        <w:t>7</w:t>
      </w:r>
      <w:r w:rsidRPr="00C77E77">
        <w:rPr>
          <w:rFonts w:ascii="Times New Roman" w:eastAsia="標楷體" w:hAnsi="Times New Roman" w:cs="Times New Roman"/>
          <w:color w:val="000000" w:themeColor="text1"/>
          <w:sz w:val="28"/>
          <w:szCs w:val="28"/>
        </w:rPr>
        <w:t>國，目標設定為：一、協助國內企業將不具比較利益的產品移至東南亞生產；二、在互惠互利原則下，協助東南亞諸國促進經濟繁榮；三、運用在臺發展經驗，擴大整合當地資源以有效厚植企業實力；四、因東協自由貿易區之成立，及早進入東協各國以建立生產基地及據點；五、增進我國與東協之實質經貿關係，以增強我國在區域安全體系中之關鍵地位。</w:t>
      </w:r>
      <w:r w:rsidRPr="00C77E77">
        <w:rPr>
          <w:rStyle w:val="a9"/>
          <w:rFonts w:ascii="Times New Roman" w:hAnsi="Times New Roman" w:cs="Times New Roman"/>
        </w:rPr>
        <w:footnoteReference w:id="6"/>
      </w:r>
    </w:p>
    <w:p w:rsidR="006D2155" w:rsidRPr="00C77E77" w:rsidRDefault="006D2155" w:rsidP="00F32487">
      <w:pPr>
        <w:spacing w:before="50" w:after="5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第一次南向政策的主要特點是「由上而下」（</w:t>
      </w:r>
      <w:r w:rsidRPr="00C77E77">
        <w:rPr>
          <w:rFonts w:ascii="Times New Roman" w:eastAsia="標楷體" w:hAnsi="Times New Roman" w:cs="Times New Roman"/>
          <w:color w:val="000000" w:themeColor="text1"/>
          <w:sz w:val="28"/>
          <w:szCs w:val="28"/>
        </w:rPr>
        <w:t>top-down</w:t>
      </w:r>
      <w:r w:rsidR="00FC4EBF" w:rsidRPr="00C77E77">
        <w:rPr>
          <w:rFonts w:ascii="Times New Roman" w:eastAsia="標楷體" w:hAnsi="Times New Roman" w:cs="Times New Roman"/>
          <w:color w:val="000000" w:themeColor="text1"/>
          <w:sz w:val="28"/>
          <w:szCs w:val="28"/>
        </w:rPr>
        <w:t>），先由行政院長提出施政報告，隨後成為</w:t>
      </w:r>
      <w:r w:rsidRPr="00C77E77">
        <w:rPr>
          <w:rFonts w:ascii="Times New Roman" w:eastAsia="標楷體" w:hAnsi="Times New Roman" w:cs="Times New Roman"/>
          <w:color w:val="000000" w:themeColor="text1"/>
          <w:sz w:val="28"/>
          <w:szCs w:val="28"/>
        </w:rPr>
        <w:t>具體施政目標，黨營事業、國營事業率先前往東南亞投資擔任主導角色，臺糖、臺鹽、中油、</w:t>
      </w:r>
      <w:r w:rsidRPr="00C77E77">
        <w:rPr>
          <w:rFonts w:ascii="Times New Roman" w:eastAsia="標楷體" w:hAnsi="Times New Roman" w:cs="Times New Roman"/>
          <w:color w:val="000000" w:themeColor="text1"/>
          <w:sz w:val="28"/>
          <w:szCs w:val="28"/>
        </w:rPr>
        <w:lastRenderedPageBreak/>
        <w:t>臺電、建</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水泥等紛紛赴東南亞投資。此外，我國政府分別與菲、星、馬、印、泰、越簽訂「投資保障協議」；與星、馬、印、越簽訂「避免雙重課稅及防杜逃漏稅協議」。當時總統李登輝、副總統連戰等高層官員頻繁訪問東南亞國家，與東南亞國家合作舉辦經貿或能源部長級會議等。同時，臺灣也成立特別合作工作小組，協助印尼開發巴潭島（</w:t>
      </w:r>
      <w:r w:rsidRPr="00C77E77">
        <w:rPr>
          <w:rFonts w:ascii="Times New Roman" w:eastAsia="標楷體" w:hAnsi="Times New Roman" w:cs="Times New Roman"/>
          <w:color w:val="000000" w:themeColor="text1"/>
          <w:sz w:val="28"/>
          <w:szCs w:val="28"/>
        </w:rPr>
        <w:t>Batam</w:t>
      </w:r>
      <w:r w:rsidRPr="00C77E77">
        <w:rPr>
          <w:rFonts w:ascii="Times New Roman" w:eastAsia="標楷體" w:hAnsi="Times New Roman" w:cs="Times New Roman"/>
          <w:color w:val="000000" w:themeColor="text1"/>
          <w:sz w:val="28"/>
          <w:szCs w:val="28"/>
        </w:rPr>
        <w:t>），並以國際合作發展基金提供菲律賓改善蘇比克灣、還貸款給越南協助開發工業區、拓建公路等。</w:t>
      </w:r>
      <w:r w:rsidRPr="00C77E77">
        <w:rPr>
          <w:rStyle w:val="a9"/>
          <w:rFonts w:ascii="Times New Roman" w:hAnsi="Times New Roman" w:cs="Times New Roman"/>
        </w:rPr>
        <w:footnoteReference w:id="7"/>
      </w:r>
      <w:r w:rsidRPr="00C77E77">
        <w:rPr>
          <w:rFonts w:ascii="Times New Roman" w:eastAsia="標楷體" w:hAnsi="Times New Roman" w:cs="Times New Roman"/>
          <w:color w:val="000000" w:themeColor="text1"/>
          <w:sz w:val="28"/>
          <w:szCs w:val="28"/>
        </w:rPr>
        <w:t xml:space="preserve"> </w:t>
      </w:r>
    </w:p>
    <w:p w:rsidR="006D2155" w:rsidRPr="00C77E77" w:rsidRDefault="006D2155" w:rsidP="00764ED7">
      <w:pPr>
        <w:pStyle w:val="ab"/>
        <w:numPr>
          <w:ilvl w:val="1"/>
          <w:numId w:val="6"/>
        </w:numPr>
        <w:spacing w:before="50" w:after="50" w:line="500" w:lineRule="exact"/>
        <w:ind w:leftChars="100" w:left="1125" w:hanging="885"/>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第二波「南向政策」（</w:t>
      </w:r>
      <w:r w:rsidRPr="00C77E77">
        <w:rPr>
          <w:rFonts w:ascii="Times New Roman" w:eastAsia="標楷體" w:hAnsi="Times New Roman" w:cs="Times New Roman"/>
          <w:b/>
          <w:color w:val="000000" w:themeColor="text1"/>
          <w:sz w:val="28"/>
          <w:szCs w:val="28"/>
        </w:rPr>
        <w:t>1997—1999</w:t>
      </w:r>
      <w:r w:rsidRPr="00C77E77">
        <w:rPr>
          <w:rFonts w:ascii="Times New Roman" w:eastAsia="標楷體" w:hAnsi="Times New Roman" w:cs="Times New Roman"/>
          <w:b/>
          <w:color w:val="000000" w:themeColor="text1"/>
          <w:sz w:val="28"/>
          <w:szCs w:val="28"/>
        </w:rPr>
        <w:t>，李登輝總統時期）</w:t>
      </w:r>
    </w:p>
    <w:p w:rsidR="006D2155" w:rsidRPr="00C77E77" w:rsidRDefault="006D2155" w:rsidP="00F32487">
      <w:pPr>
        <w:spacing w:before="50" w:after="50" w:line="500" w:lineRule="exact"/>
        <w:ind w:leftChars="177" w:left="425"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1996</w:t>
      </w:r>
      <w:r w:rsidRPr="00C77E77">
        <w:rPr>
          <w:rFonts w:ascii="Times New Roman" w:eastAsia="標楷體" w:hAnsi="Times New Roman" w:cs="Times New Roman"/>
          <w:color w:val="000000" w:themeColor="text1"/>
          <w:sz w:val="28"/>
          <w:szCs w:val="28"/>
        </w:rPr>
        <w:t>年《加強對東南亞地區經貿工作綱領》實施屆滿後，自</w:t>
      </w:r>
      <w:r w:rsidRPr="00C77E77">
        <w:rPr>
          <w:rFonts w:ascii="Times New Roman" w:eastAsia="標楷體" w:hAnsi="Times New Roman" w:cs="Times New Roman"/>
          <w:color w:val="000000" w:themeColor="text1"/>
          <w:sz w:val="28"/>
          <w:szCs w:val="28"/>
        </w:rPr>
        <w:t>1997</w:t>
      </w:r>
      <w:r w:rsidRPr="00C77E77">
        <w:rPr>
          <w:rFonts w:ascii="Times New Roman" w:eastAsia="標楷體" w:hAnsi="Times New Roman" w:cs="Times New Roman"/>
          <w:color w:val="000000" w:themeColor="text1"/>
          <w:sz w:val="28"/>
          <w:szCs w:val="28"/>
        </w:rPr>
        <w:t>年起延長三年至</w:t>
      </w:r>
      <w:r w:rsidRPr="00C77E77">
        <w:rPr>
          <w:rFonts w:ascii="Times New Roman" w:eastAsia="標楷體" w:hAnsi="Times New Roman" w:cs="Times New Roman"/>
          <w:color w:val="000000" w:themeColor="text1"/>
          <w:sz w:val="28"/>
          <w:szCs w:val="28"/>
        </w:rPr>
        <w:t>1999</w:t>
      </w:r>
      <w:r w:rsidRPr="00C77E77">
        <w:rPr>
          <w:rFonts w:ascii="Times New Roman" w:eastAsia="標楷體" w:hAnsi="Times New Roman" w:cs="Times New Roman"/>
          <w:color w:val="000000" w:themeColor="text1"/>
          <w:sz w:val="28"/>
          <w:szCs w:val="28"/>
        </w:rPr>
        <w:t>年底，並改名為《加強對東南亞及紐澳地區經貿工作綱領》，在原實施範圍泰、馬、印、菲、星、越、汶等</w:t>
      </w:r>
      <w:r w:rsidRPr="00C77E77">
        <w:rPr>
          <w:rFonts w:ascii="Times New Roman" w:eastAsia="標楷體" w:hAnsi="Times New Roman" w:cs="Times New Roman"/>
          <w:color w:val="000000" w:themeColor="text1"/>
          <w:sz w:val="28"/>
          <w:szCs w:val="28"/>
        </w:rPr>
        <w:t>7</w:t>
      </w:r>
      <w:r w:rsidRPr="00C77E77">
        <w:rPr>
          <w:rFonts w:ascii="Times New Roman" w:eastAsia="標楷體" w:hAnsi="Times New Roman" w:cs="Times New Roman"/>
          <w:color w:val="000000" w:themeColor="text1"/>
          <w:sz w:val="28"/>
          <w:szCs w:val="28"/>
        </w:rPr>
        <w:t>國之外，擴大涵蓋到寮、緬、柬、澳、紐等國。</w:t>
      </w:r>
      <w:r w:rsidRPr="00C77E77">
        <w:rPr>
          <w:rFonts w:ascii="Times New Roman" w:eastAsia="標楷體" w:hAnsi="Times New Roman" w:cs="Times New Roman"/>
          <w:color w:val="000000" w:themeColor="text1"/>
          <w:sz w:val="28"/>
          <w:szCs w:val="28"/>
        </w:rPr>
        <w:t>1999</w:t>
      </w:r>
      <w:r w:rsidRPr="00C77E77">
        <w:rPr>
          <w:rFonts w:ascii="Times New Roman" w:eastAsia="標楷體" w:hAnsi="Times New Roman" w:cs="Times New Roman"/>
          <w:color w:val="000000" w:themeColor="text1"/>
          <w:sz w:val="28"/>
          <w:szCs w:val="28"/>
        </w:rPr>
        <w:t>年該工作綱領又屆滿，鑑於東協將擴大與東北亞經濟合作，當時我國政府決定又再延長該工作綱領至</w:t>
      </w:r>
      <w:r w:rsidRPr="00C77E77">
        <w:rPr>
          <w:rFonts w:ascii="Times New Roman" w:eastAsia="標楷體" w:hAnsi="Times New Roman" w:cs="Times New Roman"/>
          <w:color w:val="000000" w:themeColor="text1"/>
          <w:sz w:val="28"/>
          <w:szCs w:val="28"/>
        </w:rPr>
        <w:t>2002</w:t>
      </w:r>
      <w:r w:rsidRPr="00C77E77">
        <w:rPr>
          <w:rFonts w:ascii="Times New Roman" w:eastAsia="標楷體" w:hAnsi="Times New Roman" w:cs="Times New Roman"/>
          <w:color w:val="000000" w:themeColor="text1"/>
          <w:sz w:val="28"/>
          <w:szCs w:val="28"/>
        </w:rPr>
        <w:t>年。</w:t>
      </w:r>
    </w:p>
    <w:p w:rsidR="006D2155" w:rsidRPr="00C77E77" w:rsidRDefault="006D2155" w:rsidP="00F32487">
      <w:pPr>
        <w:spacing w:before="50" w:after="5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第二波南向政策擴大施行之目的，第一，援助東南亞各國度過金融危機，並利用東南亞作為基礎發展臺灣成為「亞太營運中心」。</w:t>
      </w:r>
      <w:r w:rsidRPr="00C77E77">
        <w:rPr>
          <w:rFonts w:ascii="Times New Roman" w:eastAsia="標楷體" w:hAnsi="Times New Roman" w:cs="Times New Roman"/>
          <w:color w:val="000000" w:themeColor="text1"/>
          <w:sz w:val="28"/>
          <w:szCs w:val="28"/>
        </w:rPr>
        <w:t>1997</w:t>
      </w:r>
      <w:r w:rsidRPr="00C77E77">
        <w:rPr>
          <w:rFonts w:ascii="Times New Roman" w:eastAsia="標楷體" w:hAnsi="Times New Roman" w:cs="Times New Roman"/>
          <w:color w:val="000000" w:themeColor="text1"/>
          <w:sz w:val="28"/>
          <w:szCs w:val="28"/>
        </w:rPr>
        <w:t>年亞洲金融風暴席捲東南亞，重挫東南亞幣值與股市，</w:t>
      </w:r>
      <w:r w:rsidRPr="00C77E77">
        <w:rPr>
          <w:rFonts w:ascii="Times New Roman" w:eastAsia="標楷體" w:hAnsi="Times New Roman" w:cs="Times New Roman"/>
          <w:color w:val="000000" w:themeColor="text1"/>
          <w:sz w:val="28"/>
          <w:szCs w:val="28"/>
        </w:rPr>
        <w:t>1998</w:t>
      </w:r>
      <w:r w:rsidRPr="00C77E77">
        <w:rPr>
          <w:rFonts w:ascii="Times New Roman" w:eastAsia="標楷體" w:hAnsi="Times New Roman" w:cs="Times New Roman"/>
          <w:color w:val="000000" w:themeColor="text1"/>
          <w:sz w:val="28"/>
          <w:szCs w:val="28"/>
        </w:rPr>
        <w:t>年</w:t>
      </w:r>
      <w:r w:rsidRPr="00C77E77">
        <w:rPr>
          <w:rFonts w:ascii="Times New Roman" w:eastAsia="標楷體" w:hAnsi="Times New Roman" w:cs="Times New Roman"/>
          <w:color w:val="000000" w:themeColor="text1"/>
          <w:sz w:val="28"/>
          <w:szCs w:val="28"/>
        </w:rPr>
        <w:t>2</w:t>
      </w:r>
      <w:r w:rsidRPr="00C77E77">
        <w:rPr>
          <w:rFonts w:ascii="Times New Roman" w:eastAsia="標楷體" w:hAnsi="Times New Roman" w:cs="Times New Roman"/>
          <w:color w:val="000000" w:themeColor="text1"/>
          <w:sz w:val="28"/>
          <w:szCs w:val="28"/>
        </w:rPr>
        <w:t>月提出「支援東南亞方案」、</w:t>
      </w:r>
      <w:r w:rsidRPr="00C77E77">
        <w:rPr>
          <w:rFonts w:ascii="Times New Roman" w:eastAsia="標楷體" w:hAnsi="Times New Roman" w:cs="Times New Roman"/>
          <w:color w:val="000000" w:themeColor="text1"/>
          <w:sz w:val="28"/>
          <w:szCs w:val="28"/>
        </w:rPr>
        <w:t>1998</w:t>
      </w:r>
      <w:r w:rsidRPr="00C77E77">
        <w:rPr>
          <w:rFonts w:ascii="Times New Roman" w:eastAsia="標楷體" w:hAnsi="Times New Roman" w:cs="Times New Roman"/>
          <w:color w:val="000000" w:themeColor="text1"/>
          <w:sz w:val="28"/>
          <w:szCs w:val="28"/>
        </w:rPr>
        <w:t>年行政院通過「促進對東南亞及其他地區出口專案輸出保險」。</w:t>
      </w:r>
    </w:p>
    <w:p w:rsidR="006D2155" w:rsidRPr="00C77E77" w:rsidRDefault="006D2155" w:rsidP="00F32487">
      <w:pPr>
        <w:spacing w:before="50" w:after="5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二，紓解臺商融資困難，亞洲金融風暴甚至引發印尼、馬來西亞的排華運動，第一波跟隨政府前往東南亞投資的臺商在此次風暴中受到不小的損失。政府擔憂因為東南亞的經濟衰退，當地臺商大舉撤退，有意前往投資的臺商亦望之卻步，轉而把投資重心聚焦於中國大陸，因此我國政府決定無懼東南亞金融風暴，繼續延長「南向政策」。實質作為包括：積極輔導臺商因應金融風</w:t>
      </w:r>
      <w:r w:rsidRPr="00C77E77">
        <w:rPr>
          <w:rFonts w:ascii="Times New Roman" w:eastAsia="標楷體" w:hAnsi="Times New Roman" w:cs="Times New Roman"/>
          <w:color w:val="000000" w:themeColor="text1"/>
          <w:sz w:val="28"/>
          <w:szCs w:val="28"/>
        </w:rPr>
        <w:lastRenderedPageBreak/>
        <w:t>暴之衝擊，擴大輸出保險及輸轉融資申請資格、額度與規模，並鼓勵臺商兼併當地企業；加強蒐集東南亞國家經濟商情，增加組團赴東南亞拓展貿易，協助臺商往南移動，以疏散對中國大陸市場依賴所造成的風險。</w:t>
      </w:r>
      <w:r w:rsidRPr="00C77E77">
        <w:rPr>
          <w:rStyle w:val="a9"/>
          <w:rFonts w:ascii="Times New Roman" w:hAnsi="Times New Roman" w:cs="Times New Roman"/>
        </w:rPr>
        <w:footnoteReference w:id="8"/>
      </w:r>
      <w:r w:rsidRPr="00C77E77">
        <w:rPr>
          <w:rFonts w:ascii="Times New Roman" w:eastAsia="標楷體" w:hAnsi="Times New Roman" w:cs="Times New Roman"/>
          <w:color w:val="000000" w:themeColor="text1"/>
          <w:sz w:val="28"/>
          <w:szCs w:val="28"/>
        </w:rPr>
        <w:t>同時，</w:t>
      </w:r>
      <w:r w:rsidRPr="00C77E77">
        <w:rPr>
          <w:rFonts w:ascii="Times New Roman" w:eastAsia="標楷體" w:hAnsi="Times New Roman" w:cs="Times New Roman"/>
          <w:color w:val="000000" w:themeColor="text1"/>
          <w:sz w:val="28"/>
          <w:szCs w:val="28"/>
        </w:rPr>
        <w:t>1997</w:t>
      </w:r>
      <w:r w:rsidRPr="00C77E77">
        <w:rPr>
          <w:rFonts w:ascii="Times New Roman" w:eastAsia="標楷體" w:hAnsi="Times New Roman" w:cs="Times New Roman"/>
          <w:color w:val="000000" w:themeColor="text1"/>
          <w:sz w:val="28"/>
          <w:szCs w:val="28"/>
        </w:rPr>
        <w:t>年經濟部公佈《企業對大陸地區投資審查辦法》，對中國大陸投資限制高科技產業與基礎建設產業之投資，且個案投資不得超過五千萬美金。</w:t>
      </w:r>
    </w:p>
    <w:p w:rsidR="006D2155" w:rsidRPr="00C77E77" w:rsidRDefault="006D2155" w:rsidP="00764ED7">
      <w:pPr>
        <w:pStyle w:val="ab"/>
        <w:numPr>
          <w:ilvl w:val="1"/>
          <w:numId w:val="6"/>
        </w:numPr>
        <w:spacing w:beforeLines="50" w:before="180" w:afterLines="50" w:after="180" w:line="500" w:lineRule="exact"/>
        <w:ind w:leftChars="100" w:left="1125" w:hanging="885"/>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第三波「南向政策」（</w:t>
      </w:r>
      <w:r w:rsidRPr="00C77E77">
        <w:rPr>
          <w:rFonts w:ascii="Times New Roman" w:eastAsia="標楷體" w:hAnsi="Times New Roman" w:cs="Times New Roman"/>
          <w:b/>
          <w:color w:val="000000" w:themeColor="text1"/>
          <w:sz w:val="28"/>
          <w:szCs w:val="28"/>
        </w:rPr>
        <w:t>2002-2007</w:t>
      </w:r>
      <w:r w:rsidRPr="00C77E77">
        <w:rPr>
          <w:rFonts w:ascii="Times New Roman" w:eastAsia="標楷體" w:hAnsi="Times New Roman" w:cs="Times New Roman"/>
          <w:b/>
          <w:color w:val="000000" w:themeColor="text1"/>
          <w:sz w:val="28"/>
          <w:szCs w:val="28"/>
        </w:rPr>
        <w:t>，陳水扁時期）</w:t>
      </w:r>
    </w:p>
    <w:p w:rsidR="006D2155" w:rsidRPr="00C77E77" w:rsidRDefault="006D2155" w:rsidP="00F32487">
      <w:pPr>
        <w:spacing w:beforeLines="50" w:before="180" w:afterLines="50" w:after="180" w:line="500" w:lineRule="exact"/>
        <w:ind w:leftChars="177" w:left="425"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2002</w:t>
      </w:r>
      <w:r w:rsidRPr="00C77E77">
        <w:rPr>
          <w:rFonts w:ascii="Times New Roman" w:eastAsia="標楷體" w:hAnsi="Times New Roman" w:cs="Times New Roman"/>
          <w:color w:val="000000" w:themeColor="text1"/>
          <w:sz w:val="28"/>
          <w:szCs w:val="28"/>
        </w:rPr>
        <w:t>年</w:t>
      </w:r>
      <w:r w:rsidRPr="00C77E77">
        <w:rPr>
          <w:rFonts w:ascii="Times New Roman" w:eastAsia="標楷體" w:hAnsi="Times New Roman" w:cs="Times New Roman"/>
          <w:color w:val="000000" w:themeColor="text1"/>
          <w:sz w:val="28"/>
          <w:szCs w:val="28"/>
        </w:rPr>
        <w:t>7</w:t>
      </w:r>
      <w:r w:rsidRPr="00C77E77">
        <w:rPr>
          <w:rFonts w:ascii="Times New Roman" w:eastAsia="標楷體" w:hAnsi="Times New Roman" w:cs="Times New Roman"/>
          <w:color w:val="000000" w:themeColor="text1"/>
          <w:sz w:val="28"/>
          <w:szCs w:val="28"/>
        </w:rPr>
        <w:t>月陳水扁總統在亞洲臺灣商會聯合總年會上宣佈重啟「南向政策」，目的在於，第一，降低臺灣對中國大陸的依賴性。</w:t>
      </w:r>
      <w:r w:rsidRPr="00C77E77">
        <w:rPr>
          <w:rFonts w:ascii="Times New Roman" w:eastAsia="標楷體" w:hAnsi="Times New Roman" w:cs="Times New Roman"/>
          <w:color w:val="000000" w:themeColor="text1"/>
          <w:sz w:val="28"/>
          <w:szCs w:val="28"/>
        </w:rPr>
        <w:t>2000</w:t>
      </w:r>
      <w:r w:rsidRPr="00C77E77">
        <w:rPr>
          <w:rFonts w:ascii="Times New Roman" w:eastAsia="標楷體" w:hAnsi="Times New Roman" w:cs="Times New Roman"/>
          <w:color w:val="000000" w:themeColor="text1"/>
          <w:sz w:val="28"/>
          <w:szCs w:val="28"/>
        </w:rPr>
        <w:t>年陳水扁擔任第一任總統時，簡化中國大陸投資產業分類、放寬投資項目與金額上限。因為臺商大舉西進中國大陸，對中國大陸（含香港）出口比重從</w:t>
      </w:r>
      <w:r w:rsidRPr="00C77E77">
        <w:rPr>
          <w:rFonts w:ascii="Times New Roman" w:eastAsia="標楷體" w:hAnsi="Times New Roman" w:cs="Times New Roman"/>
          <w:color w:val="000000" w:themeColor="text1"/>
          <w:sz w:val="28"/>
          <w:szCs w:val="28"/>
        </w:rPr>
        <w:t>1990</w:t>
      </w:r>
      <w:r w:rsidRPr="00C77E77">
        <w:rPr>
          <w:rFonts w:ascii="Times New Roman" w:eastAsia="標楷體" w:hAnsi="Times New Roman" w:cs="Times New Roman"/>
          <w:color w:val="000000" w:themeColor="text1"/>
          <w:sz w:val="28"/>
          <w:szCs w:val="28"/>
        </w:rPr>
        <w:t>年的</w:t>
      </w:r>
      <w:r w:rsidRPr="00C77E77">
        <w:rPr>
          <w:rFonts w:ascii="Times New Roman" w:eastAsia="標楷體" w:hAnsi="Times New Roman" w:cs="Times New Roman"/>
          <w:color w:val="000000" w:themeColor="text1"/>
          <w:sz w:val="28"/>
          <w:szCs w:val="28"/>
        </w:rPr>
        <w:t>14</w:t>
      </w:r>
      <w:r w:rsidRPr="00C77E77">
        <w:rPr>
          <w:rFonts w:ascii="Times New Roman" w:eastAsia="標楷體" w:hAnsi="Times New Roman" w:cs="Times New Roman"/>
          <w:color w:val="000000" w:themeColor="text1"/>
          <w:sz w:val="28"/>
          <w:szCs w:val="28"/>
        </w:rPr>
        <w:t>％起跳，扁政府時代高達</w:t>
      </w:r>
      <w:r w:rsidRPr="00C77E77">
        <w:rPr>
          <w:rFonts w:ascii="Times New Roman" w:eastAsia="標楷體" w:hAnsi="Times New Roman" w:cs="Times New Roman"/>
          <w:color w:val="000000" w:themeColor="text1"/>
          <w:sz w:val="28"/>
          <w:szCs w:val="28"/>
        </w:rPr>
        <w:t>38</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1991</w:t>
      </w:r>
      <w:r w:rsidRPr="00C77E77">
        <w:rPr>
          <w:rFonts w:ascii="Times New Roman" w:eastAsia="標楷體" w:hAnsi="Times New Roman" w:cs="Times New Roman"/>
          <w:color w:val="000000" w:themeColor="text1"/>
          <w:sz w:val="28"/>
          <w:szCs w:val="28"/>
        </w:rPr>
        <w:t>赴中國大陸投資佔我整體對外投資金額比例</w:t>
      </w:r>
      <w:r w:rsidRPr="00C77E77">
        <w:rPr>
          <w:rFonts w:ascii="Times New Roman" w:eastAsia="標楷體" w:hAnsi="Times New Roman" w:cs="Times New Roman"/>
          <w:color w:val="000000" w:themeColor="text1"/>
          <w:sz w:val="28"/>
          <w:szCs w:val="28"/>
        </w:rPr>
        <w:t>15.6</w:t>
      </w:r>
      <w:r w:rsidRPr="00C77E77">
        <w:rPr>
          <w:rFonts w:ascii="Times New Roman" w:eastAsia="標楷體" w:hAnsi="Times New Roman" w:cs="Times New Roman"/>
          <w:color w:val="000000" w:themeColor="text1"/>
          <w:sz w:val="28"/>
          <w:szCs w:val="28"/>
        </w:rPr>
        <w:t>％，扁政府時代到了</w:t>
      </w:r>
      <w:r w:rsidRPr="00C77E77">
        <w:rPr>
          <w:rFonts w:ascii="Times New Roman" w:eastAsia="標楷體" w:hAnsi="Times New Roman" w:cs="Times New Roman"/>
          <w:color w:val="000000" w:themeColor="text1"/>
          <w:sz w:val="28"/>
          <w:szCs w:val="28"/>
        </w:rPr>
        <w:t>66</w:t>
      </w:r>
      <w:r w:rsidRPr="00C77E77">
        <w:rPr>
          <w:rFonts w:ascii="Times New Roman" w:eastAsia="標楷體" w:hAnsi="Times New Roman" w:cs="Times New Roman"/>
          <w:color w:val="000000" w:themeColor="text1"/>
          <w:sz w:val="28"/>
          <w:szCs w:val="28"/>
        </w:rPr>
        <w:t>％，</w:t>
      </w:r>
      <w:r w:rsidRPr="00C77E77">
        <w:rPr>
          <w:rStyle w:val="a9"/>
          <w:rFonts w:ascii="Times New Roman" w:hAnsi="Times New Roman" w:cs="Times New Roman"/>
        </w:rPr>
        <w:footnoteReference w:id="9"/>
      </w:r>
      <w:r w:rsidRPr="00C77E77">
        <w:rPr>
          <w:rFonts w:ascii="Times New Roman" w:eastAsia="標楷體" w:hAnsi="Times New Roman" w:cs="Times New Roman"/>
          <w:color w:val="000000" w:themeColor="text1"/>
          <w:sz w:val="28"/>
          <w:szCs w:val="28"/>
        </w:rPr>
        <w:t>陳水扁擔憂兩岸經貿發展過於快速難以管控，乃推動新一波「南向政策」。</w:t>
      </w:r>
      <w:r w:rsidRPr="00C77E77">
        <w:rPr>
          <w:rFonts w:ascii="Times New Roman" w:eastAsia="標楷體" w:hAnsi="Times New Roman" w:cs="Times New Roman"/>
          <w:color w:val="000000" w:themeColor="text1"/>
          <w:sz w:val="28"/>
          <w:szCs w:val="28"/>
        </w:rPr>
        <w:t xml:space="preserve"> </w:t>
      </w:r>
    </w:p>
    <w:p w:rsidR="006D2155" w:rsidRPr="00C77E77" w:rsidRDefault="006D2155" w:rsidP="00F32487">
      <w:pPr>
        <w:spacing w:beforeLines="50" w:before="180" w:afterLines="50" w:after="18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第二，因應國際整合的趨勢。</w:t>
      </w:r>
      <w:r w:rsidRPr="00C77E77">
        <w:rPr>
          <w:rFonts w:ascii="Times New Roman" w:eastAsia="標楷體" w:hAnsi="Times New Roman" w:cs="Times New Roman"/>
          <w:color w:val="000000" w:themeColor="text1"/>
          <w:sz w:val="28"/>
          <w:szCs w:val="28"/>
        </w:rPr>
        <w:t>2002</w:t>
      </w:r>
      <w:r w:rsidRPr="00C77E77">
        <w:rPr>
          <w:rFonts w:ascii="Times New Roman" w:eastAsia="標楷體" w:hAnsi="Times New Roman" w:cs="Times New Roman"/>
          <w:color w:val="000000" w:themeColor="text1"/>
          <w:sz w:val="28"/>
          <w:szCs w:val="28"/>
        </w:rPr>
        <w:t>年為因應我國加入世界貿易組織（</w:t>
      </w:r>
      <w:r w:rsidR="002B6C97" w:rsidRPr="00C77E77">
        <w:rPr>
          <w:rFonts w:ascii="Times New Roman" w:eastAsia="標楷體" w:hAnsi="Times New Roman" w:cs="Times New Roman"/>
          <w:color w:val="000000" w:themeColor="text1"/>
          <w:sz w:val="28"/>
          <w:szCs w:val="28"/>
        </w:rPr>
        <w:t>World Trade Organization,</w:t>
      </w:r>
      <w:r w:rsidRPr="00C77E77">
        <w:rPr>
          <w:rFonts w:ascii="Times New Roman" w:eastAsia="標楷體" w:hAnsi="Times New Roman" w:cs="Times New Roman"/>
          <w:color w:val="000000" w:themeColor="text1"/>
          <w:sz w:val="28"/>
          <w:szCs w:val="28"/>
        </w:rPr>
        <w:t xml:space="preserve"> WTO</w:t>
      </w:r>
      <w:r w:rsidRPr="00C77E77">
        <w:rPr>
          <w:rFonts w:ascii="Times New Roman" w:eastAsia="標楷體" w:hAnsi="Times New Roman" w:cs="Times New Roman"/>
          <w:color w:val="000000" w:themeColor="text1"/>
          <w:sz w:val="28"/>
          <w:szCs w:val="28"/>
        </w:rPr>
        <w:t>）及東協自由貿易區成立之情勢，遂於</w:t>
      </w:r>
      <w:r w:rsidRPr="00C77E77">
        <w:rPr>
          <w:rFonts w:ascii="Times New Roman" w:eastAsia="標楷體" w:hAnsi="Times New Roman" w:cs="Times New Roman"/>
          <w:color w:val="000000" w:themeColor="text1"/>
          <w:sz w:val="28"/>
          <w:szCs w:val="28"/>
        </w:rPr>
        <w:t>2002</w:t>
      </w:r>
      <w:r w:rsidRPr="00C77E77">
        <w:rPr>
          <w:rFonts w:ascii="Times New Roman" w:eastAsia="標楷體" w:hAnsi="Times New Roman" w:cs="Times New Roman"/>
          <w:color w:val="000000" w:themeColor="text1"/>
          <w:sz w:val="28"/>
          <w:szCs w:val="28"/>
        </w:rPr>
        <w:t>年宣示重啟南向政策，提出「臺灣要走自己的路」，鼓勵臺商投資東南亞。</w:t>
      </w:r>
    </w:p>
    <w:p w:rsidR="006D2155" w:rsidRPr="00C77E77" w:rsidRDefault="006D2155" w:rsidP="00F32487">
      <w:pPr>
        <w:spacing w:beforeLines="50" w:before="180" w:afterLines="50" w:after="18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第三波南向政策的主要特點，首先，仍以官方為主導，透過融資、租稅和輔導等措施，協助廠商前往東南亞投資。其次，鎖定東南亞的新加坡、馬來西亞、越南、菲律賓、印尼做為推動南</w:t>
      </w:r>
      <w:r w:rsidRPr="00C77E77">
        <w:rPr>
          <w:rFonts w:ascii="Times New Roman" w:eastAsia="標楷體" w:hAnsi="Times New Roman" w:cs="Times New Roman"/>
          <w:color w:val="000000" w:themeColor="text1"/>
          <w:sz w:val="28"/>
          <w:szCs w:val="28"/>
        </w:rPr>
        <w:lastRenderedPageBreak/>
        <w:t>向的重點國家，其中越南是臺灣傳統產業南向發展最主要的地區。</w:t>
      </w:r>
      <w:r w:rsidRPr="00C77E77">
        <w:rPr>
          <w:rStyle w:val="a9"/>
          <w:rFonts w:ascii="Times New Roman" w:hAnsi="Times New Roman" w:cs="Times New Roman"/>
        </w:rPr>
        <w:footnoteReference w:id="10"/>
      </w:r>
      <w:r w:rsidRPr="00C77E77">
        <w:rPr>
          <w:rFonts w:ascii="Times New Roman" w:eastAsia="標楷體" w:hAnsi="Times New Roman" w:cs="Times New Roman"/>
          <w:color w:val="000000" w:themeColor="text1"/>
          <w:sz w:val="28"/>
          <w:szCs w:val="28"/>
        </w:rPr>
        <w:t>第三，積極推動與東協國家洽簽雙邊自由貿易協定。</w:t>
      </w:r>
    </w:p>
    <w:p w:rsidR="006D2155" w:rsidRPr="00C77E77" w:rsidRDefault="006D2155" w:rsidP="00F32487">
      <w:pPr>
        <w:spacing w:beforeLines="50" w:before="180" w:afterLines="50" w:after="180" w:line="500" w:lineRule="exact"/>
        <w:ind w:leftChars="177" w:left="425"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具體政策包括：強化東南亞臺商投資金融支援體系；協助臺商返國受訓及成立投資服務處與經貿網站；推動資訊、紡織、天然氣等產業赴東南亞投資等。</w:t>
      </w:r>
      <w:r w:rsidRPr="00C77E77">
        <w:rPr>
          <w:rStyle w:val="a9"/>
          <w:rFonts w:ascii="Times New Roman" w:hAnsi="Times New Roman" w:cs="Times New Roman"/>
        </w:rPr>
        <w:footnoteReference w:id="11"/>
      </w:r>
      <w:r w:rsidRPr="00C77E77">
        <w:rPr>
          <w:rFonts w:ascii="Times New Roman" w:eastAsia="標楷體" w:hAnsi="Times New Roman" w:cs="Times New Roman"/>
          <w:color w:val="000000" w:themeColor="text1"/>
          <w:sz w:val="28"/>
          <w:szCs w:val="28"/>
        </w:rPr>
        <w:t>2006</w:t>
      </w:r>
      <w:r w:rsidRPr="00C77E77">
        <w:rPr>
          <w:rFonts w:ascii="Times New Roman" w:eastAsia="標楷體" w:hAnsi="Times New Roman" w:cs="Times New Roman"/>
          <w:color w:val="000000" w:themeColor="text1"/>
          <w:sz w:val="28"/>
          <w:szCs w:val="28"/>
        </w:rPr>
        <w:t>年更進一步提出對中國大陸「積極管理、有效開放」政策，以期進一步管控臺商至中國大陸之投資行為。</w:t>
      </w:r>
    </w:p>
    <w:p w:rsidR="006D2155" w:rsidRPr="00C77E77" w:rsidRDefault="006D2155" w:rsidP="00F32487">
      <w:pPr>
        <w:spacing w:beforeLines="50" w:before="180" w:afterLines="50" w:after="180" w:line="500" w:lineRule="exact"/>
        <w:ind w:leftChars="177" w:left="425"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前三波「南向政策」的提出背景與主要內容如下表</w:t>
      </w:r>
      <w:r w:rsidRPr="00C77E77">
        <w:rPr>
          <w:rFonts w:ascii="Times New Roman" w:eastAsia="標楷體" w:hAnsi="Times New Roman" w:cs="Times New Roman"/>
          <w:color w:val="000000" w:themeColor="text1"/>
          <w:sz w:val="28"/>
          <w:szCs w:val="28"/>
        </w:rPr>
        <w:t>2-1-1</w:t>
      </w:r>
      <w:r w:rsidRPr="00C77E77">
        <w:rPr>
          <w:rFonts w:ascii="Times New Roman" w:eastAsia="標楷體" w:hAnsi="Times New Roman" w:cs="Times New Roman"/>
          <w:color w:val="000000" w:themeColor="text1"/>
          <w:sz w:val="28"/>
          <w:szCs w:val="28"/>
        </w:rPr>
        <w:t>所示。</w:t>
      </w:r>
    </w:p>
    <w:tbl>
      <w:tblPr>
        <w:tblStyle w:val="af4"/>
        <w:tblW w:w="5120" w:type="pct"/>
        <w:tblLook w:val="04A0" w:firstRow="1" w:lastRow="0" w:firstColumn="1" w:lastColumn="0" w:noHBand="0" w:noVBand="1"/>
      </w:tblPr>
      <w:tblGrid>
        <w:gridCol w:w="1616"/>
        <w:gridCol w:w="1739"/>
        <w:gridCol w:w="3876"/>
        <w:gridCol w:w="1496"/>
      </w:tblGrid>
      <w:tr w:rsidR="006D2155" w:rsidRPr="00C77E77" w:rsidTr="003479BC">
        <w:tc>
          <w:tcPr>
            <w:tcW w:w="5000" w:type="pct"/>
            <w:gridSpan w:val="4"/>
            <w:tcBorders>
              <w:top w:val="nil"/>
              <w:left w:val="nil"/>
              <w:bottom w:val="single" w:sz="4" w:space="0" w:color="auto"/>
              <w:right w:val="nil"/>
            </w:tcBorders>
          </w:tcPr>
          <w:p w:rsidR="006D2155" w:rsidRPr="00C77E77" w:rsidRDefault="006D2155" w:rsidP="006D2155">
            <w:pPr>
              <w:pStyle w:val="af9"/>
              <w:spacing w:afterLines="50" w:after="180"/>
            </w:pPr>
            <w:r w:rsidRPr="00C77E77">
              <w:br w:type="page"/>
            </w:r>
            <w:bookmarkStart w:id="8" w:name="_Toc457546442"/>
            <w:bookmarkStart w:id="9" w:name="_Toc458184925"/>
            <w:bookmarkStart w:id="10" w:name="_Toc470676570"/>
            <w:r w:rsidRPr="00C77E77">
              <w:t>表</w:t>
            </w:r>
            <w:r w:rsidRPr="00C77E77">
              <w:t xml:space="preserve">2-1-1 </w:t>
            </w:r>
            <w:r w:rsidRPr="00C77E77">
              <w:t>前三波「南向政策」的提出背景與主要內容</w:t>
            </w:r>
            <w:bookmarkEnd w:id="8"/>
            <w:bookmarkEnd w:id="9"/>
            <w:bookmarkEnd w:id="10"/>
          </w:p>
        </w:tc>
      </w:tr>
      <w:tr w:rsidR="006D2155" w:rsidRPr="00C77E77" w:rsidTr="003479BC">
        <w:tc>
          <w:tcPr>
            <w:tcW w:w="667" w:type="pct"/>
            <w:tcBorders>
              <w:top w:val="single" w:sz="4" w:space="0" w:color="auto"/>
            </w:tcBorders>
          </w:tcPr>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p>
        </w:tc>
        <w:tc>
          <w:tcPr>
            <w:tcW w:w="1083" w:type="pct"/>
            <w:tcBorders>
              <w:top w:val="single" w:sz="4" w:space="0" w:color="auto"/>
            </w:tcBorders>
          </w:tcPr>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提出背景</w:t>
            </w:r>
          </w:p>
        </w:tc>
        <w:tc>
          <w:tcPr>
            <w:tcW w:w="2307" w:type="pct"/>
            <w:tcBorders>
              <w:top w:val="single" w:sz="4" w:space="0" w:color="auto"/>
            </w:tcBorders>
          </w:tcPr>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主要內容</w:t>
            </w:r>
          </w:p>
        </w:tc>
        <w:tc>
          <w:tcPr>
            <w:tcW w:w="943" w:type="pct"/>
            <w:tcBorders>
              <w:top w:val="single" w:sz="4" w:space="0" w:color="auto"/>
            </w:tcBorders>
          </w:tcPr>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實施範圍</w:t>
            </w:r>
          </w:p>
        </w:tc>
      </w:tr>
      <w:tr w:rsidR="006D2155" w:rsidRPr="00C77E77" w:rsidTr="003479BC">
        <w:tc>
          <w:tcPr>
            <w:tcW w:w="667" w:type="pct"/>
            <w:vAlign w:val="center"/>
          </w:tcPr>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第一波</w:t>
            </w:r>
          </w:p>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1994—1996</w:t>
            </w:r>
          </w:p>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李登輝</w:t>
            </w:r>
          </w:p>
        </w:tc>
        <w:tc>
          <w:tcPr>
            <w:tcW w:w="1083" w:type="pct"/>
          </w:tcPr>
          <w:p w:rsidR="006D2155" w:rsidRPr="00C77E77" w:rsidRDefault="006D2155" w:rsidP="003479BC">
            <w:pPr>
              <w:spacing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分散風險、戒急用忍</w:t>
            </w:r>
          </w:p>
          <w:p w:rsidR="006D2155" w:rsidRPr="00C77E77" w:rsidRDefault="006D2155" w:rsidP="006D2155">
            <w:pPr>
              <w:spacing w:line="0" w:lineRule="atLeast"/>
              <w:rPr>
                <w:rFonts w:ascii="Times New Roman" w:eastAsia="標楷體" w:hAnsi="Times New Roman" w:cs="Times New Roman"/>
                <w:color w:val="000000" w:themeColor="text1"/>
                <w:sz w:val="28"/>
                <w:szCs w:val="28"/>
              </w:rPr>
            </w:pPr>
          </w:p>
        </w:tc>
        <w:tc>
          <w:tcPr>
            <w:tcW w:w="2307" w:type="pct"/>
          </w:tcPr>
          <w:p w:rsidR="006D2155" w:rsidRPr="00C77E77" w:rsidRDefault="006D2155" w:rsidP="00764ED7">
            <w:pPr>
              <w:pStyle w:val="ab"/>
              <w:numPr>
                <w:ilvl w:val="0"/>
                <w:numId w:val="7"/>
              </w:numPr>
              <w:spacing w:line="0" w:lineRule="atLeas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推出《加強對東南亞地區經貿工作綱領》。</w:t>
            </w:r>
          </w:p>
          <w:p w:rsidR="006D2155" w:rsidRPr="00C77E77" w:rsidRDefault="006D2155" w:rsidP="00764ED7">
            <w:pPr>
              <w:pStyle w:val="ab"/>
              <w:numPr>
                <w:ilvl w:val="0"/>
                <w:numId w:val="7"/>
              </w:numPr>
              <w:spacing w:line="0" w:lineRule="atLeas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「由上而下」，以黨營事業為先鋒投資東南亞。</w:t>
            </w:r>
          </w:p>
          <w:p w:rsidR="006D2155" w:rsidRPr="00C77E77" w:rsidRDefault="006D2155" w:rsidP="00764ED7">
            <w:pPr>
              <w:pStyle w:val="ab"/>
              <w:numPr>
                <w:ilvl w:val="0"/>
                <w:numId w:val="7"/>
              </w:numPr>
              <w:spacing w:line="0" w:lineRule="atLeas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成立特別合作工作小組</w:t>
            </w:r>
          </w:p>
        </w:tc>
        <w:tc>
          <w:tcPr>
            <w:tcW w:w="943" w:type="pct"/>
          </w:tcPr>
          <w:p w:rsidR="006D2155" w:rsidRPr="00C77E77" w:rsidRDefault="006D2155" w:rsidP="006D2155">
            <w:pPr>
              <w:spacing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泰、馬、印、菲、星、越、汶</w:t>
            </w:r>
          </w:p>
        </w:tc>
      </w:tr>
      <w:tr w:rsidR="006D2155" w:rsidRPr="00C77E77" w:rsidTr="003479BC">
        <w:tc>
          <w:tcPr>
            <w:tcW w:w="667" w:type="pct"/>
            <w:vAlign w:val="center"/>
          </w:tcPr>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第二波</w:t>
            </w:r>
          </w:p>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1997—1999</w:t>
            </w:r>
          </w:p>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李登輝</w:t>
            </w:r>
          </w:p>
        </w:tc>
        <w:tc>
          <w:tcPr>
            <w:tcW w:w="1083" w:type="pct"/>
          </w:tcPr>
          <w:p w:rsidR="006D2155" w:rsidRPr="00C77E77" w:rsidRDefault="006D2155" w:rsidP="003479BC">
            <w:pPr>
              <w:spacing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分散風險、戒急用忍、亞洲金融風暴後，延長南向政策</w:t>
            </w:r>
          </w:p>
        </w:tc>
        <w:tc>
          <w:tcPr>
            <w:tcW w:w="2307" w:type="pct"/>
          </w:tcPr>
          <w:p w:rsidR="006D2155" w:rsidRPr="00C77E77" w:rsidRDefault="006D2155" w:rsidP="00764ED7">
            <w:pPr>
              <w:pStyle w:val="ab"/>
              <w:numPr>
                <w:ilvl w:val="0"/>
                <w:numId w:val="8"/>
              </w:numPr>
              <w:spacing w:line="0" w:lineRule="atLeas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改名《加強對東南亞及紐澳地區經貿工作綱領》，協助臺商因應金融風暴。</w:t>
            </w:r>
          </w:p>
          <w:p w:rsidR="006D2155" w:rsidRPr="00C77E77" w:rsidRDefault="006D2155" w:rsidP="00764ED7">
            <w:pPr>
              <w:pStyle w:val="ab"/>
              <w:numPr>
                <w:ilvl w:val="0"/>
                <w:numId w:val="8"/>
              </w:numPr>
              <w:spacing w:line="0" w:lineRule="atLeas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公佈《企業對大陸地區投資審查辦法》限制對中國大陸投資。</w:t>
            </w:r>
          </w:p>
        </w:tc>
        <w:tc>
          <w:tcPr>
            <w:tcW w:w="943" w:type="pct"/>
          </w:tcPr>
          <w:p w:rsidR="006D2155" w:rsidRPr="00C77E77" w:rsidRDefault="006D2155" w:rsidP="006D2155">
            <w:pPr>
              <w:spacing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泰、馬、印、菲、星、越、汶、寮、緬、柬、澳、紐</w:t>
            </w:r>
          </w:p>
        </w:tc>
      </w:tr>
      <w:tr w:rsidR="006D2155" w:rsidRPr="00C77E77" w:rsidTr="003479BC">
        <w:tc>
          <w:tcPr>
            <w:tcW w:w="667" w:type="pct"/>
            <w:tcBorders>
              <w:bottom w:val="single" w:sz="4" w:space="0" w:color="auto"/>
            </w:tcBorders>
            <w:vAlign w:val="center"/>
          </w:tcPr>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第三波</w:t>
            </w:r>
          </w:p>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2002-2007</w:t>
            </w:r>
          </w:p>
          <w:p w:rsidR="006D2155" w:rsidRPr="00C77E77" w:rsidRDefault="006D2155" w:rsidP="006D2155">
            <w:pPr>
              <w:spacing w:line="0" w:lineRule="atLeas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陳水扁</w:t>
            </w:r>
          </w:p>
        </w:tc>
        <w:tc>
          <w:tcPr>
            <w:tcW w:w="1083" w:type="pct"/>
            <w:tcBorders>
              <w:bottom w:val="single" w:sz="4" w:space="0" w:color="auto"/>
            </w:tcBorders>
          </w:tcPr>
          <w:p w:rsidR="006D2155" w:rsidRPr="00C77E77" w:rsidRDefault="006D2155" w:rsidP="003479BC">
            <w:pPr>
              <w:spacing w:line="0" w:lineRule="atLeas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陳水扁初任總統時對中國大陸友善，臺商大舉西進，其後則企圖降溫。</w:t>
            </w:r>
          </w:p>
        </w:tc>
        <w:tc>
          <w:tcPr>
            <w:tcW w:w="2307" w:type="pct"/>
            <w:tcBorders>
              <w:bottom w:val="single" w:sz="4" w:space="0" w:color="auto"/>
            </w:tcBorders>
          </w:tcPr>
          <w:p w:rsidR="006D2155" w:rsidRPr="00C77E77" w:rsidRDefault="006D2155" w:rsidP="00764ED7">
            <w:pPr>
              <w:pStyle w:val="ab"/>
              <w:numPr>
                <w:ilvl w:val="0"/>
                <w:numId w:val="9"/>
              </w:numPr>
              <w:spacing w:line="0" w:lineRule="atLeas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仍以官方為主導，透過融資、租稅和輔導協助廠商前往東南亞投資。</w:t>
            </w:r>
          </w:p>
          <w:p w:rsidR="006D2155" w:rsidRPr="00C77E77" w:rsidRDefault="006D2155" w:rsidP="00764ED7">
            <w:pPr>
              <w:pStyle w:val="ab"/>
              <w:numPr>
                <w:ilvl w:val="0"/>
                <w:numId w:val="9"/>
              </w:numPr>
              <w:spacing w:line="0" w:lineRule="atLeas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對中「積極開放、有效管理」</w:t>
            </w:r>
          </w:p>
          <w:p w:rsidR="006D2155" w:rsidRPr="00C77E77" w:rsidRDefault="006D2155" w:rsidP="00764ED7">
            <w:pPr>
              <w:pStyle w:val="ab"/>
              <w:numPr>
                <w:ilvl w:val="0"/>
                <w:numId w:val="9"/>
              </w:numPr>
              <w:spacing w:line="0" w:lineRule="atLeas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積極推動與東協國家洽簽雙邊自由貿易協定。</w:t>
            </w:r>
          </w:p>
        </w:tc>
        <w:tc>
          <w:tcPr>
            <w:tcW w:w="943" w:type="pct"/>
            <w:tcBorders>
              <w:bottom w:val="single" w:sz="4" w:space="0" w:color="auto"/>
            </w:tcBorders>
          </w:tcPr>
          <w:p w:rsidR="006D2155" w:rsidRPr="00C77E77" w:rsidRDefault="006D2155" w:rsidP="006D2155">
            <w:pPr>
              <w:spacing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以新、馬、越、菲、印尼為重點。</w:t>
            </w:r>
          </w:p>
        </w:tc>
      </w:tr>
      <w:tr w:rsidR="006D2155" w:rsidRPr="00C77E77" w:rsidTr="003479BC">
        <w:tc>
          <w:tcPr>
            <w:tcW w:w="5000" w:type="pct"/>
            <w:gridSpan w:val="4"/>
            <w:tcBorders>
              <w:top w:val="single" w:sz="4" w:space="0" w:color="auto"/>
              <w:left w:val="nil"/>
              <w:bottom w:val="nil"/>
              <w:right w:val="nil"/>
            </w:tcBorders>
          </w:tcPr>
          <w:p w:rsidR="006D2155" w:rsidRPr="00C77E77" w:rsidRDefault="006D2155" w:rsidP="006D2155">
            <w:pPr>
              <w:spacing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資料來源：本研究整理</w:t>
            </w:r>
            <w:r w:rsidR="000C1684" w:rsidRPr="00C77E77">
              <w:rPr>
                <w:rFonts w:ascii="Times New Roman" w:eastAsia="標楷體" w:hAnsi="Times New Roman" w:cs="Times New Roman"/>
                <w:color w:val="000000" w:themeColor="text1"/>
                <w:sz w:val="28"/>
                <w:szCs w:val="28"/>
              </w:rPr>
              <w:t>。</w:t>
            </w:r>
          </w:p>
        </w:tc>
      </w:tr>
    </w:tbl>
    <w:p w:rsidR="006D2155" w:rsidRPr="00C77E77" w:rsidRDefault="006D2155" w:rsidP="00764ED7">
      <w:pPr>
        <w:pStyle w:val="ab"/>
        <w:numPr>
          <w:ilvl w:val="1"/>
          <w:numId w:val="6"/>
        </w:numPr>
        <w:spacing w:beforeLines="50" w:before="180" w:afterLines="50" w:after="180" w:line="500" w:lineRule="exact"/>
        <w:ind w:leftChars="100" w:left="1125" w:hanging="885"/>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lastRenderedPageBreak/>
        <w:t>前三波「南向政策」之成效檢視</w:t>
      </w:r>
    </w:p>
    <w:p w:rsidR="006D2155" w:rsidRPr="00C77E77" w:rsidRDefault="006D2155" w:rsidP="00F32487">
      <w:pPr>
        <w:pStyle w:val="ab"/>
        <w:spacing w:beforeLines="50" w:before="180" w:afterLines="50" w:after="180" w:line="500" w:lineRule="exact"/>
        <w:ind w:leftChars="177" w:left="425"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自</w:t>
      </w:r>
      <w:r w:rsidRPr="00C77E77">
        <w:rPr>
          <w:rFonts w:ascii="Times New Roman" w:eastAsia="標楷體" w:hAnsi="Times New Roman" w:cs="Times New Roman"/>
          <w:color w:val="000000" w:themeColor="text1"/>
          <w:sz w:val="28"/>
          <w:szCs w:val="28"/>
        </w:rPr>
        <w:t>1993</w:t>
      </w:r>
      <w:r w:rsidRPr="00C77E77">
        <w:rPr>
          <w:rFonts w:ascii="Times New Roman" w:eastAsia="標楷體" w:hAnsi="Times New Roman" w:cs="Times New Roman"/>
          <w:color w:val="000000" w:themeColor="text1"/>
          <w:sz w:val="28"/>
          <w:szCs w:val="28"/>
        </w:rPr>
        <w:t>年起至</w:t>
      </w:r>
      <w:r w:rsidRPr="00C77E77">
        <w:rPr>
          <w:rFonts w:ascii="Times New Roman" w:eastAsia="標楷體" w:hAnsi="Times New Roman" w:cs="Times New Roman"/>
          <w:color w:val="000000" w:themeColor="text1"/>
          <w:sz w:val="28"/>
          <w:szCs w:val="28"/>
        </w:rPr>
        <w:t>2007</w:t>
      </w:r>
      <w:r w:rsidRPr="00C77E77">
        <w:rPr>
          <w:rFonts w:ascii="Times New Roman" w:eastAsia="標楷體" w:hAnsi="Times New Roman" w:cs="Times New Roman"/>
          <w:color w:val="000000" w:themeColor="text1"/>
          <w:sz w:val="28"/>
          <w:szCs w:val="28"/>
        </w:rPr>
        <w:t>年間，我國先後推動三波南向政策，包括</w:t>
      </w:r>
      <w:r w:rsidRPr="00C77E77">
        <w:rPr>
          <w:rFonts w:ascii="Times New Roman" w:eastAsia="標楷體" w:hAnsi="Times New Roman" w:cs="Times New Roman"/>
          <w:color w:val="000000" w:themeColor="text1"/>
          <w:sz w:val="28"/>
          <w:szCs w:val="28"/>
        </w:rPr>
        <w:t>1994</w:t>
      </w:r>
      <w:r w:rsidRPr="00C77E77">
        <w:rPr>
          <w:rFonts w:ascii="Times New Roman" w:eastAsia="標楷體" w:hAnsi="Times New Roman" w:cs="Times New Roman"/>
          <w:color w:val="000000" w:themeColor="text1"/>
          <w:sz w:val="28"/>
          <w:szCs w:val="28"/>
        </w:rPr>
        <w:t>年李登輝首次提出「南向政策」並制訂《加強東南亞地區經貿工作綱領》鼓勵臺商赴東南亞投資。</w:t>
      </w:r>
      <w:r w:rsidRPr="00C77E77">
        <w:rPr>
          <w:rFonts w:ascii="Times New Roman" w:eastAsia="標楷體" w:hAnsi="Times New Roman" w:cs="Times New Roman"/>
          <w:color w:val="000000" w:themeColor="text1"/>
          <w:sz w:val="28"/>
          <w:szCs w:val="28"/>
        </w:rPr>
        <w:t>1997</w:t>
      </w:r>
      <w:r w:rsidRPr="00C77E77">
        <w:rPr>
          <w:rFonts w:ascii="Times New Roman" w:eastAsia="標楷體" w:hAnsi="Times New Roman" w:cs="Times New Roman"/>
          <w:color w:val="000000" w:themeColor="text1"/>
          <w:sz w:val="28"/>
          <w:szCs w:val="28"/>
        </w:rPr>
        <w:t>年配合「戒急用忍」政策，利用東南亞金融危機需要大量經濟紓困的機會，再度對東南亞國家提出以政府為主的金融援助，並鼓勵臺商前往東南亞投資設廠。</w:t>
      </w:r>
      <w:r w:rsidRPr="00C77E77">
        <w:rPr>
          <w:rFonts w:ascii="Times New Roman" w:eastAsia="標楷體" w:hAnsi="Times New Roman" w:cs="Times New Roman"/>
          <w:color w:val="000000" w:themeColor="text1"/>
          <w:sz w:val="28"/>
          <w:szCs w:val="28"/>
        </w:rPr>
        <w:t>2002</w:t>
      </w:r>
      <w:r w:rsidRPr="00C77E77">
        <w:rPr>
          <w:rFonts w:ascii="Times New Roman" w:eastAsia="標楷體" w:hAnsi="Times New Roman" w:cs="Times New Roman"/>
          <w:color w:val="000000" w:themeColor="text1"/>
          <w:sz w:val="28"/>
          <w:szCs w:val="28"/>
        </w:rPr>
        <w:t>年陳水扁再次呼籲「臺灣要走自己的路」，引導臺商向東南亞投資。歷次政策的消極目的是遏制臺商對中國大陸投資的過度依賴，減輕因為中國大陸局勢不穩可能連帶對我造成的經濟震盪；積極目的在於運用經貿工具強化臺灣對東協的外交關係，追求成為亞太營運中心的目標。</w:t>
      </w:r>
    </w:p>
    <w:p w:rsidR="006D2155" w:rsidRPr="00C77E77" w:rsidRDefault="006D2155" w:rsidP="00F32487">
      <w:pPr>
        <w:pStyle w:val="ab"/>
        <w:spacing w:beforeLines="50" w:before="180" w:afterLines="50" w:after="180" w:line="500" w:lineRule="exact"/>
        <w:ind w:leftChars="177" w:left="425"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從數據來分析這三次南向政策的成果，下圖</w:t>
      </w:r>
      <w:r w:rsidRPr="00C77E77">
        <w:rPr>
          <w:rFonts w:ascii="Times New Roman" w:eastAsia="標楷體" w:hAnsi="Times New Roman" w:cs="Times New Roman"/>
          <w:color w:val="000000" w:themeColor="text1"/>
          <w:sz w:val="28"/>
          <w:szCs w:val="28"/>
        </w:rPr>
        <w:t>2-1-1</w:t>
      </w:r>
      <w:r w:rsidRPr="00C77E77">
        <w:rPr>
          <w:rFonts w:ascii="Times New Roman" w:eastAsia="標楷體" w:hAnsi="Times New Roman" w:cs="Times New Roman"/>
          <w:color w:val="000000" w:themeColor="text1"/>
          <w:sz w:val="28"/>
          <w:szCs w:val="28"/>
        </w:rPr>
        <w:t>為</w:t>
      </w:r>
      <w:r w:rsidRPr="00C77E77">
        <w:rPr>
          <w:rFonts w:ascii="Times New Roman" w:eastAsia="標楷體" w:hAnsi="Times New Roman" w:cs="Times New Roman"/>
          <w:color w:val="000000" w:themeColor="text1"/>
          <w:sz w:val="28"/>
          <w:szCs w:val="28"/>
        </w:rPr>
        <w:t>1994</w:t>
      </w:r>
      <w:r w:rsidRPr="00C77E77">
        <w:rPr>
          <w:rFonts w:ascii="Times New Roman" w:eastAsia="標楷體" w:hAnsi="Times New Roman" w:cs="Times New Roman"/>
          <w:color w:val="000000" w:themeColor="text1"/>
          <w:sz w:val="28"/>
          <w:szCs w:val="28"/>
        </w:rPr>
        <w:t>至</w:t>
      </w:r>
      <w:r w:rsidRPr="00C77E77">
        <w:rPr>
          <w:rFonts w:ascii="Times New Roman" w:eastAsia="標楷體" w:hAnsi="Times New Roman" w:cs="Times New Roman"/>
          <w:color w:val="000000" w:themeColor="text1"/>
          <w:sz w:val="28"/>
          <w:szCs w:val="28"/>
        </w:rPr>
        <w:t>2007</w:t>
      </w:r>
      <w:r w:rsidRPr="00C77E77">
        <w:rPr>
          <w:rFonts w:ascii="Times New Roman" w:eastAsia="標楷體" w:hAnsi="Times New Roman" w:cs="Times New Roman"/>
          <w:color w:val="000000" w:themeColor="text1"/>
          <w:sz w:val="28"/>
          <w:szCs w:val="28"/>
        </w:rPr>
        <w:t>年間我國與東協</w:t>
      </w:r>
      <w:r w:rsidRPr="00C77E77">
        <w:rPr>
          <w:rFonts w:ascii="Times New Roman" w:eastAsia="標楷體" w:hAnsi="Times New Roman" w:cs="Times New Roman"/>
          <w:color w:val="000000" w:themeColor="text1"/>
          <w:sz w:val="28"/>
          <w:szCs w:val="28"/>
        </w:rPr>
        <w:t>10</w:t>
      </w:r>
      <w:r w:rsidRPr="00C77E77">
        <w:rPr>
          <w:rFonts w:ascii="Times New Roman" w:eastAsia="標楷體" w:hAnsi="Times New Roman" w:cs="Times New Roman"/>
          <w:color w:val="000000" w:themeColor="text1"/>
          <w:sz w:val="28"/>
          <w:szCs w:val="28"/>
        </w:rPr>
        <w:t>國的進出口貿易圖，雖然整體來說自</w:t>
      </w:r>
      <w:r w:rsidRPr="00C77E77">
        <w:rPr>
          <w:rFonts w:ascii="Times New Roman" w:eastAsia="標楷體" w:hAnsi="Times New Roman" w:cs="Times New Roman"/>
          <w:color w:val="000000" w:themeColor="text1"/>
          <w:sz w:val="28"/>
          <w:szCs w:val="28"/>
        </w:rPr>
        <w:t>1994</w:t>
      </w:r>
      <w:r w:rsidRPr="00C77E77">
        <w:rPr>
          <w:rFonts w:ascii="Times New Roman" w:eastAsia="標楷體" w:hAnsi="Times New Roman" w:cs="Times New Roman"/>
          <w:color w:val="000000" w:themeColor="text1"/>
          <w:sz w:val="28"/>
          <w:szCs w:val="28"/>
        </w:rPr>
        <w:t>至</w:t>
      </w:r>
      <w:r w:rsidRPr="00C77E77">
        <w:rPr>
          <w:rFonts w:ascii="Times New Roman" w:eastAsia="標楷體" w:hAnsi="Times New Roman" w:cs="Times New Roman"/>
          <w:color w:val="000000" w:themeColor="text1"/>
          <w:sz w:val="28"/>
          <w:szCs w:val="28"/>
        </w:rPr>
        <w:t>2007</w:t>
      </w:r>
      <w:r w:rsidRPr="00C77E77">
        <w:rPr>
          <w:rFonts w:ascii="Times New Roman" w:eastAsia="標楷體" w:hAnsi="Times New Roman" w:cs="Times New Roman"/>
          <w:color w:val="000000" w:themeColor="text1"/>
          <w:sz w:val="28"/>
          <w:szCs w:val="28"/>
        </w:rPr>
        <w:t>年我國與東協</w:t>
      </w:r>
      <w:r w:rsidRPr="00C77E77">
        <w:rPr>
          <w:rFonts w:ascii="Times New Roman" w:eastAsia="標楷體" w:hAnsi="Times New Roman" w:cs="Times New Roman"/>
          <w:color w:val="000000" w:themeColor="text1"/>
          <w:sz w:val="28"/>
          <w:szCs w:val="28"/>
        </w:rPr>
        <w:t>10</w:t>
      </w:r>
      <w:r w:rsidRPr="00C77E77">
        <w:rPr>
          <w:rFonts w:ascii="Times New Roman" w:eastAsia="標楷體" w:hAnsi="Times New Roman" w:cs="Times New Roman"/>
          <w:color w:val="000000" w:themeColor="text1"/>
          <w:sz w:val="28"/>
          <w:szCs w:val="28"/>
        </w:rPr>
        <w:t>國的貿易額呈現上升趨勢，不過</w:t>
      </w:r>
      <w:r w:rsidRPr="00C77E77">
        <w:rPr>
          <w:rFonts w:ascii="Times New Roman" w:eastAsia="標楷體" w:hAnsi="Times New Roman" w:cs="Times New Roman"/>
          <w:color w:val="000000" w:themeColor="text1"/>
          <w:sz w:val="28"/>
          <w:szCs w:val="28"/>
        </w:rPr>
        <w:t>1998</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1999</w:t>
      </w:r>
      <w:r w:rsidRPr="00C77E77">
        <w:rPr>
          <w:rFonts w:ascii="Times New Roman" w:eastAsia="標楷體" w:hAnsi="Times New Roman" w:cs="Times New Roman"/>
          <w:color w:val="000000" w:themeColor="text1"/>
          <w:sz w:val="28"/>
          <w:szCs w:val="28"/>
        </w:rPr>
        <w:t>，以及</w:t>
      </w:r>
      <w:r w:rsidRPr="00C77E77">
        <w:rPr>
          <w:rFonts w:ascii="Times New Roman" w:eastAsia="標楷體" w:hAnsi="Times New Roman" w:cs="Times New Roman"/>
          <w:color w:val="000000" w:themeColor="text1"/>
          <w:sz w:val="28"/>
          <w:szCs w:val="28"/>
        </w:rPr>
        <w:t>2001-2003</w:t>
      </w:r>
      <w:r w:rsidRPr="00C77E77">
        <w:rPr>
          <w:rFonts w:ascii="Times New Roman" w:eastAsia="標楷體" w:hAnsi="Times New Roman" w:cs="Times New Roman"/>
          <w:color w:val="000000" w:themeColor="text1"/>
          <w:sz w:val="28"/>
          <w:szCs w:val="28"/>
        </w:rPr>
        <w:t>年間的貿易表現都有所衰退。</w:t>
      </w:r>
    </w:p>
    <w:p w:rsidR="006D2155" w:rsidRPr="00C77E77" w:rsidRDefault="006D2155" w:rsidP="006D2155">
      <w:pPr>
        <w:jc w:val="center"/>
        <w:rPr>
          <w:rFonts w:ascii="Times New Roman" w:hAnsi="Times New Roman" w:cs="Times New Roman"/>
          <w:color w:val="000000" w:themeColor="text1"/>
          <w:szCs w:val="28"/>
        </w:rPr>
      </w:pPr>
      <w:r w:rsidRPr="00C77E77">
        <w:rPr>
          <w:rFonts w:ascii="Times New Roman" w:hAnsi="Times New Roman" w:cs="Times New Roman"/>
          <w:noProof/>
          <w:color w:val="000000" w:themeColor="text1"/>
          <w:szCs w:val="28"/>
        </w:rPr>
        <w:drawing>
          <wp:inline distT="0" distB="0" distL="0" distR="0" wp14:anchorId="4ABACD80" wp14:editId="7B6A83BC">
            <wp:extent cx="5274310" cy="2719118"/>
            <wp:effectExtent l="0" t="0" r="2540" b="5080"/>
            <wp:docPr id="12" name="圖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D2155" w:rsidRPr="00C77E77" w:rsidRDefault="006D2155" w:rsidP="006D2155">
      <w:pPr>
        <w:pStyle w:val="af7"/>
        <w:jc w:val="left"/>
        <w:rPr>
          <w:sz w:val="27"/>
          <w:szCs w:val="27"/>
        </w:rPr>
      </w:pPr>
      <w:bookmarkStart w:id="11" w:name="_Toc456860504"/>
      <w:bookmarkStart w:id="12" w:name="_Toc456860609"/>
      <w:bookmarkStart w:id="13" w:name="_Toc456860801"/>
      <w:bookmarkStart w:id="14" w:name="_Toc457546470"/>
      <w:bookmarkStart w:id="15" w:name="_Toc458185140"/>
      <w:bookmarkStart w:id="16" w:name="_Toc470676626"/>
      <w:r w:rsidRPr="00C77E77">
        <w:rPr>
          <w:sz w:val="27"/>
          <w:szCs w:val="27"/>
        </w:rPr>
        <w:t>圖</w:t>
      </w:r>
      <w:r w:rsidRPr="00C77E77">
        <w:rPr>
          <w:sz w:val="27"/>
          <w:szCs w:val="27"/>
        </w:rPr>
        <w:t xml:space="preserve">2-1-1 </w:t>
      </w:r>
      <w:r w:rsidRPr="00C77E77">
        <w:rPr>
          <w:sz w:val="27"/>
          <w:szCs w:val="27"/>
        </w:rPr>
        <w:t>前三波南向政策期間我國與東協十國進出口值</w:t>
      </w:r>
      <w:bookmarkEnd w:id="11"/>
      <w:bookmarkEnd w:id="12"/>
      <w:bookmarkEnd w:id="13"/>
      <w:r w:rsidRPr="00C77E77">
        <w:rPr>
          <w:sz w:val="27"/>
          <w:szCs w:val="27"/>
        </w:rPr>
        <w:t>（</w:t>
      </w:r>
      <w:r w:rsidRPr="00C77E77">
        <w:rPr>
          <w:sz w:val="27"/>
          <w:szCs w:val="27"/>
        </w:rPr>
        <w:t>1994-2007</w:t>
      </w:r>
      <w:r w:rsidRPr="00C77E77">
        <w:rPr>
          <w:sz w:val="27"/>
          <w:szCs w:val="27"/>
        </w:rPr>
        <w:t>）</w:t>
      </w:r>
      <w:bookmarkEnd w:id="14"/>
      <w:bookmarkEnd w:id="15"/>
      <w:bookmarkEnd w:id="16"/>
    </w:p>
    <w:p w:rsidR="006D2155" w:rsidRPr="00C77E77" w:rsidRDefault="006D2155" w:rsidP="006D2155">
      <w:pPr>
        <w:spacing w:afterLines="50" w:after="180" w:line="0" w:lineRule="atLeast"/>
        <w:rPr>
          <w:rFonts w:ascii="Times New Roman" w:eastAsia="標楷體" w:hAnsi="Times New Roman" w:cs="Times New Roman"/>
          <w:color w:val="000000" w:themeColor="text1"/>
          <w:sz w:val="27"/>
          <w:szCs w:val="27"/>
        </w:rPr>
      </w:pPr>
      <w:r w:rsidRPr="00C77E77">
        <w:rPr>
          <w:rFonts w:ascii="Times New Roman" w:eastAsia="標楷體" w:hAnsi="Times New Roman" w:cs="Times New Roman"/>
          <w:color w:val="000000" w:themeColor="text1"/>
          <w:sz w:val="27"/>
          <w:szCs w:val="27"/>
        </w:rPr>
        <w:t>資料來源：本研究整理</w:t>
      </w:r>
      <w:r w:rsidR="000C1684" w:rsidRPr="00C77E77">
        <w:rPr>
          <w:rFonts w:ascii="Times New Roman" w:eastAsia="標楷體" w:hAnsi="Times New Roman" w:cs="Times New Roman"/>
          <w:color w:val="000000" w:themeColor="text1"/>
          <w:sz w:val="27"/>
          <w:szCs w:val="27"/>
        </w:rPr>
        <w:t>。</w:t>
      </w:r>
    </w:p>
    <w:p w:rsidR="003479BC" w:rsidRPr="00C77E77" w:rsidRDefault="003479BC" w:rsidP="00F32487">
      <w:pPr>
        <w:pStyle w:val="ab"/>
        <w:spacing w:beforeLines="50" w:before="180" w:afterLines="50" w:after="180" w:line="500" w:lineRule="exact"/>
        <w:ind w:leftChars="177" w:left="425" w:firstLine="568"/>
        <w:jc w:val="both"/>
        <w:rPr>
          <w:rFonts w:ascii="Times New Roman" w:eastAsia="標楷體" w:hAnsi="Times New Roman" w:cs="Times New Roman"/>
          <w:sz w:val="28"/>
          <w:szCs w:val="28"/>
        </w:rPr>
      </w:pPr>
    </w:p>
    <w:p w:rsidR="006D2155" w:rsidRPr="00C77E77" w:rsidRDefault="006D2155" w:rsidP="00F32487">
      <w:pPr>
        <w:pStyle w:val="ab"/>
        <w:spacing w:beforeLines="50" w:before="180" w:afterLines="50" w:after="18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lastRenderedPageBreak/>
        <w:t>李登輝、陳水扁二位總統所推動鼓勵廠商前進東南亞的經濟政策，在產業都沒有收到成效。</w:t>
      </w:r>
      <w:r w:rsidRPr="00C77E77">
        <w:rPr>
          <w:rFonts w:ascii="Times New Roman" w:eastAsia="標楷體" w:hAnsi="Times New Roman" w:cs="Times New Roman"/>
          <w:sz w:val="28"/>
          <w:szCs w:val="28"/>
        </w:rPr>
        <w:t>1990</w:t>
      </w:r>
      <w:r w:rsidRPr="00C77E77">
        <w:rPr>
          <w:rFonts w:ascii="Times New Roman" w:eastAsia="標楷體" w:hAnsi="Times New Roman" w:cs="Times New Roman"/>
          <w:sz w:val="28"/>
          <w:szCs w:val="28"/>
        </w:rPr>
        <w:t>年對中國</w:t>
      </w:r>
      <w:r w:rsidRPr="00C77E77">
        <w:rPr>
          <w:rFonts w:ascii="Times New Roman" w:eastAsia="標楷體" w:hAnsi="Times New Roman" w:cs="Times New Roman"/>
          <w:color w:val="000000" w:themeColor="text1"/>
          <w:sz w:val="28"/>
          <w:szCs w:val="28"/>
        </w:rPr>
        <w:t>大陸</w:t>
      </w:r>
      <w:r w:rsidRPr="00C77E77">
        <w:rPr>
          <w:rFonts w:ascii="Times New Roman" w:eastAsia="標楷體" w:hAnsi="Times New Roman" w:cs="Times New Roman"/>
          <w:sz w:val="28"/>
          <w:szCs w:val="28"/>
        </w:rPr>
        <w:t>（含香港）出口比重為</w:t>
      </w:r>
      <w:r w:rsidRPr="00C77E77">
        <w:rPr>
          <w:rFonts w:ascii="Times New Roman" w:eastAsia="標楷體" w:hAnsi="Times New Roman" w:cs="Times New Roman"/>
          <w:sz w:val="28"/>
          <w:szCs w:val="28"/>
        </w:rPr>
        <w:t>14</w:t>
      </w:r>
      <w:r w:rsidRPr="00C77E77">
        <w:rPr>
          <w:rFonts w:ascii="Times New Roman" w:eastAsia="標楷體" w:hAnsi="Times New Roman" w:cs="Times New Roman"/>
          <w:sz w:val="28"/>
          <w:szCs w:val="28"/>
        </w:rPr>
        <w:t>％，扁政府時代飆到</w:t>
      </w:r>
      <w:r w:rsidRPr="00C77E77">
        <w:rPr>
          <w:rFonts w:ascii="Times New Roman" w:eastAsia="標楷體" w:hAnsi="Times New Roman" w:cs="Times New Roman"/>
          <w:sz w:val="28"/>
          <w:szCs w:val="28"/>
        </w:rPr>
        <w:t>38</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年更接近</w:t>
      </w:r>
      <w:r w:rsidRPr="00C77E77">
        <w:rPr>
          <w:rFonts w:ascii="Times New Roman" w:eastAsia="標楷體" w:hAnsi="Times New Roman" w:cs="Times New Roman"/>
          <w:sz w:val="28"/>
          <w:szCs w:val="28"/>
        </w:rPr>
        <w:t>41</w:t>
      </w:r>
      <w:r w:rsidRPr="00C77E77">
        <w:rPr>
          <w:rFonts w:ascii="Times New Roman" w:eastAsia="標楷體" w:hAnsi="Times New Roman" w:cs="Times New Roman"/>
          <w:sz w:val="28"/>
          <w:szCs w:val="28"/>
        </w:rPr>
        <w:t>％。投資也是一樣，</w:t>
      </w:r>
      <w:r w:rsidRPr="00C77E77">
        <w:rPr>
          <w:rFonts w:ascii="Times New Roman" w:eastAsia="標楷體" w:hAnsi="Times New Roman" w:cs="Times New Roman"/>
          <w:sz w:val="28"/>
          <w:szCs w:val="28"/>
        </w:rPr>
        <w:t>1991</w:t>
      </w:r>
      <w:r w:rsidRPr="00C77E77">
        <w:rPr>
          <w:rFonts w:ascii="Times New Roman" w:eastAsia="標楷體" w:hAnsi="Times New Roman" w:cs="Times New Roman"/>
          <w:sz w:val="28"/>
          <w:szCs w:val="28"/>
        </w:rPr>
        <w:t>赴中國大陸投資佔我整體對外投資金額比例</w:t>
      </w:r>
      <w:r w:rsidRPr="00C77E77">
        <w:rPr>
          <w:rFonts w:ascii="Times New Roman" w:eastAsia="標楷體" w:hAnsi="Times New Roman" w:cs="Times New Roman"/>
          <w:sz w:val="28"/>
          <w:szCs w:val="28"/>
        </w:rPr>
        <w:t>15.6</w:t>
      </w:r>
      <w:r w:rsidRPr="00C77E77">
        <w:rPr>
          <w:rFonts w:ascii="Times New Roman" w:eastAsia="標楷體" w:hAnsi="Times New Roman" w:cs="Times New Roman"/>
          <w:sz w:val="28"/>
          <w:szCs w:val="28"/>
        </w:rPr>
        <w:t>％，扁政府時代到了</w:t>
      </w:r>
      <w:r w:rsidRPr="00C77E77">
        <w:rPr>
          <w:rFonts w:ascii="Times New Roman" w:eastAsia="標楷體" w:hAnsi="Times New Roman" w:cs="Times New Roman"/>
          <w:sz w:val="28"/>
          <w:szCs w:val="28"/>
        </w:rPr>
        <w:t>66</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年則高達</w:t>
      </w:r>
      <w:r w:rsidRPr="00C77E77">
        <w:rPr>
          <w:rFonts w:ascii="Times New Roman" w:eastAsia="標楷體" w:hAnsi="Times New Roman" w:cs="Times New Roman"/>
          <w:sz w:val="28"/>
          <w:szCs w:val="28"/>
        </w:rPr>
        <w:t>73</w:t>
      </w:r>
      <w:r w:rsidRPr="00C77E77">
        <w:rPr>
          <w:rFonts w:ascii="Times New Roman" w:eastAsia="標楷體" w:hAnsi="Times New Roman" w:cs="Times New Roman"/>
          <w:sz w:val="28"/>
          <w:szCs w:val="28"/>
        </w:rPr>
        <w:t>％。</w:t>
      </w:r>
      <w:r w:rsidRPr="00C77E77">
        <w:rPr>
          <w:rStyle w:val="a9"/>
          <w:rFonts w:ascii="Times New Roman" w:hAnsi="Times New Roman" w:cs="Times New Roman"/>
        </w:rPr>
        <w:footnoteReference w:id="12"/>
      </w:r>
      <w:r w:rsidRPr="00C77E77">
        <w:rPr>
          <w:rFonts w:ascii="Times New Roman" w:eastAsia="標楷體" w:hAnsi="Times New Roman" w:cs="Times New Roman"/>
          <w:color w:val="000000" w:themeColor="text1"/>
          <w:sz w:val="28"/>
          <w:szCs w:val="28"/>
        </w:rPr>
        <w:t>下圖</w:t>
      </w:r>
      <w:r w:rsidRPr="00C77E77">
        <w:rPr>
          <w:rFonts w:ascii="Times New Roman" w:eastAsia="標楷體" w:hAnsi="Times New Roman" w:cs="Times New Roman"/>
          <w:color w:val="000000" w:themeColor="text1"/>
          <w:sz w:val="28"/>
          <w:szCs w:val="28"/>
        </w:rPr>
        <w:t>2-1-2</w:t>
      </w:r>
      <w:r w:rsidRPr="00C77E77">
        <w:rPr>
          <w:rFonts w:ascii="Times New Roman" w:eastAsia="標楷體" w:hAnsi="Times New Roman" w:cs="Times New Roman"/>
          <w:color w:val="000000" w:themeColor="text1"/>
          <w:sz w:val="28"/>
          <w:szCs w:val="28"/>
        </w:rPr>
        <w:t>比較</w:t>
      </w:r>
      <w:r w:rsidRPr="00C77E77">
        <w:rPr>
          <w:rFonts w:ascii="Times New Roman" w:eastAsia="標楷體" w:hAnsi="Times New Roman" w:cs="Times New Roman"/>
          <w:color w:val="000000" w:themeColor="text1"/>
          <w:sz w:val="28"/>
          <w:szCs w:val="28"/>
        </w:rPr>
        <w:t>1994</w:t>
      </w:r>
      <w:r w:rsidRPr="00C77E77">
        <w:rPr>
          <w:rFonts w:ascii="Times New Roman" w:eastAsia="標楷體" w:hAnsi="Times New Roman" w:cs="Times New Roman"/>
          <w:color w:val="000000" w:themeColor="text1"/>
          <w:sz w:val="28"/>
          <w:szCs w:val="28"/>
        </w:rPr>
        <w:t>至</w:t>
      </w:r>
      <w:r w:rsidRPr="00C77E77">
        <w:rPr>
          <w:rFonts w:ascii="Times New Roman" w:eastAsia="標楷體" w:hAnsi="Times New Roman" w:cs="Times New Roman"/>
          <w:color w:val="000000" w:themeColor="text1"/>
          <w:sz w:val="28"/>
          <w:szCs w:val="28"/>
        </w:rPr>
        <w:t>2007</w:t>
      </w:r>
      <w:r w:rsidRPr="00C77E77">
        <w:rPr>
          <w:rFonts w:ascii="Times New Roman" w:eastAsia="標楷體" w:hAnsi="Times New Roman" w:cs="Times New Roman"/>
          <w:color w:val="000000" w:themeColor="text1"/>
          <w:sz w:val="28"/>
          <w:szCs w:val="28"/>
        </w:rPr>
        <w:t>年我國對中國大陸與東協國家的投資趨勢，可以看出前三波南向政策並沒有減緩臺商前進中國大陸的潮流。相反的，造成對兩地的投資差距有所擴大，尤其是</w:t>
      </w:r>
      <w:r w:rsidRPr="00C77E77">
        <w:rPr>
          <w:rFonts w:ascii="Times New Roman" w:eastAsia="標楷體" w:hAnsi="Times New Roman" w:cs="Times New Roman"/>
          <w:color w:val="000000" w:themeColor="text1"/>
          <w:sz w:val="28"/>
          <w:szCs w:val="28"/>
        </w:rPr>
        <w:t>2000</w:t>
      </w:r>
      <w:r w:rsidRPr="00C77E77">
        <w:rPr>
          <w:rFonts w:ascii="Times New Roman" w:eastAsia="標楷體" w:hAnsi="Times New Roman" w:cs="Times New Roman"/>
          <w:color w:val="000000" w:themeColor="text1"/>
          <w:sz w:val="28"/>
          <w:szCs w:val="28"/>
        </w:rPr>
        <w:t>年以後臺商依然大舉撤出東南亞，轉向對中國大陸的投資。換言之，前三波南向政策的目標無疑是失敗的。</w:t>
      </w:r>
    </w:p>
    <w:p w:rsidR="006D2155" w:rsidRPr="00C77E77" w:rsidRDefault="006D2155" w:rsidP="006D2155">
      <w:pPr>
        <w:spacing w:line="360" w:lineRule="auto"/>
        <w:jc w:val="center"/>
        <w:rPr>
          <w:rFonts w:ascii="Times New Roman" w:hAnsi="Times New Roman" w:cs="Times New Roman"/>
          <w:color w:val="000000" w:themeColor="text1"/>
          <w:szCs w:val="28"/>
        </w:rPr>
      </w:pPr>
      <w:r w:rsidRPr="00C77E77">
        <w:rPr>
          <w:rFonts w:ascii="Times New Roman" w:hAnsi="Times New Roman" w:cs="Times New Roman"/>
          <w:noProof/>
          <w:color w:val="000000" w:themeColor="text1"/>
          <w:szCs w:val="28"/>
        </w:rPr>
        <w:drawing>
          <wp:inline distT="0" distB="0" distL="0" distR="0" wp14:anchorId="404CB424" wp14:editId="59A791D5">
            <wp:extent cx="5274310" cy="3076575"/>
            <wp:effectExtent l="0" t="0" r="2540" b="9525"/>
            <wp:docPr id="14" name="圖表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D2155" w:rsidRPr="00C77E77" w:rsidRDefault="006D2155" w:rsidP="006D2155">
      <w:pPr>
        <w:pStyle w:val="af7"/>
      </w:pPr>
      <w:bookmarkStart w:id="17" w:name="_Toc456860505"/>
      <w:bookmarkStart w:id="18" w:name="_Toc456860610"/>
      <w:bookmarkStart w:id="19" w:name="_Toc456860802"/>
      <w:bookmarkStart w:id="20" w:name="_Toc457546471"/>
      <w:bookmarkStart w:id="21" w:name="_Toc458185141"/>
      <w:bookmarkStart w:id="22" w:name="_Toc470676627"/>
      <w:r w:rsidRPr="00C77E77">
        <w:t>圖</w:t>
      </w:r>
      <w:r w:rsidRPr="00C77E77">
        <w:t xml:space="preserve">2-1-2 </w:t>
      </w:r>
      <w:r w:rsidRPr="00C77E77">
        <w:t>前三波南向政策期間我國對中國大陸與東協投資趨勢</w:t>
      </w:r>
      <w:bookmarkEnd w:id="17"/>
      <w:bookmarkEnd w:id="18"/>
      <w:bookmarkEnd w:id="19"/>
      <w:r w:rsidRPr="00C77E77">
        <w:t>（</w:t>
      </w:r>
      <w:r w:rsidRPr="00C77E77">
        <w:t>1994-2007</w:t>
      </w:r>
      <w:r w:rsidRPr="00C77E77">
        <w:t>）</w:t>
      </w:r>
      <w:bookmarkEnd w:id="20"/>
      <w:bookmarkEnd w:id="21"/>
      <w:bookmarkEnd w:id="22"/>
    </w:p>
    <w:p w:rsidR="006D2155" w:rsidRPr="00C77E77" w:rsidRDefault="006D2155" w:rsidP="006D2155">
      <w:pPr>
        <w:spacing w:afterLines="50" w:after="180" w:line="0" w:lineRule="atLeast"/>
        <w:ind w:left="2" w:hanging="2"/>
        <w:rPr>
          <w:rFonts w:ascii="Times New Roman" w:eastAsia="標楷體" w:hAnsi="Times New Roman" w:cs="Times New Roman"/>
          <w:color w:val="000000" w:themeColor="text1"/>
          <w:szCs w:val="28"/>
        </w:rPr>
      </w:pPr>
      <w:r w:rsidRPr="00C77E77">
        <w:rPr>
          <w:rFonts w:ascii="Times New Roman" w:eastAsia="標楷體" w:hAnsi="Times New Roman" w:cs="Times New Roman"/>
          <w:color w:val="000000" w:themeColor="text1"/>
          <w:szCs w:val="28"/>
        </w:rPr>
        <w:t>資料來源：整理自經濟部投資業務處，（歷年），〈我國核准對大陸投資統計總表〉、〈我國在東協各國投資統計表〉。</w:t>
      </w:r>
      <w:hyperlink r:id="rId14" w:history="1">
        <w:r w:rsidRPr="00C77E77">
          <w:rPr>
            <w:rStyle w:val="aa"/>
            <w:rFonts w:ascii="Times New Roman" w:hAnsi="Times New Roman" w:cs="Times New Roman"/>
            <w:szCs w:val="28"/>
            <w:u w:val="none"/>
          </w:rPr>
          <w:t>http://twbusiness.nat.gov.tw/page.do?id=16</w:t>
        </w:r>
      </w:hyperlink>
      <w:r w:rsidRPr="00C77E77">
        <w:rPr>
          <w:rFonts w:ascii="Times New Roman" w:eastAsia="標楷體" w:hAnsi="Times New Roman" w:cs="Times New Roman"/>
          <w:color w:val="000000" w:themeColor="text1"/>
          <w:szCs w:val="28"/>
        </w:rPr>
        <w:t xml:space="preserve"> </w:t>
      </w:r>
    </w:p>
    <w:p w:rsidR="00DE4367" w:rsidRPr="00C77E77" w:rsidRDefault="00DE4367" w:rsidP="006D2155">
      <w:pPr>
        <w:spacing w:afterLines="50" w:after="180" w:line="0" w:lineRule="atLeast"/>
        <w:ind w:left="2" w:hanging="2"/>
        <w:rPr>
          <w:rFonts w:ascii="Times New Roman" w:eastAsia="標楷體" w:hAnsi="Times New Roman" w:cs="Times New Roman"/>
          <w:color w:val="000000" w:themeColor="text1"/>
          <w:szCs w:val="28"/>
        </w:rPr>
      </w:pPr>
    </w:p>
    <w:p w:rsidR="006D2155" w:rsidRPr="00C77E77" w:rsidRDefault="006D2155" w:rsidP="00F32487">
      <w:pPr>
        <w:spacing w:beforeLines="50" w:before="180" w:afterLines="50" w:after="180" w:line="500" w:lineRule="exact"/>
        <w:ind w:leftChars="177" w:left="425" w:firstLine="568"/>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檢視</w:t>
      </w:r>
      <w:r w:rsidRPr="00C77E77">
        <w:rPr>
          <w:rFonts w:ascii="Times New Roman" w:eastAsia="標楷體" w:hAnsi="Times New Roman" w:cs="Times New Roman"/>
          <w:color w:val="000000" w:themeColor="text1"/>
          <w:sz w:val="28"/>
          <w:szCs w:val="28"/>
        </w:rPr>
        <w:t>1994</w:t>
      </w:r>
      <w:r w:rsidRPr="00C77E77">
        <w:rPr>
          <w:rFonts w:ascii="Times New Roman" w:eastAsia="標楷體" w:hAnsi="Times New Roman" w:cs="Times New Roman"/>
          <w:color w:val="000000" w:themeColor="text1"/>
          <w:sz w:val="28"/>
          <w:szCs w:val="28"/>
        </w:rPr>
        <w:t>至</w:t>
      </w:r>
      <w:r w:rsidRPr="00C77E77">
        <w:rPr>
          <w:rFonts w:ascii="Times New Roman" w:eastAsia="標楷體" w:hAnsi="Times New Roman" w:cs="Times New Roman"/>
          <w:color w:val="000000" w:themeColor="text1"/>
          <w:sz w:val="28"/>
          <w:szCs w:val="28"/>
        </w:rPr>
        <w:t>2007</w:t>
      </w:r>
      <w:r w:rsidRPr="00C77E77">
        <w:rPr>
          <w:rFonts w:ascii="Times New Roman" w:eastAsia="標楷體" w:hAnsi="Times New Roman" w:cs="Times New Roman"/>
          <w:color w:val="000000" w:themeColor="text1"/>
          <w:sz w:val="28"/>
          <w:szCs w:val="28"/>
        </w:rPr>
        <w:t>年間臺商在東南亞的投資產業類型。下表</w:t>
      </w:r>
      <w:r w:rsidRPr="00C77E77">
        <w:rPr>
          <w:rFonts w:ascii="Times New Roman" w:eastAsia="標楷體" w:hAnsi="Times New Roman" w:cs="Times New Roman"/>
          <w:color w:val="000000" w:themeColor="text1"/>
          <w:sz w:val="28"/>
          <w:szCs w:val="28"/>
        </w:rPr>
        <w:t>2-1-2</w:t>
      </w:r>
      <w:r w:rsidRPr="00C77E77">
        <w:rPr>
          <w:rFonts w:ascii="Times New Roman" w:eastAsia="標楷體" w:hAnsi="Times New Roman" w:cs="Times New Roman"/>
          <w:color w:val="000000" w:themeColor="text1"/>
          <w:sz w:val="28"/>
          <w:szCs w:val="28"/>
        </w:rPr>
        <w:t>顯示歷次南向投資吸引臺商投資主要集中在製造業，其中又以資訊電器產品的製造為大宗，集中在新加坡、菲律賓、泰國。第一產業則以投資農林漁</w:t>
      </w:r>
      <w:r w:rsidR="00336243" w:rsidRPr="00C77E77">
        <w:rPr>
          <w:rFonts w:ascii="Times New Roman" w:eastAsia="標楷體" w:hAnsi="Times New Roman" w:cs="Times New Roman"/>
          <w:color w:val="000000" w:themeColor="text1"/>
          <w:sz w:val="28"/>
          <w:szCs w:val="28"/>
        </w:rPr>
        <w:t>牧</w:t>
      </w:r>
      <w:r w:rsidRPr="00C77E77">
        <w:rPr>
          <w:rFonts w:ascii="Times New Roman" w:eastAsia="標楷體" w:hAnsi="Times New Roman" w:cs="Times New Roman"/>
          <w:color w:val="000000" w:themeColor="text1"/>
          <w:sz w:val="28"/>
          <w:szCs w:val="28"/>
        </w:rPr>
        <w:t>為主，集中在越南和印尼；第三產業以投資金融保險業為主，集中在新加坡、泰國、馬來西亞。</w:t>
      </w:r>
    </w:p>
    <w:p w:rsidR="00B702A2" w:rsidRPr="00C77E77" w:rsidRDefault="006D2155" w:rsidP="00F32487">
      <w:pPr>
        <w:spacing w:beforeLines="50" w:before="180" w:line="500" w:lineRule="exact"/>
        <w:ind w:leftChars="177" w:left="425" w:firstLine="567"/>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以投資國別來看，臺商在新加坡投資的服務業、製造業（以資訊電器製品為主）在東協各國中是名列前茅，</w:t>
      </w:r>
      <w:r w:rsidR="00336243" w:rsidRPr="00C77E77">
        <w:rPr>
          <w:rFonts w:ascii="Times New Roman" w:eastAsia="標楷體" w:hAnsi="Times New Roman" w:cs="Times New Roman"/>
          <w:color w:val="000000" w:themeColor="text1"/>
          <w:sz w:val="28"/>
          <w:szCs w:val="28"/>
        </w:rPr>
        <w:t>惟</w:t>
      </w:r>
      <w:r w:rsidRPr="00C77E77">
        <w:rPr>
          <w:rFonts w:ascii="Times New Roman" w:eastAsia="標楷體" w:hAnsi="Times New Roman" w:cs="Times New Roman"/>
          <w:color w:val="000000" w:themeColor="text1"/>
          <w:sz w:val="28"/>
          <w:szCs w:val="28"/>
        </w:rPr>
        <w:t>第一產業掛零；臺商在越南投資的第一產業、製造業（紡織成衣、飲料食品等各項目都有）在東協各國中也屬較多；臺商投資泰國服務業的比例較為突出；臺商投資馬來西亞、菲律賓、印尼也是以製造業為主，但相對來說對印尼的投資較少，應與該國的政情及排華情緒有關。</w:t>
      </w:r>
    </w:p>
    <w:p w:rsidR="00B702A2" w:rsidRPr="00C77E77" w:rsidRDefault="00B702A2">
      <w:pPr>
        <w:widowControl/>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br w:type="page"/>
      </w:r>
    </w:p>
    <w:p w:rsidR="00F32487" w:rsidRPr="00C77E77" w:rsidRDefault="00F32487" w:rsidP="00F32487">
      <w:pPr>
        <w:spacing w:line="500" w:lineRule="exact"/>
        <w:ind w:leftChars="177" w:left="425" w:firstLine="567"/>
        <w:jc w:val="both"/>
        <w:rPr>
          <w:rFonts w:ascii="Times New Roman" w:eastAsia="標楷體" w:hAnsi="Times New Roman" w:cs="Times New Roman"/>
          <w:color w:val="000000" w:themeColor="text1"/>
          <w:sz w:val="10"/>
          <w:szCs w:val="10"/>
        </w:rPr>
      </w:pPr>
    </w:p>
    <w:tbl>
      <w:tblPr>
        <w:tblStyle w:val="af4"/>
        <w:tblW w:w="10379" w:type="dxa"/>
        <w:jc w:val="center"/>
        <w:tblLook w:val="04A0" w:firstRow="1" w:lastRow="0" w:firstColumn="1" w:lastColumn="0" w:noHBand="0" w:noVBand="1"/>
      </w:tblPr>
      <w:tblGrid>
        <w:gridCol w:w="582"/>
        <w:gridCol w:w="1603"/>
        <w:gridCol w:w="1376"/>
        <w:gridCol w:w="1360"/>
        <w:gridCol w:w="1359"/>
        <w:gridCol w:w="1357"/>
        <w:gridCol w:w="1371"/>
        <w:gridCol w:w="1371"/>
      </w:tblGrid>
      <w:tr w:rsidR="006D2155" w:rsidRPr="00C77E77" w:rsidTr="006D2155">
        <w:trPr>
          <w:jc w:val="center"/>
        </w:trPr>
        <w:tc>
          <w:tcPr>
            <w:tcW w:w="10379" w:type="dxa"/>
            <w:gridSpan w:val="8"/>
            <w:tcBorders>
              <w:top w:val="nil"/>
              <w:left w:val="nil"/>
              <w:bottom w:val="single" w:sz="4" w:space="0" w:color="auto"/>
              <w:right w:val="nil"/>
            </w:tcBorders>
          </w:tcPr>
          <w:p w:rsidR="006D2155" w:rsidRPr="00C77E77" w:rsidRDefault="006D2155" w:rsidP="006D2155">
            <w:pPr>
              <w:pStyle w:val="af9"/>
            </w:pPr>
            <w:r w:rsidRPr="00C77E77">
              <w:br w:type="page"/>
            </w:r>
            <w:r w:rsidRPr="00C77E77">
              <w:br w:type="page"/>
            </w:r>
            <w:bookmarkStart w:id="23" w:name="_Toc457546444"/>
            <w:bookmarkStart w:id="24" w:name="_Toc458184926"/>
            <w:bookmarkStart w:id="25" w:name="_Toc470676571"/>
            <w:r w:rsidRPr="00C77E77">
              <w:rPr>
                <w:rStyle w:val="afa"/>
                <w:b/>
              </w:rPr>
              <w:t>表</w:t>
            </w:r>
            <w:r w:rsidRPr="00C77E77">
              <w:rPr>
                <w:rStyle w:val="afa"/>
                <w:b/>
              </w:rPr>
              <w:t>2-1-2</w:t>
            </w:r>
            <w:r w:rsidRPr="00C77E77">
              <w:rPr>
                <w:rStyle w:val="afa"/>
              </w:rPr>
              <w:t xml:space="preserve"> </w:t>
            </w:r>
            <w:r w:rsidRPr="00C77E77">
              <w:t>前三波南向政策期間臺商</w:t>
            </w:r>
            <w:r w:rsidRPr="00C77E77">
              <w:rPr>
                <w:rStyle w:val="afa"/>
                <w:b/>
              </w:rPr>
              <w:t>在東南亞投資產業累計</w:t>
            </w:r>
            <w:r w:rsidRPr="00C77E77">
              <w:rPr>
                <w:b w:val="0"/>
              </w:rPr>
              <w:t>（</w:t>
            </w:r>
            <w:r w:rsidRPr="00C77E77">
              <w:t>1994-2007</w:t>
            </w:r>
            <w:r w:rsidRPr="00C77E77">
              <w:t>）</w:t>
            </w:r>
            <w:bookmarkEnd w:id="23"/>
            <w:bookmarkEnd w:id="24"/>
            <w:bookmarkEnd w:id="25"/>
          </w:p>
          <w:p w:rsidR="006D2155" w:rsidRPr="00C77E77" w:rsidRDefault="006D2155" w:rsidP="006D2155">
            <w:pPr>
              <w:spacing w:line="240" w:lineRule="atLeast"/>
              <w:jc w:val="right"/>
              <w:rPr>
                <w:rFonts w:ascii="Times New Roman" w:hAnsi="Times New Roman" w:cs="Times New Roman"/>
                <w:color w:val="000000" w:themeColor="text1"/>
                <w:szCs w:val="24"/>
              </w:rPr>
            </w:pPr>
            <w:r w:rsidRPr="00C77E77">
              <w:rPr>
                <w:rFonts w:ascii="Times New Roman" w:hAnsi="Times New Roman" w:cs="Times New Roman"/>
                <w:color w:val="000000" w:themeColor="text1"/>
                <w:szCs w:val="28"/>
              </w:rPr>
              <w:t xml:space="preserve">  </w:t>
            </w:r>
            <w:r w:rsidRPr="00C77E77">
              <w:rPr>
                <w:rFonts w:ascii="Times New Roman" w:eastAsia="標楷體" w:hAnsi="Times New Roman" w:cs="Times New Roman"/>
                <w:color w:val="000000" w:themeColor="text1"/>
                <w:sz w:val="22"/>
              </w:rPr>
              <w:t>單位：千美金</w:t>
            </w:r>
          </w:p>
        </w:tc>
      </w:tr>
      <w:tr w:rsidR="006D2155" w:rsidRPr="00C77E77" w:rsidTr="006D2155">
        <w:trPr>
          <w:jc w:val="center"/>
        </w:trPr>
        <w:tc>
          <w:tcPr>
            <w:tcW w:w="2122" w:type="dxa"/>
            <w:gridSpan w:val="2"/>
            <w:tcBorders>
              <w:top w:val="single" w:sz="4" w:space="0" w:color="auto"/>
            </w:tcBorders>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376" w:type="dxa"/>
            <w:tcBorders>
              <w:top w:val="single" w:sz="4" w:space="0" w:color="auto"/>
            </w:tcBorders>
            <w:vAlign w:val="center"/>
          </w:tcPr>
          <w:p w:rsidR="006D2155" w:rsidRPr="00C77E77" w:rsidRDefault="006D2155" w:rsidP="006D2155">
            <w:pPr>
              <w:spacing w:line="240" w:lineRule="atLeast"/>
              <w:jc w:val="center"/>
              <w:rPr>
                <w:rFonts w:ascii="Times New Roman" w:eastAsia="標楷體" w:hAnsi="Times New Roman" w:cs="Times New Roman"/>
                <w:b/>
                <w:color w:val="000000" w:themeColor="text1"/>
                <w:szCs w:val="28"/>
              </w:rPr>
            </w:pPr>
            <w:r w:rsidRPr="00C77E77">
              <w:rPr>
                <w:rFonts w:ascii="Times New Roman" w:eastAsia="標楷體" w:hAnsi="Times New Roman" w:cs="Times New Roman"/>
                <w:b/>
                <w:color w:val="000000" w:themeColor="text1"/>
                <w:szCs w:val="28"/>
              </w:rPr>
              <w:t>泰</w:t>
            </w:r>
          </w:p>
        </w:tc>
        <w:tc>
          <w:tcPr>
            <w:tcW w:w="1376" w:type="dxa"/>
            <w:tcBorders>
              <w:top w:val="single" w:sz="4" w:space="0" w:color="auto"/>
            </w:tcBorders>
            <w:vAlign w:val="center"/>
          </w:tcPr>
          <w:p w:rsidR="006D2155" w:rsidRPr="00C77E77" w:rsidRDefault="006D2155" w:rsidP="006D2155">
            <w:pPr>
              <w:spacing w:line="240" w:lineRule="atLeast"/>
              <w:jc w:val="center"/>
              <w:rPr>
                <w:rFonts w:ascii="Times New Roman" w:eastAsia="標楷體" w:hAnsi="Times New Roman" w:cs="Times New Roman"/>
                <w:b/>
                <w:color w:val="000000" w:themeColor="text1"/>
                <w:szCs w:val="28"/>
              </w:rPr>
            </w:pPr>
            <w:r w:rsidRPr="00C77E77">
              <w:rPr>
                <w:rFonts w:ascii="Times New Roman" w:eastAsia="標楷體" w:hAnsi="Times New Roman" w:cs="Times New Roman"/>
                <w:b/>
                <w:color w:val="000000" w:themeColor="text1"/>
                <w:szCs w:val="28"/>
              </w:rPr>
              <w:t>馬</w:t>
            </w:r>
          </w:p>
        </w:tc>
        <w:tc>
          <w:tcPr>
            <w:tcW w:w="1376" w:type="dxa"/>
            <w:tcBorders>
              <w:top w:val="single" w:sz="4" w:space="0" w:color="auto"/>
            </w:tcBorders>
            <w:vAlign w:val="center"/>
          </w:tcPr>
          <w:p w:rsidR="006D2155" w:rsidRPr="00C77E77" w:rsidRDefault="006D2155" w:rsidP="006D2155">
            <w:pPr>
              <w:spacing w:line="240" w:lineRule="atLeast"/>
              <w:jc w:val="center"/>
              <w:rPr>
                <w:rFonts w:ascii="Times New Roman" w:eastAsia="標楷體" w:hAnsi="Times New Roman" w:cs="Times New Roman"/>
                <w:b/>
                <w:color w:val="000000" w:themeColor="text1"/>
                <w:szCs w:val="28"/>
              </w:rPr>
            </w:pPr>
            <w:r w:rsidRPr="00C77E77">
              <w:rPr>
                <w:rFonts w:ascii="Times New Roman" w:eastAsia="標楷體" w:hAnsi="Times New Roman" w:cs="Times New Roman"/>
                <w:b/>
                <w:color w:val="000000" w:themeColor="text1"/>
                <w:szCs w:val="28"/>
              </w:rPr>
              <w:t>菲</w:t>
            </w:r>
          </w:p>
        </w:tc>
        <w:tc>
          <w:tcPr>
            <w:tcW w:w="1376" w:type="dxa"/>
            <w:tcBorders>
              <w:top w:val="single" w:sz="4" w:space="0" w:color="auto"/>
            </w:tcBorders>
            <w:vAlign w:val="center"/>
          </w:tcPr>
          <w:p w:rsidR="006D2155" w:rsidRPr="00C77E77" w:rsidRDefault="006D2155" w:rsidP="006D2155">
            <w:pPr>
              <w:spacing w:line="240" w:lineRule="atLeast"/>
              <w:jc w:val="center"/>
              <w:rPr>
                <w:rFonts w:ascii="Times New Roman" w:eastAsia="標楷體" w:hAnsi="Times New Roman" w:cs="Times New Roman"/>
                <w:b/>
                <w:color w:val="000000" w:themeColor="text1"/>
                <w:szCs w:val="28"/>
              </w:rPr>
            </w:pPr>
            <w:r w:rsidRPr="00C77E77">
              <w:rPr>
                <w:rFonts w:ascii="Times New Roman" w:eastAsia="標楷體" w:hAnsi="Times New Roman" w:cs="Times New Roman"/>
                <w:b/>
                <w:color w:val="000000" w:themeColor="text1"/>
                <w:szCs w:val="28"/>
              </w:rPr>
              <w:t>印尼</w:t>
            </w:r>
          </w:p>
        </w:tc>
        <w:tc>
          <w:tcPr>
            <w:tcW w:w="1376" w:type="dxa"/>
            <w:tcBorders>
              <w:top w:val="single" w:sz="4" w:space="0" w:color="auto"/>
            </w:tcBorders>
            <w:vAlign w:val="center"/>
          </w:tcPr>
          <w:p w:rsidR="006D2155" w:rsidRPr="00C77E77" w:rsidRDefault="006D2155" w:rsidP="006D2155">
            <w:pPr>
              <w:spacing w:line="240" w:lineRule="atLeast"/>
              <w:jc w:val="center"/>
              <w:rPr>
                <w:rFonts w:ascii="Times New Roman" w:eastAsia="標楷體" w:hAnsi="Times New Roman" w:cs="Times New Roman"/>
                <w:b/>
                <w:color w:val="000000" w:themeColor="text1"/>
                <w:szCs w:val="28"/>
              </w:rPr>
            </w:pPr>
            <w:r w:rsidRPr="00C77E77">
              <w:rPr>
                <w:rFonts w:ascii="Times New Roman" w:eastAsia="標楷體" w:hAnsi="Times New Roman" w:cs="Times New Roman"/>
                <w:b/>
                <w:color w:val="000000" w:themeColor="text1"/>
                <w:szCs w:val="28"/>
              </w:rPr>
              <w:t>新</w:t>
            </w:r>
          </w:p>
        </w:tc>
        <w:tc>
          <w:tcPr>
            <w:tcW w:w="1377" w:type="dxa"/>
            <w:tcBorders>
              <w:top w:val="single" w:sz="4" w:space="0" w:color="auto"/>
            </w:tcBorders>
            <w:vAlign w:val="center"/>
          </w:tcPr>
          <w:p w:rsidR="006D2155" w:rsidRPr="00C77E77" w:rsidRDefault="006D2155" w:rsidP="006D2155">
            <w:pPr>
              <w:spacing w:line="240" w:lineRule="atLeast"/>
              <w:jc w:val="center"/>
              <w:rPr>
                <w:rFonts w:ascii="Times New Roman" w:eastAsia="標楷體" w:hAnsi="Times New Roman" w:cs="Times New Roman"/>
                <w:b/>
                <w:color w:val="000000" w:themeColor="text1"/>
                <w:szCs w:val="28"/>
              </w:rPr>
            </w:pPr>
            <w:r w:rsidRPr="00C77E77">
              <w:rPr>
                <w:rFonts w:ascii="Times New Roman" w:eastAsia="標楷體" w:hAnsi="Times New Roman" w:cs="Times New Roman"/>
                <w:b/>
                <w:color w:val="000000" w:themeColor="text1"/>
                <w:szCs w:val="28"/>
              </w:rPr>
              <w:t>越</w:t>
            </w:r>
          </w:p>
        </w:tc>
      </w:tr>
      <w:tr w:rsidR="006D2155" w:rsidRPr="00C77E77" w:rsidTr="00E34F11">
        <w:trPr>
          <w:trHeight w:val="681"/>
          <w:jc w:val="center"/>
        </w:trPr>
        <w:tc>
          <w:tcPr>
            <w:tcW w:w="436" w:type="dxa"/>
            <w:vMerge w:val="restart"/>
            <w:textDirection w:val="tbRlV"/>
            <w:vAlign w:val="center"/>
          </w:tcPr>
          <w:p w:rsidR="006D2155" w:rsidRPr="00C77E77" w:rsidRDefault="006D2155" w:rsidP="00E34F11">
            <w:pPr>
              <w:spacing w:line="240" w:lineRule="atLeast"/>
              <w:ind w:left="113" w:right="113"/>
              <w:jc w:val="center"/>
              <w:rPr>
                <w:rFonts w:ascii="Times New Roman" w:eastAsia="標楷體" w:hAnsi="Times New Roman" w:cs="Times New Roman"/>
                <w:sz w:val="22"/>
              </w:rPr>
            </w:pPr>
            <w:r w:rsidRPr="00C77E77">
              <w:rPr>
                <w:rFonts w:ascii="Times New Roman" w:eastAsia="標楷體" w:hAnsi="Times New Roman" w:cs="Times New Roman"/>
                <w:sz w:val="22"/>
              </w:rPr>
              <w:t>第一產業</w:t>
            </w: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b/>
                <w:color w:val="000000" w:themeColor="text1"/>
                <w:sz w:val="22"/>
              </w:rPr>
            </w:pPr>
            <w:r w:rsidRPr="00C77E77">
              <w:rPr>
                <w:rFonts w:ascii="Times New Roman" w:eastAsia="標楷體" w:hAnsi="Times New Roman" w:cs="Times New Roman"/>
                <w:b/>
                <w:sz w:val="22"/>
              </w:rPr>
              <w:t>農林漁牧</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353</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1,094</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4,459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7,160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20,741</w:t>
            </w:r>
          </w:p>
        </w:tc>
      </w:tr>
      <w:tr w:rsidR="006D2155" w:rsidRPr="00C77E77" w:rsidTr="00E34F11">
        <w:trPr>
          <w:trHeight w:val="681"/>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土石礦</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250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536</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1,024</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1,925</w:t>
            </w:r>
          </w:p>
        </w:tc>
      </w:tr>
      <w:tr w:rsidR="006D2155" w:rsidRPr="00C77E77" w:rsidTr="006D2155">
        <w:trPr>
          <w:jc w:val="center"/>
        </w:trPr>
        <w:tc>
          <w:tcPr>
            <w:tcW w:w="436" w:type="dxa"/>
            <w:vMerge w:val="restart"/>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第二產業</w:t>
            </w: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飲料食品</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34,868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12,749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23,453</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10,279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103,186</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紡織</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23,260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64,670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22,181</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16,055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7,382</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260,772</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成衣服飾</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1,416</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1,655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5,755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16,665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43,441</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皮革製品</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5,138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39,224</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木製</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3,098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13,686</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1,338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1,067</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5,042</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造紙印刷</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1,503</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1,225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2,100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325</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6,871</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化學製品</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47,644</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12,923</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329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21,635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5,621</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214,338</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橡膠製品</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9,223</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5,200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112</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11,212</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塑膠製品</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13,853</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33,718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2,124</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4,169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12,752</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7,746</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非金屬製品</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3,888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1,724</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51,618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13,200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1,688</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78,423</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金屬製品</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46,998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62,505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8,366</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27,084</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4,119</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37,585</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機械製造業</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8,932</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1,433</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600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400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1,264</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27,352</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b/>
                <w:color w:val="000000" w:themeColor="text1"/>
                <w:sz w:val="22"/>
              </w:rPr>
            </w:pPr>
            <w:r w:rsidRPr="00C77E77">
              <w:rPr>
                <w:rFonts w:ascii="Times New Roman" w:eastAsia="標楷體" w:hAnsi="Times New Roman" w:cs="Times New Roman"/>
                <w:b/>
                <w:color w:val="000000" w:themeColor="text1"/>
                <w:sz w:val="22"/>
              </w:rPr>
              <w:t>資訊電器製造</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258,649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192,177</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309,395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49,549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2,480,077</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65,766</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電力設備製造</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8,752</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運輸工具製造</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23,120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10,288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600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48,410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200</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90,817</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精密器械製造</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651</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52,364</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5,819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526</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2,661</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30,5630</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其他工藝製品</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8,510</w:t>
            </w:r>
          </w:p>
        </w:tc>
      </w:tr>
      <w:tr w:rsidR="006D2155" w:rsidRPr="00C77E77" w:rsidTr="006D2155">
        <w:trPr>
          <w:jc w:val="center"/>
        </w:trPr>
        <w:tc>
          <w:tcPr>
            <w:tcW w:w="436" w:type="dxa"/>
            <w:vMerge/>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建築營造業</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1,492</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134</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1,540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27</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16,985</w:t>
            </w:r>
          </w:p>
        </w:tc>
      </w:tr>
      <w:tr w:rsidR="006D2155" w:rsidRPr="00C77E77" w:rsidTr="006D2155">
        <w:trPr>
          <w:jc w:val="center"/>
        </w:trPr>
        <w:tc>
          <w:tcPr>
            <w:tcW w:w="436" w:type="dxa"/>
            <w:vMerge w:val="restart"/>
            <w:vAlign w:val="center"/>
          </w:tcPr>
          <w:p w:rsidR="006D2155" w:rsidRPr="00C77E77" w:rsidRDefault="006D2155" w:rsidP="006D2155">
            <w:pPr>
              <w:spacing w:line="240" w:lineRule="atLeast"/>
              <w:jc w:val="center"/>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第三產業</w:t>
            </w: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國際貿易</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7,529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4,082</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1,075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4,417</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24,141</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3,479</w:t>
            </w:r>
          </w:p>
        </w:tc>
      </w:tr>
      <w:tr w:rsidR="006D2155" w:rsidRPr="00C77E77" w:rsidTr="006D2155">
        <w:trPr>
          <w:jc w:val="center"/>
        </w:trPr>
        <w:tc>
          <w:tcPr>
            <w:tcW w:w="436" w:type="dxa"/>
            <w:vMerge/>
          </w:tcPr>
          <w:p w:rsidR="006D2155" w:rsidRPr="00C77E77" w:rsidRDefault="006D2155" w:rsidP="006D2155">
            <w:pPr>
              <w:spacing w:line="240" w:lineRule="atLeast"/>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批發零售</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98,499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10,129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1,075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26,628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183,953</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14,439</w:t>
            </w:r>
          </w:p>
        </w:tc>
      </w:tr>
      <w:tr w:rsidR="006D2155" w:rsidRPr="00C77E77" w:rsidTr="006D2155">
        <w:trPr>
          <w:jc w:val="center"/>
        </w:trPr>
        <w:tc>
          <w:tcPr>
            <w:tcW w:w="436" w:type="dxa"/>
            <w:vMerge/>
          </w:tcPr>
          <w:p w:rsidR="006D2155" w:rsidRPr="00C77E77" w:rsidRDefault="006D2155" w:rsidP="006D2155">
            <w:pPr>
              <w:spacing w:line="240" w:lineRule="atLeast"/>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倉儲運輸通信</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94</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746</w:t>
            </w:r>
          </w:p>
        </w:tc>
      </w:tr>
      <w:tr w:rsidR="006D2155" w:rsidRPr="00C77E77" w:rsidTr="006D2155">
        <w:trPr>
          <w:jc w:val="center"/>
        </w:trPr>
        <w:tc>
          <w:tcPr>
            <w:tcW w:w="436" w:type="dxa"/>
            <w:vMerge/>
          </w:tcPr>
          <w:p w:rsidR="006D2155" w:rsidRPr="00C77E77" w:rsidRDefault="006D2155" w:rsidP="006D2155">
            <w:pPr>
              <w:spacing w:line="240" w:lineRule="atLeast"/>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b/>
                <w:color w:val="000000" w:themeColor="text1"/>
                <w:sz w:val="22"/>
              </w:rPr>
            </w:pPr>
            <w:r w:rsidRPr="00C77E77">
              <w:rPr>
                <w:rFonts w:ascii="Times New Roman" w:eastAsia="標楷體" w:hAnsi="Times New Roman" w:cs="Times New Roman"/>
                <w:b/>
                <w:color w:val="000000" w:themeColor="text1"/>
                <w:sz w:val="22"/>
              </w:rPr>
              <w:t>金融保險</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756,411</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107,028</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77,970</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15,262</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1,522,518</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27,200</w:t>
            </w:r>
          </w:p>
        </w:tc>
      </w:tr>
      <w:tr w:rsidR="006D2155" w:rsidRPr="00C77E77" w:rsidTr="006D2155">
        <w:trPr>
          <w:jc w:val="center"/>
        </w:trPr>
        <w:tc>
          <w:tcPr>
            <w:tcW w:w="436" w:type="dxa"/>
            <w:vMerge/>
          </w:tcPr>
          <w:p w:rsidR="006D2155" w:rsidRPr="00C77E77" w:rsidRDefault="006D2155" w:rsidP="006D2155">
            <w:pPr>
              <w:spacing w:line="240" w:lineRule="atLeast"/>
              <w:rPr>
                <w:rFonts w:ascii="Times New Roman" w:eastAsia="標楷體" w:hAnsi="Times New Roman" w:cs="Times New Roman"/>
                <w:color w:val="000000" w:themeColor="text1"/>
                <w:sz w:val="22"/>
              </w:rPr>
            </w:pPr>
          </w:p>
        </w:tc>
        <w:tc>
          <w:tcPr>
            <w:tcW w:w="1686" w:type="dxa"/>
            <w:vAlign w:val="center"/>
          </w:tcPr>
          <w:p w:rsidR="006D2155" w:rsidRPr="00C77E77" w:rsidRDefault="006D2155" w:rsidP="006D2155">
            <w:pPr>
              <w:spacing w:line="240" w:lineRule="atLeast"/>
              <w:jc w:val="both"/>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服務業</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17,691</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26,906</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3,939</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6,785</w:t>
            </w:r>
          </w:p>
        </w:tc>
        <w:tc>
          <w:tcPr>
            <w:tcW w:w="1376"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120,789</w:t>
            </w:r>
          </w:p>
        </w:tc>
        <w:tc>
          <w:tcPr>
            <w:tcW w:w="1377" w:type="dxa"/>
            <w:vAlign w:val="center"/>
          </w:tcPr>
          <w:p w:rsidR="006D2155" w:rsidRPr="00C77E77" w:rsidRDefault="006D2155" w:rsidP="006D2155">
            <w:pPr>
              <w:spacing w:line="240" w:lineRule="atLeast"/>
              <w:jc w:val="right"/>
              <w:rPr>
                <w:rFonts w:ascii="Times New Roman" w:eastAsia="標楷體" w:hAnsi="Times New Roman" w:cs="Times New Roman"/>
                <w:color w:val="000000" w:themeColor="text1"/>
                <w:sz w:val="22"/>
              </w:rPr>
            </w:pPr>
            <w:r w:rsidRPr="00C77E77">
              <w:rPr>
                <w:rFonts w:ascii="Times New Roman" w:eastAsia="標楷體" w:hAnsi="Times New Roman" w:cs="Times New Roman"/>
                <w:color w:val="000000" w:themeColor="text1"/>
                <w:sz w:val="22"/>
              </w:rPr>
              <w:t>27,642</w:t>
            </w:r>
          </w:p>
        </w:tc>
      </w:tr>
      <w:tr w:rsidR="006D2155" w:rsidRPr="00C77E77" w:rsidTr="006D2155">
        <w:trPr>
          <w:jc w:val="center"/>
        </w:trPr>
        <w:tc>
          <w:tcPr>
            <w:tcW w:w="2122" w:type="dxa"/>
            <w:gridSpan w:val="2"/>
            <w:tcBorders>
              <w:bottom w:val="single" w:sz="4" w:space="0" w:color="auto"/>
            </w:tcBorders>
          </w:tcPr>
          <w:p w:rsidR="006D2155" w:rsidRPr="00C77E77" w:rsidRDefault="006D2155" w:rsidP="006D2155">
            <w:pPr>
              <w:spacing w:line="240" w:lineRule="atLeast"/>
              <w:rPr>
                <w:rFonts w:ascii="Times New Roman" w:eastAsia="標楷體" w:hAnsi="Times New Roman" w:cs="Times New Roman"/>
                <w:color w:val="000000" w:themeColor="text1"/>
                <w:szCs w:val="28"/>
              </w:rPr>
            </w:pPr>
            <w:r w:rsidRPr="00C77E77">
              <w:rPr>
                <w:rFonts w:ascii="Times New Roman" w:eastAsia="標楷體" w:hAnsi="Times New Roman" w:cs="Times New Roman"/>
                <w:color w:val="000000" w:themeColor="text1"/>
                <w:szCs w:val="28"/>
              </w:rPr>
              <w:t>合計</w:t>
            </w:r>
          </w:p>
        </w:tc>
        <w:tc>
          <w:tcPr>
            <w:tcW w:w="1376" w:type="dxa"/>
            <w:tcBorders>
              <w:bottom w:val="single" w:sz="4" w:space="0" w:color="auto"/>
            </w:tcBorders>
            <w:vAlign w:val="center"/>
          </w:tcPr>
          <w:p w:rsidR="006D2155" w:rsidRPr="00C77E77" w:rsidRDefault="006D2155" w:rsidP="006D2155">
            <w:pPr>
              <w:widowControl/>
              <w:spacing w:line="240" w:lineRule="atLeast"/>
              <w:jc w:val="right"/>
              <w:rPr>
                <w:rFonts w:ascii="Times New Roman" w:eastAsia="標楷體" w:hAnsi="Times New Roman" w:cs="Times New Roman"/>
                <w:color w:val="000000"/>
                <w:szCs w:val="28"/>
              </w:rPr>
            </w:pPr>
            <w:r w:rsidRPr="00C77E77">
              <w:rPr>
                <w:rFonts w:ascii="Times New Roman" w:eastAsia="標楷體" w:hAnsi="Times New Roman" w:cs="Times New Roman"/>
                <w:color w:val="000000"/>
                <w:szCs w:val="28"/>
              </w:rPr>
              <w:t>1,364,964</w:t>
            </w:r>
          </w:p>
        </w:tc>
        <w:tc>
          <w:tcPr>
            <w:tcW w:w="1376" w:type="dxa"/>
            <w:tcBorders>
              <w:bottom w:val="single" w:sz="4" w:space="0" w:color="auto"/>
            </w:tcBorders>
            <w:vAlign w:val="center"/>
          </w:tcPr>
          <w:p w:rsidR="006D2155" w:rsidRPr="00C77E77" w:rsidRDefault="006D2155" w:rsidP="006D2155">
            <w:pPr>
              <w:spacing w:line="240" w:lineRule="atLeast"/>
              <w:jc w:val="right"/>
              <w:rPr>
                <w:rFonts w:ascii="Times New Roman" w:eastAsia="標楷體" w:hAnsi="Times New Roman" w:cs="Times New Roman"/>
                <w:color w:val="000000"/>
                <w:szCs w:val="28"/>
              </w:rPr>
            </w:pPr>
            <w:r w:rsidRPr="00C77E77">
              <w:rPr>
                <w:rFonts w:ascii="Times New Roman" w:eastAsia="標楷體" w:hAnsi="Times New Roman" w:cs="Times New Roman"/>
                <w:color w:val="000000"/>
                <w:szCs w:val="28"/>
              </w:rPr>
              <w:t>620,322</w:t>
            </w:r>
          </w:p>
        </w:tc>
        <w:tc>
          <w:tcPr>
            <w:tcW w:w="1376" w:type="dxa"/>
            <w:tcBorders>
              <w:bottom w:val="single" w:sz="4" w:space="0" w:color="auto"/>
            </w:tcBorders>
            <w:vAlign w:val="center"/>
          </w:tcPr>
          <w:p w:rsidR="006D2155" w:rsidRPr="00C77E77" w:rsidRDefault="006D2155" w:rsidP="006D2155">
            <w:pPr>
              <w:spacing w:line="240" w:lineRule="atLeast"/>
              <w:jc w:val="right"/>
              <w:rPr>
                <w:rFonts w:ascii="Times New Roman" w:eastAsia="標楷體" w:hAnsi="Times New Roman" w:cs="Times New Roman"/>
                <w:color w:val="000000"/>
                <w:szCs w:val="28"/>
              </w:rPr>
            </w:pPr>
            <w:r w:rsidRPr="00C77E77">
              <w:rPr>
                <w:rFonts w:ascii="Times New Roman" w:eastAsia="標楷體" w:hAnsi="Times New Roman" w:cs="Times New Roman"/>
                <w:color w:val="000000"/>
                <w:szCs w:val="28"/>
              </w:rPr>
              <w:t>522,213</w:t>
            </w:r>
          </w:p>
        </w:tc>
        <w:tc>
          <w:tcPr>
            <w:tcW w:w="1376" w:type="dxa"/>
            <w:tcBorders>
              <w:bottom w:val="single" w:sz="4" w:space="0" w:color="auto"/>
            </w:tcBorders>
            <w:vAlign w:val="center"/>
          </w:tcPr>
          <w:p w:rsidR="006D2155" w:rsidRPr="00C77E77" w:rsidRDefault="006D2155" w:rsidP="006D2155">
            <w:pPr>
              <w:spacing w:line="240" w:lineRule="atLeast"/>
              <w:jc w:val="right"/>
              <w:rPr>
                <w:rFonts w:ascii="Times New Roman" w:eastAsia="標楷體" w:hAnsi="Times New Roman" w:cs="Times New Roman"/>
                <w:color w:val="000000"/>
                <w:szCs w:val="28"/>
              </w:rPr>
            </w:pPr>
            <w:r w:rsidRPr="00C77E77">
              <w:rPr>
                <w:rFonts w:ascii="Times New Roman" w:eastAsia="標楷體" w:hAnsi="Times New Roman" w:cs="Times New Roman"/>
                <w:color w:val="000000"/>
                <w:szCs w:val="28"/>
              </w:rPr>
              <w:t>277,409</w:t>
            </w:r>
          </w:p>
        </w:tc>
        <w:tc>
          <w:tcPr>
            <w:tcW w:w="1376" w:type="dxa"/>
            <w:tcBorders>
              <w:bottom w:val="single" w:sz="4" w:space="0" w:color="auto"/>
            </w:tcBorders>
            <w:vAlign w:val="center"/>
          </w:tcPr>
          <w:p w:rsidR="006D2155" w:rsidRPr="00C77E77" w:rsidRDefault="006D2155" w:rsidP="006D2155">
            <w:pPr>
              <w:spacing w:line="240" w:lineRule="atLeast"/>
              <w:jc w:val="right"/>
              <w:rPr>
                <w:rFonts w:ascii="Times New Roman" w:eastAsia="標楷體" w:hAnsi="Times New Roman" w:cs="Times New Roman"/>
                <w:color w:val="000000"/>
                <w:szCs w:val="28"/>
              </w:rPr>
            </w:pPr>
            <w:r w:rsidRPr="00C77E77">
              <w:rPr>
                <w:rFonts w:ascii="Times New Roman" w:eastAsia="標楷體" w:hAnsi="Times New Roman" w:cs="Times New Roman"/>
                <w:color w:val="000000"/>
                <w:szCs w:val="28"/>
              </w:rPr>
              <w:t>4,586,684</w:t>
            </w:r>
          </w:p>
        </w:tc>
        <w:tc>
          <w:tcPr>
            <w:tcW w:w="1377" w:type="dxa"/>
            <w:tcBorders>
              <w:bottom w:val="single" w:sz="4" w:space="0" w:color="auto"/>
            </w:tcBorders>
            <w:vAlign w:val="center"/>
          </w:tcPr>
          <w:p w:rsidR="006D2155" w:rsidRPr="00C77E77" w:rsidRDefault="006D2155" w:rsidP="006D2155">
            <w:pPr>
              <w:spacing w:line="240" w:lineRule="atLeast"/>
              <w:jc w:val="right"/>
              <w:rPr>
                <w:rFonts w:ascii="Times New Roman" w:eastAsia="標楷體" w:hAnsi="Times New Roman" w:cs="Times New Roman"/>
                <w:color w:val="000000"/>
                <w:szCs w:val="28"/>
              </w:rPr>
            </w:pPr>
            <w:r w:rsidRPr="00C77E77">
              <w:rPr>
                <w:rFonts w:ascii="Times New Roman" w:eastAsia="標楷體" w:hAnsi="Times New Roman" w:cs="Times New Roman"/>
                <w:color w:val="000000"/>
                <w:szCs w:val="28"/>
              </w:rPr>
              <w:t>1,428,240</w:t>
            </w:r>
          </w:p>
        </w:tc>
      </w:tr>
      <w:tr w:rsidR="006D2155" w:rsidRPr="00C77E77" w:rsidTr="006D2155">
        <w:trPr>
          <w:jc w:val="center"/>
        </w:trPr>
        <w:tc>
          <w:tcPr>
            <w:tcW w:w="10379" w:type="dxa"/>
            <w:gridSpan w:val="8"/>
            <w:tcBorders>
              <w:top w:val="single" w:sz="4" w:space="0" w:color="auto"/>
              <w:left w:val="nil"/>
              <w:bottom w:val="nil"/>
              <w:right w:val="nil"/>
            </w:tcBorders>
          </w:tcPr>
          <w:p w:rsidR="006D2155" w:rsidRPr="00C77E77" w:rsidRDefault="006D2155" w:rsidP="006D2155">
            <w:pPr>
              <w:spacing w:line="240" w:lineRule="atLeast"/>
              <w:rPr>
                <w:rFonts w:ascii="Times New Roman" w:eastAsia="標楷體" w:hAnsi="Times New Roman" w:cs="Times New Roman"/>
                <w:color w:val="000000"/>
                <w:sz w:val="22"/>
              </w:rPr>
            </w:pPr>
            <w:r w:rsidRPr="00C77E77">
              <w:rPr>
                <w:rFonts w:ascii="Times New Roman" w:eastAsia="標楷體" w:hAnsi="Times New Roman" w:cs="Times New Roman"/>
                <w:color w:val="000000"/>
                <w:sz w:val="22"/>
              </w:rPr>
              <w:t>資料來源：計算自經濟部投審會，《中華民國歷年核准華僑及外國人投資技術合作對外投資對外技術合作統計年報》。</w:t>
            </w:r>
            <w:hyperlink r:id="rId15" w:history="1">
              <w:r w:rsidRPr="00C77E77">
                <w:rPr>
                  <w:rStyle w:val="aa"/>
                  <w:rFonts w:ascii="Times New Roman" w:eastAsia="標楷體" w:hAnsi="Times New Roman" w:cs="Times New Roman"/>
                  <w:sz w:val="22"/>
                  <w:u w:val="none"/>
                </w:rPr>
                <w:t>http://www.moeaic.gov.tw/system_external/ctlr?PRO=PubsCateLoad&amp;MET=&amp;page=1&amp;lang=0</w:t>
              </w:r>
            </w:hyperlink>
            <w:r w:rsidRPr="00C77E77">
              <w:rPr>
                <w:rFonts w:ascii="Times New Roman" w:eastAsia="標楷體" w:hAnsi="Times New Roman" w:cs="Times New Roman"/>
                <w:color w:val="000000"/>
                <w:sz w:val="22"/>
              </w:rPr>
              <w:t xml:space="preserve"> </w:t>
            </w:r>
          </w:p>
        </w:tc>
      </w:tr>
    </w:tbl>
    <w:p w:rsidR="00B702A2" w:rsidRPr="00C77E77" w:rsidRDefault="00B702A2" w:rsidP="00F32487">
      <w:pPr>
        <w:pStyle w:val="ab"/>
        <w:spacing w:beforeLines="50" w:before="180" w:afterLines="50" w:after="180" w:line="500" w:lineRule="exact"/>
        <w:ind w:leftChars="177" w:left="425" w:firstLineChars="202" w:firstLine="566"/>
        <w:jc w:val="both"/>
        <w:rPr>
          <w:rFonts w:ascii="Times New Roman" w:eastAsia="標楷體" w:hAnsi="Times New Roman" w:cs="Times New Roman"/>
          <w:color w:val="000000" w:themeColor="text1"/>
          <w:sz w:val="28"/>
          <w:szCs w:val="28"/>
        </w:rPr>
      </w:pPr>
    </w:p>
    <w:p w:rsidR="00E34F11" w:rsidRPr="00C77E77" w:rsidRDefault="00E34F11" w:rsidP="00F32487">
      <w:pPr>
        <w:pStyle w:val="ab"/>
        <w:spacing w:beforeLines="50" w:before="180" w:afterLines="50" w:after="180" w:line="500" w:lineRule="exact"/>
        <w:ind w:leftChars="177" w:left="425" w:firstLineChars="202" w:firstLine="566"/>
        <w:jc w:val="both"/>
        <w:rPr>
          <w:rFonts w:ascii="Times New Roman" w:eastAsia="標楷體" w:hAnsi="Times New Roman" w:cs="Times New Roman"/>
          <w:color w:val="000000" w:themeColor="text1"/>
          <w:sz w:val="28"/>
          <w:szCs w:val="28"/>
        </w:rPr>
      </w:pPr>
    </w:p>
    <w:p w:rsidR="006D2155" w:rsidRPr="00C77E77" w:rsidRDefault="006D2155" w:rsidP="00F32487">
      <w:pPr>
        <w:pStyle w:val="ab"/>
        <w:spacing w:beforeLines="50" w:before="180" w:afterLines="50" w:after="180" w:line="500" w:lineRule="exact"/>
        <w:ind w:leftChars="177" w:left="425"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lastRenderedPageBreak/>
        <w:t>馬英九總統執政期間雖然不以「南向政策」為名，但在做法上，仍延續推動與東南亞的實質關係。</w:t>
      </w:r>
      <w:r w:rsidRPr="00C77E77">
        <w:rPr>
          <w:rStyle w:val="a9"/>
          <w:rFonts w:ascii="Times New Roman" w:hAnsi="Times New Roman" w:cs="Times New Roman"/>
        </w:rPr>
        <w:footnoteReference w:id="13"/>
      </w:r>
      <w:r w:rsidRPr="00C77E77">
        <w:rPr>
          <w:rFonts w:ascii="Times New Roman" w:eastAsia="標楷體" w:hAnsi="Times New Roman" w:cs="Times New Roman"/>
          <w:color w:val="000000" w:themeColor="text1"/>
          <w:sz w:val="28"/>
          <w:szCs w:val="28"/>
        </w:rPr>
        <w:t>至今，經濟部每</w:t>
      </w:r>
      <w:r w:rsidRPr="00C77E77">
        <w:rPr>
          <w:rFonts w:ascii="Times New Roman" w:eastAsia="標楷體" w:hAnsi="Times New Roman" w:cs="Times New Roman"/>
          <w:color w:val="000000" w:themeColor="text1"/>
          <w:sz w:val="28"/>
          <w:szCs w:val="28"/>
        </w:rPr>
        <w:t xml:space="preserve"> 3</w:t>
      </w:r>
      <w:r w:rsidRPr="00C77E77">
        <w:rPr>
          <w:rFonts w:ascii="Times New Roman" w:eastAsia="標楷體" w:hAnsi="Times New Roman" w:cs="Times New Roman"/>
          <w:color w:val="000000" w:themeColor="text1"/>
          <w:sz w:val="28"/>
          <w:szCs w:val="28"/>
        </w:rPr>
        <w:t>年一期的《加強對東南亞及澳紐地區經貿工作綱領》仍然繼續，目前已為第</w:t>
      </w:r>
      <w:r w:rsidRPr="00C77E77">
        <w:rPr>
          <w:rFonts w:ascii="Times New Roman" w:eastAsia="標楷體" w:hAnsi="Times New Roman" w:cs="Times New Roman"/>
          <w:color w:val="000000" w:themeColor="text1"/>
          <w:sz w:val="28"/>
          <w:szCs w:val="28"/>
        </w:rPr>
        <w:t xml:space="preserve"> 7 </w:t>
      </w:r>
      <w:r w:rsidRPr="00C77E77">
        <w:rPr>
          <w:rFonts w:ascii="Times New Roman" w:eastAsia="標楷體" w:hAnsi="Times New Roman" w:cs="Times New Roman"/>
          <w:color w:val="000000" w:themeColor="text1"/>
          <w:sz w:val="28"/>
          <w:szCs w:val="28"/>
        </w:rPr>
        <w:t>期（</w:t>
      </w:r>
      <w:r w:rsidRPr="00C77E77">
        <w:rPr>
          <w:rFonts w:ascii="Times New Roman" w:eastAsia="標楷體" w:hAnsi="Times New Roman" w:cs="Times New Roman"/>
          <w:color w:val="000000" w:themeColor="text1"/>
          <w:sz w:val="28"/>
          <w:szCs w:val="28"/>
        </w:rPr>
        <w:t>2013 — 2015</w:t>
      </w:r>
      <w:r w:rsidRPr="00C77E77">
        <w:rPr>
          <w:rFonts w:ascii="Times New Roman" w:eastAsia="標楷體" w:hAnsi="Times New Roman" w:cs="Times New Roman"/>
          <w:color w:val="000000" w:themeColor="text1"/>
          <w:sz w:val="28"/>
          <w:szCs w:val="28"/>
        </w:rPr>
        <w:t>）。然而，</w:t>
      </w:r>
      <w:r w:rsidRPr="00C77E77">
        <w:rPr>
          <w:rFonts w:ascii="Times New Roman" w:eastAsia="標楷體" w:hAnsi="Times New Roman" w:cs="Times New Roman"/>
          <w:sz w:val="28"/>
          <w:szCs w:val="28"/>
        </w:rPr>
        <w:t>在八年的馬政府執政下，臺灣與東南亞實質關係每況愈下，《東南亞經貿工作綱要》的推動大都在較低的外交行政</w:t>
      </w:r>
      <w:r w:rsidR="00E473DA" w:rsidRPr="00C77E77">
        <w:rPr>
          <w:rFonts w:ascii="Times New Roman" w:eastAsia="標楷體" w:hAnsi="Times New Roman" w:cs="Times New Roman"/>
          <w:sz w:val="28"/>
          <w:szCs w:val="28"/>
        </w:rPr>
        <w:t>層級。故而乃有學者認為，在此階段中，臺灣在東南亞各國政府眼中的</w:t>
      </w:r>
      <w:r w:rsidRPr="00C77E77">
        <w:rPr>
          <w:rFonts w:ascii="Times New Roman" w:eastAsia="標楷體" w:hAnsi="Times New Roman" w:cs="Times New Roman"/>
          <w:sz w:val="28"/>
          <w:szCs w:val="28"/>
        </w:rPr>
        <w:t>政治地位下降，政府的文教部門也放棄了對國內東南亞區域學術研究的鼓勵和帶動。</w:t>
      </w:r>
      <w:r w:rsidRPr="00C77E77">
        <w:rPr>
          <w:rStyle w:val="a9"/>
          <w:rFonts w:ascii="Times New Roman" w:hAnsi="Times New Roman" w:cs="Times New Roman"/>
        </w:rPr>
        <w:footnoteReference w:id="14"/>
      </w:r>
    </w:p>
    <w:p w:rsidR="006D2155" w:rsidRPr="00C77E77" w:rsidRDefault="006D2155" w:rsidP="00F32487">
      <w:pPr>
        <w:spacing w:beforeLines="50" w:before="180" w:afterLines="50" w:after="180" w:line="500" w:lineRule="exact"/>
        <w:ind w:leftChars="50" w:left="12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二、現階段「新南向政策」之特點與必要性</w:t>
      </w:r>
    </w:p>
    <w:p w:rsidR="006D2155" w:rsidRPr="00C77E77" w:rsidRDefault="006D2155" w:rsidP="00DD7868">
      <w:pPr>
        <w:pStyle w:val="ab"/>
        <w:spacing w:beforeLines="50" w:before="180" w:afterLines="50" w:after="180" w:line="500" w:lineRule="exact"/>
        <w:ind w:leftChars="50" w:left="12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新政府已在總統府下成立「新南向政策辦公室」，積極展開跨部會協調，以整合教育、文化、科技、僑委會等各單位資源，全面推動新南向政策，並以東協、南亞國家為發展重點。過去三波南向政策只鎖定東協十國，新南向政策則延伸到南亞六國（印度、孟加拉、斯</w:t>
      </w:r>
      <w:r w:rsidR="002B6C97" w:rsidRPr="00C77E77">
        <w:rPr>
          <w:rFonts w:ascii="Times New Roman" w:eastAsia="標楷體" w:hAnsi="Times New Roman" w:cs="Times New Roman"/>
          <w:sz w:val="28"/>
          <w:szCs w:val="28"/>
        </w:rPr>
        <w:t>里</w:t>
      </w:r>
      <w:r w:rsidRPr="00C77E77">
        <w:rPr>
          <w:rFonts w:ascii="Times New Roman" w:eastAsia="標楷體" w:hAnsi="Times New Roman" w:cs="Times New Roman"/>
          <w:sz w:val="28"/>
          <w:szCs w:val="28"/>
        </w:rPr>
        <w:t>蘭卡、尼泊爾、不丹、巴基斯坦），其中又以印度為重點</w:t>
      </w:r>
    </w:p>
    <w:p w:rsidR="006D2155" w:rsidRPr="00C77E77" w:rsidRDefault="006D2155" w:rsidP="00DD7868">
      <w:pPr>
        <w:pStyle w:val="ab"/>
        <w:spacing w:beforeLines="50" w:before="180" w:afterLines="50" w:after="180" w:line="500" w:lineRule="exact"/>
        <w:ind w:leftChars="50" w:left="12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整體而言，新政府的「新南向政策」與過去李登輝總統時代的「南向政策」和陳水扁總統所宣示的「重啟南向政策」，有不同的發展情境。過去的「南向政策」之所以成效有限，最大原因是</w:t>
      </w:r>
      <w:r w:rsidRPr="00C77E77">
        <w:rPr>
          <w:rFonts w:ascii="Times New Roman" w:eastAsia="標楷體" w:hAnsi="Times New Roman" w:cs="Times New Roman"/>
          <w:color w:val="000000" w:themeColor="text1"/>
          <w:sz w:val="28"/>
          <w:szCs w:val="28"/>
        </w:rPr>
        <w:t>未能從價格、成本等市場經濟的角度出發。首先，</w:t>
      </w:r>
      <w:r w:rsidRPr="00C77E77">
        <w:rPr>
          <w:rFonts w:ascii="Times New Roman" w:eastAsia="標楷體" w:hAnsi="Times New Roman" w:cs="Times New Roman"/>
          <w:color w:val="000000" w:themeColor="text1"/>
          <w:sz w:val="28"/>
          <w:szCs w:val="28"/>
        </w:rPr>
        <w:t>1990</w:t>
      </w:r>
      <w:r w:rsidRPr="00C77E77">
        <w:rPr>
          <w:rFonts w:ascii="Times New Roman" w:eastAsia="標楷體" w:hAnsi="Times New Roman" w:cs="Times New Roman"/>
          <w:color w:val="000000" w:themeColor="text1"/>
          <w:sz w:val="28"/>
          <w:szCs w:val="28"/>
        </w:rPr>
        <w:t>年代的中國大陸經濟快速崛起，是當時最重要的新興市場，也是臺灣理想的生產基地與出國市場。然而</w:t>
      </w:r>
      <w:r w:rsidRPr="00C77E77">
        <w:rPr>
          <w:rFonts w:ascii="Times New Roman" w:eastAsia="標楷體" w:hAnsi="Times New Roman" w:cs="Times New Roman"/>
          <w:sz w:val="28"/>
          <w:szCs w:val="28"/>
        </w:rPr>
        <w:t>在中國大陸</w:t>
      </w:r>
      <w:r w:rsidRPr="00C77E77">
        <w:rPr>
          <w:rFonts w:ascii="Times New Roman" w:eastAsia="標楷體" w:hAnsi="Times New Roman" w:cs="Times New Roman"/>
          <w:color w:val="000000" w:themeColor="text1"/>
          <w:sz w:val="28"/>
          <w:szCs w:val="28"/>
        </w:rPr>
        <w:t>持續吸引臺灣產業移動的時候</w:t>
      </w:r>
      <w:r w:rsidRPr="00C77E77">
        <w:rPr>
          <w:rFonts w:ascii="Times New Roman" w:eastAsia="標楷體" w:hAnsi="Times New Roman" w:cs="Times New Roman"/>
          <w:sz w:val="28"/>
          <w:szCs w:val="28"/>
        </w:rPr>
        <w:t>，政府</w:t>
      </w:r>
      <w:r w:rsidRPr="00C77E77">
        <w:rPr>
          <w:rFonts w:ascii="Times New Roman" w:eastAsia="標楷體" w:hAnsi="Times New Roman" w:cs="Times New Roman"/>
          <w:color w:val="000000" w:themeColor="text1"/>
          <w:sz w:val="28"/>
          <w:szCs w:val="28"/>
        </w:rPr>
        <w:t>卻以「反傾中」、「分散風險」、避免投資過度集中於中國大陸為佈署，</w:t>
      </w:r>
      <w:r w:rsidRPr="00C77E77">
        <w:rPr>
          <w:rFonts w:ascii="Times New Roman" w:eastAsia="標楷體" w:hAnsi="Times New Roman" w:cs="Times New Roman"/>
          <w:sz w:val="28"/>
          <w:szCs w:val="28"/>
        </w:rPr>
        <w:t>欲以政治力扭轉臺商西進投資的意願</w:t>
      </w:r>
      <w:r w:rsidRPr="00C77E77">
        <w:rPr>
          <w:rFonts w:ascii="Times New Roman" w:eastAsia="標楷體" w:hAnsi="Times New Roman" w:cs="Times New Roman"/>
          <w:color w:val="000000" w:themeColor="text1"/>
          <w:sz w:val="28"/>
          <w:szCs w:val="28"/>
        </w:rPr>
        <w:t>。其次，</w:t>
      </w:r>
      <w:r w:rsidRPr="00C77E77">
        <w:rPr>
          <w:rFonts w:ascii="Times New Roman" w:eastAsia="標楷體" w:hAnsi="Times New Roman" w:cs="Times New Roman"/>
          <w:color w:val="000000" w:themeColor="text1"/>
          <w:sz w:val="28"/>
          <w:szCs w:val="28"/>
        </w:rPr>
        <w:t>1990</w:t>
      </w:r>
      <w:r w:rsidRPr="00C77E77">
        <w:rPr>
          <w:rFonts w:ascii="Times New Roman" w:eastAsia="標楷體" w:hAnsi="Times New Roman" w:cs="Times New Roman"/>
          <w:color w:val="000000" w:themeColor="text1"/>
          <w:sz w:val="28"/>
          <w:szCs w:val="28"/>
        </w:rPr>
        <w:t>年代的東亞各國缺乏完善的配套工業體系，沒有作為臺灣生產基地的條件，臺灣與東南亞國家的產品也不具有互補性。雖然臺灣在東南亞國家的投資與貿易</w:t>
      </w:r>
      <w:r w:rsidRPr="00C77E77">
        <w:rPr>
          <w:rFonts w:ascii="Times New Roman" w:eastAsia="標楷體" w:hAnsi="Times New Roman" w:cs="Times New Roman"/>
          <w:color w:val="000000" w:themeColor="text1"/>
          <w:sz w:val="28"/>
          <w:szCs w:val="28"/>
        </w:rPr>
        <w:lastRenderedPageBreak/>
        <w:t>有所增長，但仍缺乏一套與市場運作相輔相成的政治與社會機制。第三，</w:t>
      </w:r>
      <w:r w:rsidRPr="00C77E77">
        <w:rPr>
          <w:rFonts w:ascii="Times New Roman" w:eastAsia="標楷體" w:hAnsi="Times New Roman" w:cs="Times New Roman"/>
          <w:sz w:val="28"/>
          <w:szCs w:val="28"/>
        </w:rPr>
        <w:t>雖然南向政策</w:t>
      </w:r>
      <w:r w:rsidRPr="00C77E77">
        <w:rPr>
          <w:rFonts w:ascii="Times New Roman" w:eastAsia="標楷體" w:hAnsi="Times New Roman" w:cs="Times New Roman"/>
          <w:color w:val="000000" w:themeColor="text1"/>
          <w:sz w:val="28"/>
          <w:szCs w:val="28"/>
        </w:rPr>
        <w:t>希望藉由提升與東協的經貿往來，鞏固雙方的實質政治關係，但是因為亞洲金融風暴使東南亞的投資環境進一步惡化</w:t>
      </w:r>
      <w:r w:rsidRPr="00C77E77">
        <w:rPr>
          <w:rFonts w:ascii="Times New Roman" w:eastAsia="標楷體" w:hAnsi="Times New Roman" w:cs="Times New Roman"/>
          <w:sz w:val="28"/>
          <w:szCs w:val="28"/>
        </w:rPr>
        <w:t>，加上中國大陸也積極拉攏東南亞國家，臺灣的國際空間受到擠壓，依然被排除在區域整合之外。</w:t>
      </w:r>
    </w:p>
    <w:p w:rsidR="006D2155" w:rsidRPr="00C77E77" w:rsidRDefault="006D2155" w:rsidP="00DD7868">
      <w:pPr>
        <w:pStyle w:val="ab"/>
        <w:spacing w:beforeLines="50" w:before="180" w:afterLines="50" w:after="18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跟前三波南向政策相比，現今的國內外環境已經有所轉變，</w:t>
      </w:r>
      <w:r w:rsidRPr="00C77E77">
        <w:rPr>
          <w:rFonts w:ascii="Times New Roman" w:eastAsia="標楷體" w:hAnsi="Times New Roman" w:cs="Times New Roman"/>
          <w:color w:val="000000" w:themeColor="text1"/>
          <w:sz w:val="28"/>
          <w:szCs w:val="28"/>
        </w:rPr>
        <w:t>新南向政策的方向能夠與目前的市場力量</w:t>
      </w:r>
      <w:r w:rsidR="009F75E8" w:rsidRPr="00C77E77">
        <w:rPr>
          <w:rFonts w:ascii="Times New Roman" w:eastAsia="標楷體" w:hAnsi="Times New Roman" w:cs="Times New Roman"/>
          <w:color w:val="000000" w:themeColor="text1"/>
          <w:sz w:val="28"/>
          <w:szCs w:val="28"/>
        </w:rPr>
        <w:t>並行，可望</w:t>
      </w:r>
      <w:r w:rsidRPr="00C77E77">
        <w:rPr>
          <w:rFonts w:ascii="Times New Roman" w:eastAsia="標楷體" w:hAnsi="Times New Roman" w:cs="Times New Roman"/>
          <w:color w:val="000000" w:themeColor="text1"/>
          <w:sz w:val="28"/>
          <w:szCs w:val="28"/>
        </w:rPr>
        <w:t>獲得較大的成效：</w:t>
      </w:r>
    </w:p>
    <w:p w:rsidR="006D2155" w:rsidRPr="00C77E77" w:rsidRDefault="006D2155" w:rsidP="00F32487">
      <w:pPr>
        <w:spacing w:beforeLines="50" w:before="180" w:afterLines="50" w:after="180" w:line="500" w:lineRule="exact"/>
        <w:ind w:leftChars="100" w:left="240" w:firstLine="482"/>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（一）中國大陸經營環境轉變</w:t>
      </w:r>
    </w:p>
    <w:p w:rsidR="006D2155" w:rsidRPr="00C77E77" w:rsidRDefault="006D2155" w:rsidP="008371A2">
      <w:pPr>
        <w:spacing w:beforeLines="50" w:before="180" w:afterLines="50" w:after="180" w:line="500" w:lineRule="exact"/>
        <w:ind w:leftChars="354" w:left="850" w:firstLine="56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近年來中國</w:t>
      </w:r>
      <w:r w:rsidRPr="00C77E77">
        <w:rPr>
          <w:rFonts w:ascii="Times New Roman" w:eastAsia="標楷體" w:hAnsi="Times New Roman" w:cs="Times New Roman"/>
          <w:color w:val="000000" w:themeColor="text1"/>
          <w:sz w:val="28"/>
          <w:szCs w:val="28"/>
        </w:rPr>
        <w:t>大陸</w:t>
      </w:r>
      <w:r w:rsidRPr="00C77E77">
        <w:rPr>
          <w:rFonts w:ascii="Times New Roman" w:eastAsia="標楷體" w:hAnsi="Times New Roman" w:cs="Times New Roman"/>
          <w:sz w:val="28"/>
          <w:szCs w:val="28"/>
        </w:rPr>
        <w:t>經濟成長減緩、投資環境惡化，我國政府與企業開始重新審視東南亞的經濟發展潛力。根據美國波士頓諮詢集團（</w:t>
      </w:r>
      <w:r w:rsidRPr="00C77E77">
        <w:rPr>
          <w:rFonts w:ascii="Times New Roman" w:eastAsia="標楷體" w:hAnsi="Times New Roman" w:cs="Times New Roman"/>
          <w:sz w:val="28"/>
          <w:szCs w:val="28"/>
        </w:rPr>
        <w:t>BCG</w:t>
      </w:r>
      <w:r w:rsidRPr="00C77E77">
        <w:rPr>
          <w:rFonts w:ascii="Times New Roman" w:eastAsia="標楷體" w:hAnsi="Times New Roman" w:cs="Times New Roman"/>
          <w:sz w:val="28"/>
          <w:szCs w:val="28"/>
        </w:rPr>
        <w:t>）《全球製造業的經濟大挪移》報告顯示，經生產力調整後，中國</w:t>
      </w:r>
      <w:r w:rsidRPr="00C77E77">
        <w:rPr>
          <w:rFonts w:ascii="Times New Roman" w:eastAsia="標楷體" w:hAnsi="Times New Roman" w:cs="Times New Roman"/>
          <w:color w:val="000000" w:themeColor="text1"/>
          <w:sz w:val="28"/>
          <w:szCs w:val="28"/>
        </w:rPr>
        <w:t>大陸</w:t>
      </w:r>
      <w:r w:rsidRPr="00C77E77">
        <w:rPr>
          <w:rFonts w:ascii="Times New Roman" w:eastAsia="標楷體" w:hAnsi="Times New Roman" w:cs="Times New Roman"/>
          <w:sz w:val="28"/>
          <w:szCs w:val="28"/>
        </w:rPr>
        <w:t>工人的工資水準，已經從</w:t>
      </w:r>
      <w:r w:rsidRPr="00C77E77">
        <w:rPr>
          <w:rFonts w:ascii="Times New Roman" w:eastAsia="標楷體" w:hAnsi="Times New Roman" w:cs="Times New Roman"/>
          <w:sz w:val="28"/>
          <w:szCs w:val="28"/>
        </w:rPr>
        <w:t>2004</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4.35</w:t>
      </w:r>
      <w:r w:rsidRPr="00C77E77">
        <w:rPr>
          <w:rFonts w:ascii="Times New Roman" w:eastAsia="標楷體" w:hAnsi="Times New Roman" w:cs="Times New Roman"/>
          <w:sz w:val="28"/>
          <w:szCs w:val="28"/>
        </w:rPr>
        <w:t>美元時薪漲到</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12.47</w:t>
      </w:r>
      <w:r w:rsidRPr="00C77E77">
        <w:rPr>
          <w:rFonts w:ascii="Times New Roman" w:eastAsia="標楷體" w:hAnsi="Times New Roman" w:cs="Times New Roman"/>
          <w:sz w:val="28"/>
          <w:szCs w:val="28"/>
        </w:rPr>
        <w:t>美元，漲幅達</w:t>
      </w:r>
      <w:r w:rsidRPr="00C77E77">
        <w:rPr>
          <w:rFonts w:ascii="Times New Roman" w:eastAsia="標楷體" w:hAnsi="Times New Roman" w:cs="Times New Roman"/>
          <w:sz w:val="28"/>
          <w:szCs w:val="28"/>
        </w:rPr>
        <w:t>187</w:t>
      </w:r>
      <w:r w:rsidRPr="00C77E77">
        <w:rPr>
          <w:rFonts w:ascii="Times New Roman" w:eastAsia="標楷體" w:hAnsi="Times New Roman" w:cs="Times New Roman"/>
          <w:sz w:val="28"/>
          <w:szCs w:val="28"/>
        </w:rPr>
        <w:t>％，在成本大幅上揚下，臺商自然也將目光轉向東協。據統計至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年底臺商投資東協總金額已超過</w:t>
      </w:r>
      <w:r w:rsidRPr="00C77E77">
        <w:rPr>
          <w:rFonts w:ascii="Times New Roman" w:eastAsia="標楷體" w:hAnsi="Times New Roman" w:cs="Times New Roman"/>
          <w:sz w:val="28"/>
          <w:szCs w:val="28"/>
        </w:rPr>
        <w:t>860</w:t>
      </w:r>
      <w:r w:rsidRPr="00C77E77">
        <w:rPr>
          <w:rFonts w:ascii="Times New Roman" w:eastAsia="標楷體" w:hAnsi="Times New Roman" w:cs="Times New Roman"/>
          <w:sz w:val="28"/>
          <w:szCs w:val="28"/>
        </w:rPr>
        <w:t>億美元，與臺灣產業的供應鏈關係也日益密切。</w:t>
      </w:r>
    </w:p>
    <w:p w:rsidR="006D2155" w:rsidRPr="00C77E77" w:rsidRDefault="006D2155" w:rsidP="008371A2">
      <w:pPr>
        <w:spacing w:beforeLines="50" w:before="180" w:afterLines="50" w:after="180" w:line="500" w:lineRule="exact"/>
        <w:ind w:leftChars="354" w:left="85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全球景氣不如預期，加上中國大陸經濟成長放緩，也影響臺灣企業海外獲利。根據金管會公佈</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年臺灣上市櫃公司投資中國大陸獲利新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2067</w:t>
      </w:r>
      <w:r w:rsidRPr="00C77E77">
        <w:rPr>
          <w:rFonts w:ascii="Times New Roman" w:eastAsia="標楷體" w:hAnsi="Times New Roman" w:cs="Times New Roman"/>
          <w:sz w:val="28"/>
          <w:szCs w:val="28"/>
        </w:rPr>
        <w:t>億元，年減</w:t>
      </w:r>
      <w:r w:rsidRPr="00C77E77">
        <w:rPr>
          <w:rFonts w:ascii="Times New Roman" w:eastAsia="標楷體" w:hAnsi="Times New Roman" w:cs="Times New Roman"/>
          <w:sz w:val="28"/>
          <w:szCs w:val="28"/>
        </w:rPr>
        <w:t>70</w:t>
      </w:r>
      <w:r w:rsidRPr="00C77E77">
        <w:rPr>
          <w:rFonts w:ascii="Times New Roman" w:eastAsia="標楷體" w:hAnsi="Times New Roman" w:cs="Times New Roman"/>
          <w:sz w:val="28"/>
          <w:szCs w:val="28"/>
        </w:rPr>
        <w:t>億，投資海外不含中國大陸部分則獲利</w:t>
      </w:r>
      <w:r w:rsidRPr="00C77E77">
        <w:rPr>
          <w:rFonts w:ascii="Times New Roman" w:eastAsia="標楷體" w:hAnsi="Times New Roman" w:cs="Times New Roman"/>
          <w:sz w:val="28"/>
          <w:szCs w:val="28"/>
        </w:rPr>
        <w:t>3000</w:t>
      </w:r>
      <w:r w:rsidRPr="00C77E77">
        <w:rPr>
          <w:rFonts w:ascii="Times New Roman" w:eastAsia="標楷體" w:hAnsi="Times New Roman" w:cs="Times New Roman"/>
          <w:sz w:val="28"/>
          <w:szCs w:val="28"/>
        </w:rPr>
        <w:t>億，年減</w:t>
      </w:r>
      <w:r w:rsidRPr="00C77E77">
        <w:rPr>
          <w:rFonts w:ascii="Times New Roman" w:eastAsia="標楷體" w:hAnsi="Times New Roman" w:cs="Times New Roman"/>
          <w:sz w:val="28"/>
          <w:szCs w:val="28"/>
        </w:rPr>
        <w:t>493</w:t>
      </w:r>
      <w:r w:rsidRPr="00C77E77">
        <w:rPr>
          <w:rFonts w:ascii="Times New Roman" w:eastAsia="標楷體" w:hAnsi="Times New Roman" w:cs="Times New Roman"/>
          <w:sz w:val="28"/>
          <w:szCs w:val="28"/>
        </w:rPr>
        <w:t>億，兩者合計共減少了</w:t>
      </w:r>
      <w:r w:rsidRPr="00C77E77">
        <w:rPr>
          <w:rFonts w:ascii="Times New Roman" w:eastAsia="標楷體" w:hAnsi="Times New Roman" w:cs="Times New Roman"/>
          <w:sz w:val="28"/>
          <w:szCs w:val="28"/>
        </w:rPr>
        <w:t>563</w:t>
      </w:r>
      <w:r w:rsidRPr="00C77E77">
        <w:rPr>
          <w:rFonts w:ascii="Times New Roman" w:eastAsia="標楷體" w:hAnsi="Times New Roman" w:cs="Times New Roman"/>
          <w:sz w:val="28"/>
          <w:szCs w:val="28"/>
        </w:rPr>
        <w:t>億元，也創下</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年後首見的負成長。</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年上市公司海外投資獲利</w:t>
      </w:r>
      <w:r w:rsidRPr="00C77E77">
        <w:rPr>
          <w:rFonts w:ascii="Times New Roman" w:eastAsia="標楷體" w:hAnsi="Times New Roman" w:cs="Times New Roman"/>
          <w:sz w:val="28"/>
          <w:szCs w:val="28"/>
        </w:rPr>
        <w:t>870</w:t>
      </w:r>
      <w:r w:rsidRPr="00C77E77">
        <w:rPr>
          <w:rFonts w:ascii="Times New Roman" w:eastAsia="標楷體" w:hAnsi="Times New Roman" w:cs="Times New Roman"/>
          <w:sz w:val="28"/>
          <w:szCs w:val="28"/>
        </w:rPr>
        <w:t>億元、上櫃公司獲利</w:t>
      </w:r>
      <w:r w:rsidRPr="00C77E77">
        <w:rPr>
          <w:rFonts w:ascii="Times New Roman" w:eastAsia="標楷體" w:hAnsi="Times New Roman" w:cs="Times New Roman"/>
          <w:sz w:val="28"/>
          <w:szCs w:val="28"/>
        </w:rPr>
        <w:t>130</w:t>
      </w:r>
      <w:r w:rsidRPr="00C77E77">
        <w:rPr>
          <w:rFonts w:ascii="Times New Roman" w:eastAsia="標楷體" w:hAnsi="Times New Roman" w:cs="Times New Roman"/>
          <w:sz w:val="28"/>
          <w:szCs w:val="28"/>
        </w:rPr>
        <w:t>億元，合計利益</w:t>
      </w:r>
      <w:r w:rsidRPr="00C77E77">
        <w:rPr>
          <w:rFonts w:ascii="Times New Roman" w:eastAsia="標楷體" w:hAnsi="Times New Roman" w:cs="Times New Roman"/>
          <w:sz w:val="28"/>
          <w:szCs w:val="28"/>
        </w:rPr>
        <w:t>3</w:t>
      </w:r>
      <w:r w:rsidR="00EE0AA0"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000</w:t>
      </w:r>
      <w:r w:rsidRPr="00C77E77">
        <w:rPr>
          <w:rFonts w:ascii="Times New Roman" w:eastAsia="標楷體" w:hAnsi="Times New Roman" w:cs="Times New Roman"/>
          <w:sz w:val="28"/>
          <w:szCs w:val="28"/>
        </w:rPr>
        <w:t>億元，較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年減少</w:t>
      </w:r>
      <w:r w:rsidRPr="00C77E77">
        <w:rPr>
          <w:rFonts w:ascii="Times New Roman" w:eastAsia="標楷體" w:hAnsi="Times New Roman" w:cs="Times New Roman"/>
          <w:sz w:val="28"/>
          <w:szCs w:val="28"/>
        </w:rPr>
        <w:t>493</w:t>
      </w:r>
      <w:r w:rsidRPr="00C77E77">
        <w:rPr>
          <w:rFonts w:ascii="Times New Roman" w:eastAsia="標楷體" w:hAnsi="Times New Roman" w:cs="Times New Roman"/>
          <w:sz w:val="28"/>
          <w:szCs w:val="28"/>
        </w:rPr>
        <w:t>億元。其中上市公司獲利年減</w:t>
      </w:r>
      <w:r w:rsidRPr="00C77E77">
        <w:rPr>
          <w:rFonts w:ascii="Times New Roman" w:eastAsia="標楷體" w:hAnsi="Times New Roman" w:cs="Times New Roman"/>
          <w:sz w:val="28"/>
          <w:szCs w:val="28"/>
        </w:rPr>
        <w:t>503</w:t>
      </w:r>
      <w:r w:rsidRPr="00C77E77">
        <w:rPr>
          <w:rFonts w:ascii="Times New Roman" w:eastAsia="標楷體" w:hAnsi="Times New Roman" w:cs="Times New Roman"/>
          <w:sz w:val="28"/>
          <w:szCs w:val="28"/>
        </w:rPr>
        <w:t>億元，除了因面板需求衰退及手機成長趨緩致需求降低，產品售價下跌外，加上受中國大陸經濟成長放緩，水泥市</w:t>
      </w:r>
      <w:r w:rsidRPr="00C77E77">
        <w:rPr>
          <w:rFonts w:ascii="Times New Roman" w:eastAsia="標楷體" w:hAnsi="Times New Roman" w:cs="Times New Roman"/>
          <w:sz w:val="28"/>
          <w:szCs w:val="28"/>
        </w:rPr>
        <w:lastRenderedPageBreak/>
        <w:t>場需求減少，產能過剩致售價下跌所致。</w:t>
      </w:r>
      <w:r w:rsidRPr="00C77E77">
        <w:rPr>
          <w:rStyle w:val="a9"/>
          <w:rFonts w:ascii="Times New Roman" w:eastAsia="標楷體" w:hAnsi="Times New Roman" w:cs="Times New Roman"/>
          <w:sz w:val="28"/>
          <w:szCs w:val="28"/>
        </w:rPr>
        <w:footnoteReference w:id="15"/>
      </w:r>
    </w:p>
    <w:p w:rsidR="006D2155" w:rsidRPr="00C77E77" w:rsidRDefault="006D2155" w:rsidP="008371A2">
      <w:pPr>
        <w:spacing w:beforeLines="50" w:before="180" w:afterLines="50" w:after="180" w:line="500" w:lineRule="exact"/>
        <w:ind w:leftChars="100" w:left="240" w:firstLine="482"/>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（二）東協市場前景看好</w:t>
      </w:r>
    </w:p>
    <w:p w:rsidR="006D2155" w:rsidRPr="00C77E77" w:rsidRDefault="006D2155" w:rsidP="008371A2">
      <w:pPr>
        <w:spacing w:beforeLines="50" w:before="180" w:afterLines="50" w:after="180" w:line="500" w:lineRule="exact"/>
        <w:ind w:leftChars="354" w:left="850" w:firstLine="56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東南亞的投資環境則持續提升，大陸臺商紛紛轉向東南亞地區投資。東協經濟規模達</w:t>
      </w:r>
      <w:r w:rsidRPr="00C77E77">
        <w:rPr>
          <w:rFonts w:ascii="Times New Roman" w:eastAsia="標楷體" w:hAnsi="Times New Roman" w:cs="Times New Roman"/>
          <w:sz w:val="28"/>
          <w:szCs w:val="28"/>
        </w:rPr>
        <w:t>2.6</w:t>
      </w:r>
      <w:r w:rsidRPr="00C77E77">
        <w:rPr>
          <w:rFonts w:ascii="Times New Roman" w:eastAsia="標楷體" w:hAnsi="Times New Roman" w:cs="Times New Roman"/>
          <w:sz w:val="28"/>
          <w:szCs w:val="28"/>
        </w:rPr>
        <w:t>兆美元，是全球第</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大經濟體，預計</w:t>
      </w:r>
      <w:r w:rsidRPr="00C77E77">
        <w:rPr>
          <w:rFonts w:ascii="Times New Roman" w:eastAsia="標楷體" w:hAnsi="Times New Roman" w:cs="Times New Roman"/>
          <w:sz w:val="28"/>
          <w:szCs w:val="28"/>
        </w:rPr>
        <w:t>2030</w:t>
      </w:r>
      <w:r w:rsidRPr="00C77E77">
        <w:rPr>
          <w:rFonts w:ascii="Times New Roman" w:eastAsia="標楷體" w:hAnsi="Times New Roman" w:cs="Times New Roman"/>
          <w:sz w:val="28"/>
          <w:szCs w:val="28"/>
        </w:rPr>
        <w:t>年將擴增近</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倍，將成世界第</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大經濟體，同時「東協經濟共同體」（</w:t>
      </w:r>
      <w:r w:rsidRPr="00C77E77">
        <w:rPr>
          <w:rFonts w:ascii="Times New Roman" w:eastAsia="標楷體" w:hAnsi="Times New Roman" w:cs="Times New Roman"/>
          <w:sz w:val="28"/>
          <w:szCs w:val="28"/>
        </w:rPr>
        <w:t>AEC</w:t>
      </w:r>
      <w:r w:rsidRPr="00C77E77">
        <w:rPr>
          <w:rFonts w:ascii="Times New Roman" w:eastAsia="標楷體" w:hAnsi="Times New Roman" w:cs="Times New Roman"/>
          <w:sz w:val="28"/>
          <w:szCs w:val="28"/>
        </w:rPr>
        <w:t>）的成立，預計於</w:t>
      </w:r>
      <w:r w:rsidRPr="00C77E77">
        <w:rPr>
          <w:rFonts w:ascii="Times New Roman" w:eastAsia="標楷體" w:hAnsi="Times New Roman" w:cs="Times New Roman"/>
          <w:sz w:val="28"/>
          <w:szCs w:val="28"/>
        </w:rPr>
        <w:t>2025</w:t>
      </w:r>
      <w:r w:rsidRPr="00C77E77">
        <w:rPr>
          <w:rFonts w:ascii="Times New Roman" w:eastAsia="標楷體" w:hAnsi="Times New Roman" w:cs="Times New Roman"/>
          <w:sz w:val="28"/>
          <w:szCs w:val="28"/>
        </w:rPr>
        <w:t>年前達到貨品、服務、投資、資金與技術勞工自由流通，加上城鎮化發展、基礎建設與交通網絡，以及逐漸重視永續能源與環境等領域的需求大增，都將對臺商創造市場拓展的商機，自然使東協成為臺商「中國加一」的佈局選項。估計至</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年前，東協國家有</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兆美元的基礎建設商機，全世界各國都在加碼提供東協基礎建設的援助、貸款，臺灣也須重視。</w:t>
      </w:r>
      <w:r w:rsidRPr="00C77E77">
        <w:rPr>
          <w:rStyle w:val="a9"/>
          <w:rFonts w:ascii="Times New Roman" w:hAnsi="Times New Roman" w:cs="Times New Roman"/>
        </w:rPr>
        <w:footnoteReference w:id="16"/>
      </w:r>
    </w:p>
    <w:p w:rsidR="006D2155" w:rsidRPr="00C77E77" w:rsidRDefault="009F75E8" w:rsidP="008371A2">
      <w:pPr>
        <w:spacing w:beforeLines="50" w:before="180" w:afterLines="50" w:after="180" w:line="500" w:lineRule="exact"/>
        <w:ind w:leftChars="354" w:left="850" w:firstLine="34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近年</w:t>
      </w:r>
      <w:r w:rsidRPr="00C77E77">
        <w:rPr>
          <w:rFonts w:ascii="Times New Roman" w:eastAsia="標楷體" w:hAnsi="Times New Roman" w:cs="Times New Roman"/>
          <w:sz w:val="28"/>
          <w:szCs w:val="28"/>
        </w:rPr>
        <w:t>東南亞市場中大量中產階級出現，</w:t>
      </w:r>
      <w:r w:rsidR="006D2155" w:rsidRPr="00C77E77">
        <w:rPr>
          <w:rFonts w:ascii="Times New Roman" w:eastAsia="標楷體" w:hAnsi="Times New Roman" w:cs="Times New Roman"/>
          <w:sz w:val="28"/>
          <w:szCs w:val="28"/>
        </w:rPr>
        <w:t>2014</w:t>
      </w:r>
      <w:r w:rsidR="006D2155" w:rsidRPr="00C77E77">
        <w:rPr>
          <w:rFonts w:ascii="Times New Roman" w:eastAsia="標楷體" w:hAnsi="Times New Roman" w:cs="Times New Roman"/>
          <w:sz w:val="28"/>
          <w:szCs w:val="28"/>
        </w:rPr>
        <w:t>年印尼、泰國、菲律賓、馬來西亞和越南的名目</w:t>
      </w:r>
      <w:r w:rsidR="006D2155" w:rsidRPr="00C77E77">
        <w:rPr>
          <w:rFonts w:ascii="Times New Roman" w:eastAsia="標楷體" w:hAnsi="Times New Roman" w:cs="Times New Roman"/>
          <w:sz w:val="28"/>
          <w:szCs w:val="28"/>
        </w:rPr>
        <w:t>GDP</w:t>
      </w:r>
      <w:r w:rsidR="006D2155" w:rsidRPr="00C77E77">
        <w:rPr>
          <w:rFonts w:ascii="Times New Roman" w:eastAsia="標楷體" w:hAnsi="Times New Roman" w:cs="Times New Roman"/>
          <w:sz w:val="28"/>
          <w:szCs w:val="28"/>
        </w:rPr>
        <w:t>已突破</w:t>
      </w:r>
      <w:r w:rsidR="006D2155" w:rsidRPr="00C77E77">
        <w:rPr>
          <w:rFonts w:ascii="Times New Roman" w:eastAsia="標楷體" w:hAnsi="Times New Roman" w:cs="Times New Roman"/>
          <w:sz w:val="28"/>
          <w:szCs w:val="28"/>
        </w:rPr>
        <w:t>2</w:t>
      </w:r>
      <w:r w:rsidR="006D2155" w:rsidRPr="00C77E77">
        <w:rPr>
          <w:rFonts w:ascii="Times New Roman" w:eastAsia="標楷體" w:hAnsi="Times New Roman" w:cs="Times New Roman"/>
          <w:sz w:val="28"/>
          <w:szCs w:val="28"/>
        </w:rPr>
        <w:t>兆美元，其餘東協國家</w:t>
      </w:r>
      <w:r w:rsidR="006D2155" w:rsidRPr="00C77E77">
        <w:rPr>
          <w:rFonts w:ascii="Times New Roman" w:eastAsia="標楷體" w:hAnsi="Times New Roman" w:cs="Times New Roman"/>
          <w:sz w:val="28"/>
          <w:szCs w:val="28"/>
        </w:rPr>
        <w:t>GDP</w:t>
      </w:r>
      <w:r w:rsidR="006D2155" w:rsidRPr="00C77E77">
        <w:rPr>
          <w:rFonts w:ascii="Times New Roman" w:eastAsia="標楷體" w:hAnsi="Times New Roman" w:cs="Times New Roman"/>
          <w:sz w:val="28"/>
          <w:szCs w:val="28"/>
        </w:rPr>
        <w:t>也以</w:t>
      </w:r>
      <w:r w:rsidR="006D2155" w:rsidRPr="00C77E77">
        <w:rPr>
          <w:rFonts w:ascii="Times New Roman" w:eastAsia="標楷體" w:hAnsi="Times New Roman" w:cs="Times New Roman"/>
          <w:sz w:val="28"/>
          <w:szCs w:val="28"/>
        </w:rPr>
        <w:t>5</w:t>
      </w:r>
      <w:r w:rsidR="006D2155" w:rsidRPr="00C77E77">
        <w:rPr>
          <w:rFonts w:ascii="Times New Roman" w:eastAsia="標楷體" w:hAnsi="Times New Roman" w:cs="Times New Roman"/>
          <w:sz w:val="28"/>
          <w:szCs w:val="28"/>
        </w:rPr>
        <w:t>％以上的速度成長，並且，東南亞的</w:t>
      </w:r>
      <w:r w:rsidR="006D2155" w:rsidRPr="00C77E77">
        <w:rPr>
          <w:rFonts w:ascii="Times New Roman" w:eastAsia="標楷體" w:hAnsi="Times New Roman" w:cs="Times New Roman"/>
          <w:sz w:val="28"/>
          <w:szCs w:val="28"/>
        </w:rPr>
        <w:t>GDP</w:t>
      </w:r>
      <w:r w:rsidR="006D2155" w:rsidRPr="00C77E77">
        <w:rPr>
          <w:rFonts w:ascii="Times New Roman" w:eastAsia="標楷體" w:hAnsi="Times New Roman" w:cs="Times New Roman"/>
          <w:sz w:val="28"/>
          <w:szCs w:val="28"/>
        </w:rPr>
        <w:t>結構中民間消費占</w:t>
      </w:r>
      <w:r w:rsidR="006D2155" w:rsidRPr="00C77E77">
        <w:rPr>
          <w:rFonts w:ascii="Times New Roman" w:eastAsia="標楷體" w:hAnsi="Times New Roman" w:cs="Times New Roman"/>
          <w:sz w:val="28"/>
          <w:szCs w:val="28"/>
        </w:rPr>
        <w:t>GDP 55</w:t>
      </w:r>
      <w:r w:rsidR="006D2155" w:rsidRPr="00C77E77">
        <w:rPr>
          <w:rFonts w:ascii="Times New Roman" w:eastAsia="標楷體" w:hAnsi="Times New Roman" w:cs="Times New Roman"/>
          <w:sz w:val="28"/>
          <w:szCs w:val="28"/>
        </w:rPr>
        <w:t>％以上。</w:t>
      </w:r>
      <w:r w:rsidR="006D2155" w:rsidRPr="00C77E77">
        <w:rPr>
          <w:rStyle w:val="a9"/>
          <w:rFonts w:ascii="Times New Roman" w:hAnsi="Times New Roman" w:cs="Times New Roman"/>
        </w:rPr>
        <w:footnoteReference w:id="17"/>
      </w:r>
      <w:r w:rsidR="006D2155" w:rsidRPr="00C77E77">
        <w:rPr>
          <w:rFonts w:ascii="Times New Roman" w:eastAsia="標楷體" w:hAnsi="Times New Roman" w:cs="Times New Roman"/>
          <w:sz w:val="28"/>
          <w:szCs w:val="28"/>
        </w:rPr>
        <w:t>東南亞內需市場迅速興起，使得臺商不得不審視其商機而前往投資或經商貿易。</w:t>
      </w:r>
    </w:p>
    <w:p w:rsidR="006D2155" w:rsidRPr="00C77E77" w:rsidRDefault="006D2155" w:rsidP="008371A2">
      <w:pPr>
        <w:pStyle w:val="ab"/>
        <w:spacing w:beforeLines="50" w:before="180" w:afterLines="50" w:after="180" w:line="500" w:lineRule="exact"/>
        <w:ind w:leftChars="100" w:left="240" w:firstLine="482"/>
        <w:jc w:val="both"/>
        <w:rPr>
          <w:rFonts w:ascii="Times New Roman" w:eastAsia="標楷體" w:hAnsi="Times New Roman" w:cs="Times New Roman"/>
          <w:b/>
          <w:color w:val="000000" w:themeColor="text1"/>
          <w:spacing w:val="14"/>
          <w:sz w:val="28"/>
          <w:szCs w:val="28"/>
        </w:rPr>
      </w:pPr>
      <w:r w:rsidRPr="00C77E77">
        <w:rPr>
          <w:rFonts w:ascii="Times New Roman" w:eastAsia="標楷體" w:hAnsi="Times New Roman" w:cs="Times New Roman"/>
          <w:b/>
          <w:sz w:val="28"/>
          <w:szCs w:val="28"/>
        </w:rPr>
        <w:t>（三）我國企業需因應東亞區域整合趨勢</w:t>
      </w:r>
    </w:p>
    <w:p w:rsidR="006D2155" w:rsidRPr="00C77E77" w:rsidRDefault="006D2155" w:rsidP="008371A2">
      <w:pPr>
        <w:pStyle w:val="ab"/>
        <w:spacing w:beforeLines="50" w:before="180" w:afterLines="50" w:after="180" w:line="500" w:lineRule="exact"/>
        <w:ind w:leftChars="354" w:left="850" w:firstLine="568"/>
        <w:jc w:val="both"/>
        <w:rPr>
          <w:rFonts w:ascii="Times New Roman" w:eastAsia="標楷體" w:hAnsi="Times New Roman" w:cs="Times New Roman"/>
          <w:color w:val="000000" w:themeColor="text1"/>
          <w:spacing w:val="14"/>
          <w:sz w:val="28"/>
          <w:szCs w:val="28"/>
        </w:rPr>
      </w:pPr>
      <w:r w:rsidRPr="00C77E77">
        <w:rPr>
          <w:rFonts w:ascii="Times New Roman" w:eastAsia="標楷體" w:hAnsi="Times New Roman" w:cs="Times New Roman"/>
          <w:color w:val="000000" w:themeColor="text1"/>
          <w:sz w:val="28"/>
          <w:szCs w:val="28"/>
        </w:rPr>
        <w:t>近年來亞洲區域經濟整合的發展格外受人重視。目前東亞</w:t>
      </w:r>
      <w:r w:rsidRPr="00C77E77">
        <w:rPr>
          <w:rFonts w:ascii="Times New Roman" w:eastAsia="標楷體" w:hAnsi="Times New Roman" w:cs="Times New Roman"/>
          <w:color w:val="000000" w:themeColor="text1"/>
          <w:sz w:val="28"/>
          <w:szCs w:val="28"/>
        </w:rPr>
        <w:lastRenderedPageBreak/>
        <w:t>所有國家和地區共同參與的區域經濟機制除了東南亞國家在</w:t>
      </w:r>
      <w:r w:rsidRPr="00C77E77">
        <w:rPr>
          <w:rFonts w:ascii="Times New Roman" w:eastAsia="標楷體" w:hAnsi="Times New Roman" w:cs="Times New Roman"/>
          <w:color w:val="000000" w:themeColor="text1"/>
          <w:sz w:val="28"/>
          <w:szCs w:val="28"/>
        </w:rPr>
        <w:t>1967</w:t>
      </w:r>
      <w:r w:rsidRPr="00C77E77">
        <w:rPr>
          <w:rFonts w:ascii="Times New Roman" w:eastAsia="標楷體" w:hAnsi="Times New Roman" w:cs="Times New Roman"/>
          <w:color w:val="000000" w:themeColor="text1"/>
          <w:sz w:val="28"/>
          <w:szCs w:val="28"/>
        </w:rPr>
        <w:t>年成立東協（</w:t>
      </w:r>
      <w:r w:rsidRPr="00C77E77">
        <w:rPr>
          <w:rFonts w:ascii="Times New Roman" w:eastAsia="標楷體" w:hAnsi="Times New Roman" w:cs="Times New Roman"/>
          <w:color w:val="000000" w:themeColor="text1"/>
          <w:sz w:val="28"/>
          <w:szCs w:val="28"/>
        </w:rPr>
        <w:t>ASEAN</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1989</w:t>
      </w:r>
      <w:r w:rsidRPr="00C77E77">
        <w:rPr>
          <w:rFonts w:ascii="Times New Roman" w:eastAsia="標楷體" w:hAnsi="Times New Roman" w:cs="Times New Roman"/>
          <w:color w:val="000000" w:themeColor="text1"/>
          <w:sz w:val="28"/>
          <w:szCs w:val="28"/>
        </w:rPr>
        <w:t>年成立的亞太經濟合作（</w:t>
      </w:r>
      <w:r w:rsidRPr="00C77E77">
        <w:rPr>
          <w:rFonts w:ascii="Times New Roman" w:eastAsia="標楷體" w:hAnsi="Times New Roman" w:cs="Times New Roman"/>
          <w:color w:val="000000" w:themeColor="text1"/>
          <w:sz w:val="28"/>
          <w:szCs w:val="28"/>
        </w:rPr>
        <w:t>Asian Pacific Economic Cooperation, APEC</w:t>
      </w:r>
      <w:r w:rsidRPr="00C77E77">
        <w:rPr>
          <w:rFonts w:ascii="Times New Roman" w:eastAsia="標楷體" w:hAnsi="Times New Roman" w:cs="Times New Roman"/>
          <w:color w:val="000000" w:themeColor="text1"/>
          <w:sz w:val="28"/>
          <w:szCs w:val="28"/>
        </w:rPr>
        <w:t>）之外，更引發關注的還有跨太平洋夥伴協定（</w:t>
      </w:r>
      <w:r w:rsidRPr="00C77E77">
        <w:rPr>
          <w:rFonts w:ascii="Times New Roman" w:eastAsia="標楷體" w:hAnsi="Times New Roman" w:cs="Times New Roman"/>
          <w:color w:val="000000" w:themeColor="text1"/>
          <w:sz w:val="28"/>
          <w:szCs w:val="28"/>
        </w:rPr>
        <w:t>Trans-Pacific Partnership, TPP</w:t>
      </w:r>
      <w:r w:rsidRPr="00C77E77">
        <w:rPr>
          <w:rFonts w:ascii="Times New Roman" w:eastAsia="標楷體" w:hAnsi="Times New Roman" w:cs="Times New Roman"/>
          <w:color w:val="000000" w:themeColor="text1"/>
          <w:sz w:val="28"/>
          <w:szCs w:val="28"/>
        </w:rPr>
        <w:t>）以及區域全面經濟夥伴關係（</w:t>
      </w:r>
      <w:r w:rsidRPr="00C77E77">
        <w:rPr>
          <w:rFonts w:ascii="Times New Roman" w:eastAsia="標楷體" w:hAnsi="Times New Roman" w:cs="Times New Roman"/>
          <w:color w:val="000000" w:themeColor="text1"/>
          <w:sz w:val="28"/>
          <w:szCs w:val="28"/>
        </w:rPr>
        <w:t>Regional Comprehensive Economic Partnership, RCEP</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pacing w:val="14"/>
          <w:sz w:val="28"/>
          <w:szCs w:val="28"/>
        </w:rPr>
        <w:t>由美國主導的</w:t>
      </w:r>
      <w:r w:rsidRPr="00C77E77">
        <w:rPr>
          <w:rFonts w:ascii="Times New Roman" w:eastAsia="標楷體" w:hAnsi="Times New Roman" w:cs="Times New Roman"/>
          <w:color w:val="000000" w:themeColor="text1"/>
          <w:spacing w:val="14"/>
          <w:sz w:val="28"/>
          <w:szCs w:val="28"/>
        </w:rPr>
        <w:t>TPP</w:t>
      </w:r>
      <w:r w:rsidRPr="00C77E77">
        <w:rPr>
          <w:rFonts w:ascii="Times New Roman" w:eastAsia="標楷體" w:hAnsi="Times New Roman" w:cs="Times New Roman"/>
          <w:color w:val="000000" w:themeColor="text1"/>
          <w:spacing w:val="14"/>
          <w:sz w:val="28"/>
          <w:szCs w:val="28"/>
        </w:rPr>
        <w:t>目前共有</w:t>
      </w:r>
      <w:r w:rsidRPr="00C77E77">
        <w:rPr>
          <w:rFonts w:ascii="Times New Roman" w:eastAsia="標楷體" w:hAnsi="Times New Roman" w:cs="Times New Roman"/>
          <w:color w:val="000000" w:themeColor="text1"/>
          <w:spacing w:val="14"/>
          <w:sz w:val="28"/>
          <w:szCs w:val="28"/>
        </w:rPr>
        <w:t>12</w:t>
      </w:r>
      <w:r w:rsidRPr="00C77E77">
        <w:rPr>
          <w:rFonts w:ascii="Times New Roman" w:eastAsia="標楷體" w:hAnsi="Times New Roman" w:cs="Times New Roman"/>
          <w:color w:val="000000" w:themeColor="text1"/>
          <w:spacing w:val="14"/>
          <w:sz w:val="28"/>
          <w:szCs w:val="28"/>
        </w:rPr>
        <w:t>國參與，</w:t>
      </w:r>
      <w:r w:rsidRPr="00C77E77">
        <w:rPr>
          <w:rFonts w:ascii="Times New Roman" w:eastAsia="標楷體" w:hAnsi="Times New Roman" w:cs="Times New Roman"/>
          <w:color w:val="000000" w:themeColor="text1"/>
          <w:spacing w:val="14"/>
          <w:sz w:val="28"/>
          <w:szCs w:val="28"/>
        </w:rPr>
        <w:t>GDP</w:t>
      </w:r>
      <w:r w:rsidRPr="00C77E77">
        <w:rPr>
          <w:rFonts w:ascii="Times New Roman" w:eastAsia="標楷體" w:hAnsi="Times New Roman" w:cs="Times New Roman"/>
          <w:color w:val="000000" w:themeColor="text1"/>
          <w:spacing w:val="14"/>
          <w:sz w:val="28"/>
          <w:szCs w:val="28"/>
        </w:rPr>
        <w:t>占全球</w:t>
      </w:r>
      <w:r w:rsidRPr="00C77E77">
        <w:rPr>
          <w:rFonts w:ascii="Times New Roman" w:eastAsia="標楷體" w:hAnsi="Times New Roman" w:cs="Times New Roman"/>
          <w:color w:val="000000" w:themeColor="text1"/>
          <w:spacing w:val="14"/>
          <w:sz w:val="28"/>
          <w:szCs w:val="28"/>
        </w:rPr>
        <w:t>38</w:t>
      </w:r>
      <w:r w:rsidRPr="00C77E77">
        <w:rPr>
          <w:rFonts w:ascii="Times New Roman" w:eastAsia="標楷體" w:hAnsi="Times New Roman" w:cs="Times New Roman"/>
          <w:color w:val="000000" w:themeColor="text1"/>
          <w:spacing w:val="14"/>
          <w:sz w:val="28"/>
          <w:szCs w:val="28"/>
        </w:rPr>
        <w:t>％，為經濟規模最大的區域整合架構；而以東協為核心，中國大陸發揮關鍵影響力的</w:t>
      </w:r>
      <w:r w:rsidRPr="00C77E77">
        <w:rPr>
          <w:rFonts w:ascii="Times New Roman" w:eastAsia="標楷體" w:hAnsi="Times New Roman" w:cs="Times New Roman"/>
          <w:color w:val="000000" w:themeColor="text1"/>
          <w:spacing w:val="14"/>
          <w:sz w:val="28"/>
          <w:szCs w:val="28"/>
        </w:rPr>
        <w:t>RCEP</w:t>
      </w:r>
      <w:r w:rsidRPr="00C77E77">
        <w:rPr>
          <w:rFonts w:ascii="Times New Roman" w:eastAsia="標楷體" w:hAnsi="Times New Roman" w:cs="Times New Roman"/>
          <w:color w:val="000000" w:themeColor="text1"/>
          <w:spacing w:val="14"/>
          <w:sz w:val="28"/>
          <w:szCs w:val="28"/>
        </w:rPr>
        <w:t>則涵蓋東協</w:t>
      </w:r>
      <w:r w:rsidRPr="00C77E77">
        <w:rPr>
          <w:rFonts w:ascii="Times New Roman" w:eastAsia="標楷體" w:hAnsi="Times New Roman" w:cs="Times New Roman"/>
          <w:color w:val="000000" w:themeColor="text1"/>
          <w:spacing w:val="14"/>
          <w:sz w:val="28"/>
          <w:szCs w:val="28"/>
        </w:rPr>
        <w:t>10</w:t>
      </w:r>
      <w:r w:rsidRPr="00C77E77">
        <w:rPr>
          <w:rFonts w:ascii="Times New Roman" w:eastAsia="標楷體" w:hAnsi="Times New Roman" w:cs="Times New Roman"/>
          <w:color w:val="000000" w:themeColor="text1"/>
          <w:spacing w:val="14"/>
          <w:sz w:val="28"/>
          <w:szCs w:val="28"/>
        </w:rPr>
        <w:t>國與</w:t>
      </w:r>
      <w:r w:rsidRPr="00C77E77">
        <w:rPr>
          <w:rFonts w:ascii="Times New Roman" w:eastAsia="標楷體" w:hAnsi="Times New Roman" w:cs="Times New Roman"/>
          <w:color w:val="000000" w:themeColor="text1"/>
          <w:spacing w:val="14"/>
          <w:sz w:val="28"/>
          <w:szCs w:val="28"/>
        </w:rPr>
        <w:t>6</w:t>
      </w:r>
      <w:r w:rsidRPr="00C77E77">
        <w:rPr>
          <w:rFonts w:ascii="Times New Roman" w:eastAsia="標楷體" w:hAnsi="Times New Roman" w:cs="Times New Roman"/>
          <w:color w:val="000000" w:themeColor="text1"/>
          <w:spacing w:val="14"/>
          <w:sz w:val="28"/>
          <w:szCs w:val="28"/>
        </w:rPr>
        <w:t>個東亞峰會對話夥伴國，總人口數超過</w:t>
      </w:r>
      <w:r w:rsidRPr="00C77E77">
        <w:rPr>
          <w:rFonts w:ascii="Times New Roman" w:eastAsia="標楷體" w:hAnsi="Times New Roman" w:cs="Times New Roman"/>
          <w:color w:val="000000" w:themeColor="text1"/>
          <w:spacing w:val="14"/>
          <w:sz w:val="28"/>
          <w:szCs w:val="28"/>
        </w:rPr>
        <w:t>34</w:t>
      </w:r>
      <w:r w:rsidRPr="00C77E77">
        <w:rPr>
          <w:rFonts w:ascii="Times New Roman" w:eastAsia="標楷體" w:hAnsi="Times New Roman" w:cs="Times New Roman"/>
          <w:color w:val="000000" w:themeColor="text1"/>
          <w:spacing w:val="14"/>
          <w:sz w:val="28"/>
          <w:szCs w:val="28"/>
        </w:rPr>
        <w:t>億，</w:t>
      </w:r>
      <w:r w:rsidRPr="00C77E77">
        <w:rPr>
          <w:rFonts w:ascii="Times New Roman" w:eastAsia="標楷體" w:hAnsi="Times New Roman" w:cs="Times New Roman"/>
          <w:color w:val="000000" w:themeColor="text1"/>
          <w:spacing w:val="14"/>
          <w:sz w:val="28"/>
          <w:szCs w:val="28"/>
        </w:rPr>
        <w:t>GDP</w:t>
      </w:r>
      <w:r w:rsidRPr="00C77E77">
        <w:rPr>
          <w:rFonts w:ascii="Times New Roman" w:eastAsia="標楷體" w:hAnsi="Times New Roman" w:cs="Times New Roman"/>
          <w:color w:val="000000" w:themeColor="text1"/>
          <w:spacing w:val="14"/>
          <w:sz w:val="28"/>
          <w:szCs w:val="28"/>
        </w:rPr>
        <w:t>占全球</w:t>
      </w:r>
      <w:r w:rsidRPr="00C77E77">
        <w:rPr>
          <w:rFonts w:ascii="Times New Roman" w:eastAsia="標楷體" w:hAnsi="Times New Roman" w:cs="Times New Roman"/>
          <w:color w:val="000000" w:themeColor="text1"/>
          <w:spacing w:val="14"/>
          <w:sz w:val="28"/>
          <w:szCs w:val="28"/>
        </w:rPr>
        <w:t>29</w:t>
      </w:r>
      <w:r w:rsidRPr="00C77E77">
        <w:rPr>
          <w:rFonts w:ascii="Times New Roman" w:eastAsia="標楷體" w:hAnsi="Times New Roman" w:cs="Times New Roman"/>
          <w:color w:val="000000" w:themeColor="text1"/>
          <w:spacing w:val="14"/>
          <w:sz w:val="28"/>
          <w:szCs w:val="28"/>
        </w:rPr>
        <w:t>％。</w:t>
      </w:r>
    </w:p>
    <w:p w:rsidR="006D2155" w:rsidRPr="00C77E77" w:rsidRDefault="006D2155" w:rsidP="008371A2">
      <w:pPr>
        <w:pStyle w:val="ab"/>
        <w:spacing w:beforeLines="50" w:before="180" w:afterLines="50" w:after="180" w:line="500" w:lineRule="exact"/>
        <w:ind w:leftChars="354" w:left="850" w:firstLine="567"/>
        <w:jc w:val="both"/>
        <w:rPr>
          <w:rFonts w:ascii="Times New Roman" w:eastAsia="標楷體" w:hAnsi="Times New Roman" w:cs="Times New Roman"/>
          <w:color w:val="000000" w:themeColor="text1"/>
          <w:spacing w:val="14"/>
          <w:sz w:val="28"/>
          <w:szCs w:val="28"/>
        </w:rPr>
      </w:pPr>
      <w:r w:rsidRPr="00C77E77">
        <w:rPr>
          <w:rFonts w:ascii="Times New Roman" w:eastAsia="標楷體" w:hAnsi="Times New Roman" w:cs="Times New Roman"/>
          <w:color w:val="000000" w:themeColor="text1"/>
          <w:spacing w:val="14"/>
          <w:sz w:val="28"/>
          <w:szCs w:val="28"/>
        </w:rPr>
        <w:t>然而，目前臺灣除了</w:t>
      </w:r>
      <w:r w:rsidRPr="00C77E77">
        <w:rPr>
          <w:rFonts w:ascii="Times New Roman" w:eastAsia="標楷體" w:hAnsi="Times New Roman" w:cs="Times New Roman"/>
          <w:color w:val="000000" w:themeColor="text1"/>
          <w:sz w:val="28"/>
          <w:szCs w:val="28"/>
        </w:rPr>
        <w:t>以中華臺北（</w:t>
      </w:r>
      <w:r w:rsidRPr="00C77E77">
        <w:rPr>
          <w:rFonts w:ascii="Times New Roman" w:eastAsia="標楷體" w:hAnsi="Times New Roman" w:cs="Times New Roman"/>
          <w:color w:val="000000" w:themeColor="text1"/>
          <w:sz w:val="28"/>
          <w:szCs w:val="28"/>
        </w:rPr>
        <w:t>Chinese Taipei</w:t>
      </w:r>
      <w:r w:rsidRPr="00C77E77">
        <w:rPr>
          <w:rFonts w:ascii="Times New Roman" w:eastAsia="標楷體" w:hAnsi="Times New Roman" w:cs="Times New Roman"/>
          <w:color w:val="000000" w:themeColor="text1"/>
          <w:sz w:val="28"/>
          <w:szCs w:val="28"/>
        </w:rPr>
        <w:t>）名義參與</w:t>
      </w:r>
      <w:r w:rsidRPr="00C77E77">
        <w:rPr>
          <w:rFonts w:ascii="Times New Roman" w:eastAsia="標楷體" w:hAnsi="Times New Roman" w:cs="Times New Roman"/>
          <w:color w:val="000000" w:themeColor="text1"/>
          <w:sz w:val="28"/>
          <w:szCs w:val="28"/>
        </w:rPr>
        <w:t>APEC</w:t>
      </w:r>
      <w:r w:rsidRPr="00C77E77">
        <w:rPr>
          <w:rFonts w:ascii="Times New Roman" w:eastAsia="標楷體" w:hAnsi="Times New Roman" w:cs="Times New Roman"/>
          <w:color w:val="000000" w:themeColor="text1"/>
          <w:sz w:val="28"/>
          <w:szCs w:val="28"/>
        </w:rPr>
        <w:t>迄今，其它亞太區域合作活動的空間，在中國大陸的介入下，</w:t>
      </w:r>
      <w:r w:rsidRPr="00C77E77">
        <w:rPr>
          <w:rFonts w:ascii="Times New Roman" w:eastAsia="標楷體" w:hAnsi="Times New Roman" w:cs="Times New Roman"/>
          <w:color w:val="000000" w:themeColor="text1"/>
          <w:spacing w:val="14"/>
          <w:sz w:val="28"/>
          <w:szCs w:val="28"/>
        </w:rPr>
        <w:t>都還未能實質參與。此外，</w:t>
      </w:r>
      <w:r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pacing w:val="14"/>
          <w:sz w:val="28"/>
          <w:szCs w:val="28"/>
        </w:rPr>
        <w:t>灣與東協國家已簽署生效的</w:t>
      </w:r>
      <w:r w:rsidRPr="00C77E77">
        <w:rPr>
          <w:rFonts w:ascii="Times New Roman" w:eastAsia="標楷體" w:hAnsi="Times New Roman" w:cs="Times New Roman"/>
          <w:color w:val="000000" w:themeColor="text1"/>
          <w:spacing w:val="14"/>
          <w:sz w:val="28"/>
          <w:szCs w:val="28"/>
        </w:rPr>
        <w:t>FTA</w:t>
      </w:r>
      <w:r w:rsidRPr="00C77E77">
        <w:rPr>
          <w:rFonts w:ascii="Times New Roman" w:eastAsia="標楷體" w:hAnsi="Times New Roman" w:cs="Times New Roman"/>
          <w:color w:val="000000" w:themeColor="text1"/>
          <w:spacing w:val="14"/>
          <w:sz w:val="28"/>
          <w:szCs w:val="28"/>
        </w:rPr>
        <w:t>，僅有新加坡一國，遠低於主要競爭對手中國大陸、日本、韓國等國家。臺灣被排除在亞太區域整合之外，無法獲得多國相互關稅減免、服務業與投資市場開放，以及投資保障利益，長遠來看無疑是一大隱憂。因此，「新南向政策」</w:t>
      </w:r>
      <w:r w:rsidRPr="00C77E77">
        <w:rPr>
          <w:rFonts w:ascii="Times New Roman" w:eastAsia="標楷體" w:hAnsi="Times New Roman" w:cs="Times New Roman"/>
          <w:color w:val="000000" w:themeColor="text1"/>
          <w:spacing w:val="14"/>
          <w:sz w:val="28"/>
          <w:szCs w:val="28"/>
        </w:rPr>
        <w:t xml:space="preserve"> </w:t>
      </w:r>
      <w:r w:rsidRPr="00C77E77">
        <w:rPr>
          <w:rFonts w:ascii="Times New Roman" w:eastAsia="標楷體" w:hAnsi="Times New Roman" w:cs="Times New Roman"/>
          <w:color w:val="000000" w:themeColor="text1"/>
          <w:spacing w:val="14"/>
          <w:sz w:val="28"/>
          <w:szCs w:val="28"/>
        </w:rPr>
        <w:t>實為因應我國企業暫被排除在亞太經濟整合之外的重要對策之一。</w:t>
      </w:r>
    </w:p>
    <w:p w:rsidR="006D2155" w:rsidRPr="00C77E77" w:rsidRDefault="008371A2" w:rsidP="008371A2">
      <w:pPr>
        <w:spacing w:beforeLines="50" w:before="180" w:afterLines="50" w:after="180" w:line="500" w:lineRule="exact"/>
        <w:ind w:leftChars="354" w:left="85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（四）</w:t>
      </w:r>
      <w:r w:rsidR="006D2155" w:rsidRPr="00C77E77">
        <w:rPr>
          <w:rFonts w:ascii="Times New Roman" w:eastAsia="標楷體" w:hAnsi="Times New Roman" w:cs="Times New Roman"/>
          <w:b/>
          <w:sz w:val="28"/>
          <w:szCs w:val="28"/>
        </w:rPr>
        <w:t>臺灣與東南亞的文化與社會交流日趨密切</w:t>
      </w:r>
    </w:p>
    <w:p w:rsidR="006D2155" w:rsidRPr="00C77E77" w:rsidRDefault="006D2155" w:rsidP="008371A2">
      <w:pPr>
        <w:spacing w:beforeLines="50" w:before="180" w:afterLines="50" w:after="180" w:line="500" w:lineRule="exact"/>
        <w:ind w:left="851"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新南向政策除了經貿發展以外，亦強調「以民為本」。近年來臺灣社會對於東南亞的瞭解及接納程度大幅提升，提供了新南向政策內部的支持基礎。目前新住民、</w:t>
      </w:r>
      <w:r w:rsidRPr="00C77E77">
        <w:rPr>
          <w:rStyle w:val="a9"/>
          <w:rFonts w:ascii="Times New Roman" w:eastAsia="標楷體" w:hAnsi="Times New Roman" w:cs="Times New Roman"/>
          <w:sz w:val="28"/>
          <w:szCs w:val="28"/>
        </w:rPr>
        <w:footnoteReference w:id="18"/>
      </w:r>
      <w:r w:rsidRPr="00C77E77">
        <w:rPr>
          <w:rFonts w:ascii="Times New Roman" w:eastAsia="標楷體" w:hAnsi="Times New Roman" w:cs="Times New Roman"/>
          <w:sz w:val="28"/>
          <w:szCs w:val="28"/>
        </w:rPr>
        <w:t>第二代、</w:t>
      </w:r>
      <w:r w:rsidRPr="00C77E77">
        <w:rPr>
          <w:rStyle w:val="a9"/>
          <w:rFonts w:ascii="Times New Roman" w:eastAsia="標楷體" w:hAnsi="Times New Roman" w:cs="Times New Roman"/>
          <w:sz w:val="28"/>
          <w:szCs w:val="28"/>
        </w:rPr>
        <w:footnoteReference w:id="19"/>
      </w:r>
      <w:r w:rsidRPr="00C77E77">
        <w:rPr>
          <w:rFonts w:ascii="Times New Roman" w:eastAsia="標楷體" w:hAnsi="Times New Roman" w:cs="Times New Roman"/>
          <w:sz w:val="28"/>
          <w:szCs w:val="28"/>
        </w:rPr>
        <w:t>外籍</w:t>
      </w:r>
      <w:r w:rsidRPr="00C77E77">
        <w:rPr>
          <w:rFonts w:ascii="Times New Roman" w:eastAsia="標楷體" w:hAnsi="Times New Roman" w:cs="Times New Roman"/>
          <w:sz w:val="28"/>
          <w:szCs w:val="28"/>
        </w:rPr>
        <w:lastRenderedPageBreak/>
        <w:t>勞工人數，</w:t>
      </w:r>
      <w:r w:rsidRPr="00C77E77">
        <w:rPr>
          <w:rStyle w:val="a9"/>
          <w:rFonts w:ascii="Times New Roman" w:eastAsia="標楷體" w:hAnsi="Times New Roman" w:cs="Times New Roman"/>
          <w:sz w:val="28"/>
          <w:szCs w:val="28"/>
        </w:rPr>
        <w:footnoteReference w:id="20"/>
      </w:r>
      <w:r w:rsidRPr="00C77E77">
        <w:rPr>
          <w:rFonts w:ascii="Times New Roman" w:eastAsia="標楷體" w:hAnsi="Times New Roman" w:cs="Times New Roman"/>
          <w:sz w:val="28"/>
          <w:szCs w:val="28"/>
        </w:rPr>
        <w:t>皆以越南與印尼人數最多，我政府應善用臺灣和東南亞的文化社會交流成果。</w:t>
      </w:r>
    </w:p>
    <w:p w:rsidR="006D2155" w:rsidRPr="00C77E77" w:rsidRDefault="006D2155" w:rsidP="00B702A2">
      <w:pPr>
        <w:spacing w:beforeLines="50" w:before="180" w:afterLines="50" w:after="180" w:line="500" w:lineRule="exact"/>
        <w:ind w:left="851"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我國政府推動新南向政策亦有許多挑戰。此波「新南向政策」以東協、南亞國家為發展重點，強調「雙向」互動，包括相互投資、相互觀光，以及相互培訓人才。但是臺灣社會仍存有對東南亞及印度人士的偏見，以及非法仲介、勞力剝削的案例。另外，因為經濟誘因不足、管制條件過嚴、生活和工作環境不夠友善等原因，臺灣難以吸引東協各國和印度的專業人才至臺灣工作</w:t>
      </w:r>
      <w:r w:rsidR="00385F93"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就算赴</w:t>
      </w:r>
      <w:r w:rsidR="00FD0D5A" w:rsidRPr="00C77E77">
        <w:rPr>
          <w:rFonts w:ascii="Times New Roman" w:eastAsia="標楷體" w:hAnsi="Times New Roman" w:cs="Times New Roman"/>
          <w:color w:val="000000" w:themeColor="text1"/>
          <w:sz w:val="28"/>
          <w:szCs w:val="28"/>
        </w:rPr>
        <w:t>臺</w:t>
      </w:r>
      <w:r w:rsidR="00385F93" w:rsidRPr="00C77E77">
        <w:rPr>
          <w:rFonts w:ascii="Times New Roman" w:eastAsia="標楷體" w:hAnsi="Times New Roman" w:cs="Times New Roman"/>
          <w:color w:val="000000" w:themeColor="text1"/>
          <w:sz w:val="28"/>
          <w:szCs w:val="28"/>
        </w:rPr>
        <w:t>的留學生</w:t>
      </w:r>
      <w:r w:rsidRPr="00C77E77">
        <w:rPr>
          <w:rFonts w:ascii="Times New Roman" w:eastAsia="標楷體" w:hAnsi="Times New Roman" w:cs="Times New Roman"/>
          <w:color w:val="000000" w:themeColor="text1"/>
          <w:sz w:val="28"/>
          <w:szCs w:val="28"/>
        </w:rPr>
        <w:t>多，卻鮮少留在臺灣</w:t>
      </w:r>
      <w:r w:rsidR="00385F93"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加上中國大陸擁有廣大市場，相關管理與技術人才隨著外資赴中國大陸工作，皆導致在</w:t>
      </w:r>
      <w:r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sz w:val="28"/>
          <w:szCs w:val="28"/>
        </w:rPr>
        <w:t>的東南亞及印度白領人員數量相對稀少，而較難形成我國推動新南向政策之助力。</w:t>
      </w:r>
    </w:p>
    <w:p w:rsidR="00E34F11" w:rsidRPr="00C77E77" w:rsidRDefault="00E34F11">
      <w:pPr>
        <w:widowControl/>
        <w:rPr>
          <w:rFonts w:ascii="Times New Roman" w:eastAsia="標楷體" w:hAnsi="Times New Roman" w:cs="Times New Roman"/>
          <w:sz w:val="28"/>
          <w:szCs w:val="28"/>
        </w:rPr>
      </w:pPr>
    </w:p>
    <w:p w:rsidR="006D2155" w:rsidRPr="00C77E77" w:rsidRDefault="006D2155" w:rsidP="00764ED7">
      <w:pPr>
        <w:pStyle w:val="ab"/>
        <w:numPr>
          <w:ilvl w:val="0"/>
          <w:numId w:val="10"/>
        </w:numPr>
        <w:spacing w:beforeLines="50" w:before="180" w:afterLines="50" w:after="180" w:line="500" w:lineRule="exact"/>
        <w:ind w:leftChars="0"/>
        <w:jc w:val="both"/>
        <w:outlineLvl w:val="1"/>
        <w:rPr>
          <w:rFonts w:ascii="Times New Roman" w:eastAsia="標楷體" w:hAnsi="Times New Roman" w:cs="Times New Roman"/>
          <w:b/>
          <w:sz w:val="32"/>
          <w:szCs w:val="32"/>
        </w:rPr>
      </w:pPr>
      <w:bookmarkStart w:id="26" w:name="_Toc458184860"/>
      <w:bookmarkStart w:id="27" w:name="_Toc470676311"/>
      <w:r w:rsidRPr="00C77E77">
        <w:rPr>
          <w:rFonts w:ascii="Times New Roman" w:eastAsia="標楷體" w:hAnsi="Times New Roman" w:cs="Times New Roman"/>
          <w:b/>
          <w:sz w:val="32"/>
          <w:szCs w:val="32"/>
        </w:rPr>
        <w:t>我國與東南亞及印度雙向貿易與投資概況</w:t>
      </w:r>
      <w:bookmarkEnd w:id="26"/>
      <w:bookmarkEnd w:id="27"/>
    </w:p>
    <w:p w:rsidR="00026C27" w:rsidRPr="00C77E77" w:rsidRDefault="00026C27" w:rsidP="00026C27">
      <w:pPr>
        <w:spacing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本節依序從「貿易」與「投資」兩個方面檢視我國與東協國家和印度的互動情況。</w:t>
      </w:r>
    </w:p>
    <w:p w:rsidR="006D2155" w:rsidRPr="00C77E77" w:rsidRDefault="006D2155" w:rsidP="00764ED7">
      <w:pPr>
        <w:pStyle w:val="ab"/>
        <w:numPr>
          <w:ilvl w:val="0"/>
          <w:numId w:val="11"/>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我國與東南亞及印度之貿易情況</w:t>
      </w:r>
    </w:p>
    <w:p w:rsidR="006D2155" w:rsidRPr="00C77E77" w:rsidRDefault="006D2155" w:rsidP="00764ED7">
      <w:pPr>
        <w:pStyle w:val="ab"/>
        <w:numPr>
          <w:ilvl w:val="0"/>
          <w:numId w:val="13"/>
        </w:numPr>
        <w:spacing w:beforeLines="50" w:before="180" w:afterLines="50" w:after="180" w:line="500" w:lineRule="exact"/>
        <w:ind w:leftChars="100" w:left="1125"/>
        <w:jc w:val="both"/>
        <w:rPr>
          <w:rFonts w:ascii="Times New Roman" w:eastAsia="標楷體" w:hAnsi="Times New Roman" w:cs="Times New Roman"/>
          <w:b/>
          <w:kern w:val="0"/>
          <w:sz w:val="28"/>
          <w:szCs w:val="28"/>
        </w:rPr>
      </w:pPr>
      <w:r w:rsidRPr="00C77E77">
        <w:rPr>
          <w:rFonts w:ascii="Times New Roman" w:eastAsia="標楷體" w:hAnsi="Times New Roman" w:cs="Times New Roman"/>
          <w:b/>
          <w:kern w:val="0"/>
          <w:sz w:val="28"/>
          <w:szCs w:val="28"/>
        </w:rPr>
        <w:t>臺灣對東協十國進出口</w:t>
      </w:r>
    </w:p>
    <w:p w:rsidR="006D2155" w:rsidRPr="00C77E77" w:rsidRDefault="006D2155" w:rsidP="008371A2">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我國與東協國家往來已有悠久歷史，雖然彼此並無正式外交關</w:t>
      </w:r>
      <w:r w:rsidRPr="00C77E77">
        <w:rPr>
          <w:rFonts w:ascii="Times New Roman" w:eastAsia="標楷體" w:hAnsi="Times New Roman" w:cs="Times New Roman"/>
          <w:sz w:val="28"/>
          <w:szCs w:val="28"/>
        </w:rPr>
        <w:lastRenderedPageBreak/>
        <w:t>係，但長久以來在貿易、投資、教育、觀光、文化、勞工等層面密互動甚深。例如馬、星、印、泰等六個東協主要國家，從</w:t>
      </w:r>
      <w:r w:rsidRPr="00C77E77">
        <w:rPr>
          <w:rFonts w:ascii="Times New Roman" w:eastAsia="標楷體" w:hAnsi="Times New Roman" w:cs="Times New Roman"/>
          <w:sz w:val="28"/>
          <w:szCs w:val="28"/>
        </w:rPr>
        <w:t xml:space="preserve">2010 </w:t>
      </w:r>
      <w:r w:rsidRPr="00C77E77">
        <w:rPr>
          <w:rFonts w:ascii="Times New Roman" w:eastAsia="標楷體" w:hAnsi="Times New Roman" w:cs="Times New Roman"/>
          <w:sz w:val="28"/>
          <w:szCs w:val="28"/>
        </w:rPr>
        <w:t>年開始已經取代美國，成為我國第二大出口市場。至於投資也是持續成長，特別是直接從中國</w:t>
      </w:r>
      <w:r w:rsidRPr="00C77E77">
        <w:rPr>
          <w:rFonts w:ascii="Times New Roman" w:eastAsia="標楷體" w:hAnsi="Times New Roman" w:cs="Times New Roman"/>
          <w:color w:val="000000" w:themeColor="text1"/>
          <w:sz w:val="28"/>
          <w:szCs w:val="28"/>
        </w:rPr>
        <w:t>大陸</w:t>
      </w:r>
      <w:r w:rsidRPr="00C77E77">
        <w:rPr>
          <w:rFonts w:ascii="Times New Roman" w:eastAsia="標楷體" w:hAnsi="Times New Roman" w:cs="Times New Roman"/>
          <w:sz w:val="28"/>
          <w:szCs w:val="28"/>
        </w:rPr>
        <w:t>轉進越南、寮國、緬甸的臺商大幅增加，是從我官方統計看不出來的</w:t>
      </w:r>
      <w:r w:rsidR="002B6C97" w:rsidRPr="00C77E77">
        <w:rPr>
          <w:rFonts w:ascii="Times New Roman" w:eastAsia="標楷體" w:hAnsi="Times New Roman" w:cs="Times New Roman"/>
          <w:sz w:val="28"/>
          <w:szCs w:val="28"/>
        </w:rPr>
        <w:t>變</w:t>
      </w:r>
      <w:r w:rsidRPr="00C77E77">
        <w:rPr>
          <w:rFonts w:ascii="Times New Roman" w:eastAsia="標楷體" w:hAnsi="Times New Roman" w:cs="Times New Roman"/>
          <w:sz w:val="28"/>
          <w:szCs w:val="28"/>
        </w:rPr>
        <w:t>動。又過去幾年除已經完成的</w:t>
      </w:r>
      <w:r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sz w:val="28"/>
          <w:szCs w:val="28"/>
        </w:rPr>
        <w:t>星經濟合作協定外，與馬來西亞、印尼、菲律賓等國也</w:t>
      </w:r>
      <w:r w:rsidR="001425A3" w:rsidRPr="00C77E77">
        <w:rPr>
          <w:rFonts w:ascii="Times New Roman" w:eastAsia="標楷體" w:hAnsi="Times New Roman" w:cs="Times New Roman"/>
          <w:sz w:val="28"/>
          <w:szCs w:val="28"/>
        </w:rPr>
        <w:t>已有</w:t>
      </w:r>
      <w:r w:rsidRPr="00C77E77">
        <w:rPr>
          <w:rFonts w:ascii="Times New Roman" w:eastAsia="標楷體" w:hAnsi="Times New Roman" w:cs="Times New Roman"/>
          <w:sz w:val="28"/>
          <w:szCs w:val="28"/>
        </w:rPr>
        <w:t>非正式共同研究。</w:t>
      </w:r>
      <w:r w:rsidRPr="00C77E77">
        <w:rPr>
          <w:rStyle w:val="a9"/>
          <w:rFonts w:ascii="Times New Roman" w:hAnsi="Times New Roman" w:cs="Times New Roman"/>
        </w:rPr>
        <w:footnoteReference w:id="21"/>
      </w:r>
    </w:p>
    <w:p w:rsidR="006D2155" w:rsidRPr="00C77E77" w:rsidRDefault="006D2155" w:rsidP="008371A2">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主計總處指出，自</w:t>
      </w:r>
      <w:r w:rsidRPr="00C77E77">
        <w:rPr>
          <w:rFonts w:ascii="Times New Roman" w:eastAsia="標楷體" w:hAnsi="Times New Roman" w:cs="Times New Roman"/>
          <w:sz w:val="28"/>
          <w:szCs w:val="28"/>
        </w:rPr>
        <w:t>2005</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的十年間，我出口至美、歐、中、日的比重皆降，惟有輸往東協的比重升高。我國對東協十國出口金額由</w:t>
      </w:r>
      <w:r w:rsidRPr="00C77E77">
        <w:rPr>
          <w:rFonts w:ascii="Times New Roman" w:eastAsia="標楷體" w:hAnsi="Times New Roman" w:cs="Times New Roman"/>
          <w:sz w:val="28"/>
          <w:szCs w:val="28"/>
        </w:rPr>
        <w:t>2005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275.9</w:t>
      </w:r>
      <w:r w:rsidRPr="00C77E77">
        <w:rPr>
          <w:rFonts w:ascii="Times New Roman" w:eastAsia="標楷體" w:hAnsi="Times New Roman" w:cs="Times New Roman"/>
          <w:sz w:val="28"/>
          <w:szCs w:val="28"/>
        </w:rPr>
        <w:t>億美元，增至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516.5</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年擴大近九成，占我出口比重也逐年提高，由</w:t>
      </w:r>
      <w:r w:rsidRPr="00C77E77">
        <w:rPr>
          <w:rFonts w:ascii="Times New Roman" w:eastAsia="標楷體" w:hAnsi="Times New Roman" w:cs="Times New Roman"/>
          <w:sz w:val="28"/>
          <w:szCs w:val="28"/>
        </w:rPr>
        <w:t>13.8</w:t>
      </w:r>
      <w:r w:rsidRPr="00C77E77">
        <w:rPr>
          <w:rFonts w:ascii="Times New Roman" w:eastAsia="標楷體" w:hAnsi="Times New Roman" w:cs="Times New Roman"/>
          <w:sz w:val="28"/>
          <w:szCs w:val="28"/>
        </w:rPr>
        <w:t>％升至</w:t>
      </w:r>
      <w:r w:rsidRPr="00C77E77">
        <w:rPr>
          <w:rFonts w:ascii="Times New Roman" w:eastAsia="標楷體" w:hAnsi="Times New Roman" w:cs="Times New Roman"/>
          <w:sz w:val="28"/>
          <w:szCs w:val="28"/>
        </w:rPr>
        <w:t>18.1</w:t>
      </w:r>
      <w:r w:rsidRPr="00C77E77">
        <w:rPr>
          <w:rFonts w:ascii="Times New Roman" w:eastAsia="標楷體" w:hAnsi="Times New Roman" w:cs="Times New Roman"/>
          <w:sz w:val="28"/>
          <w:szCs w:val="28"/>
        </w:rPr>
        <w:t>％，已超越美國，居我第二大出口市場，同時也成為我貿易順差主要來源之一。同期間對大陸及香港出口比重由</w:t>
      </w:r>
      <w:r w:rsidRPr="00C77E77">
        <w:rPr>
          <w:rFonts w:ascii="Times New Roman" w:eastAsia="標楷體" w:hAnsi="Times New Roman" w:cs="Times New Roman"/>
          <w:sz w:val="28"/>
          <w:szCs w:val="28"/>
        </w:rPr>
        <w:t>39.1</w:t>
      </w:r>
      <w:r w:rsidRPr="00C77E77">
        <w:rPr>
          <w:rFonts w:ascii="Times New Roman" w:eastAsia="標楷體" w:hAnsi="Times New Roman" w:cs="Times New Roman"/>
          <w:sz w:val="28"/>
          <w:szCs w:val="28"/>
        </w:rPr>
        <w:t>％微降至</w:t>
      </w:r>
      <w:r w:rsidRPr="00C77E77">
        <w:rPr>
          <w:rFonts w:ascii="Times New Roman" w:eastAsia="標楷體" w:hAnsi="Times New Roman" w:cs="Times New Roman"/>
          <w:sz w:val="28"/>
          <w:szCs w:val="28"/>
        </w:rPr>
        <w:t>39.0</w:t>
      </w:r>
      <w:r w:rsidRPr="00C77E77">
        <w:rPr>
          <w:rFonts w:ascii="Times New Roman" w:eastAsia="標楷體" w:hAnsi="Times New Roman" w:cs="Times New Roman"/>
          <w:sz w:val="28"/>
          <w:szCs w:val="28"/>
        </w:rPr>
        <w:t>％，對美、歐、日輸出比重也同呈下滑，我輸美比重由</w:t>
      </w:r>
      <w:r w:rsidRPr="00C77E77">
        <w:rPr>
          <w:rFonts w:ascii="Times New Roman" w:eastAsia="標楷體" w:hAnsi="Times New Roman" w:cs="Times New Roman"/>
          <w:sz w:val="28"/>
          <w:szCs w:val="28"/>
        </w:rPr>
        <w:t>14.7</w:t>
      </w:r>
      <w:r w:rsidRPr="00C77E77">
        <w:rPr>
          <w:rFonts w:ascii="Times New Roman" w:eastAsia="標楷體" w:hAnsi="Times New Roman" w:cs="Times New Roman"/>
          <w:sz w:val="28"/>
          <w:szCs w:val="28"/>
        </w:rPr>
        <w:t>％降至</w:t>
      </w:r>
      <w:r w:rsidRPr="00C77E77">
        <w:rPr>
          <w:rFonts w:ascii="Times New Roman" w:eastAsia="標楷體" w:hAnsi="Times New Roman" w:cs="Times New Roman"/>
          <w:sz w:val="28"/>
          <w:szCs w:val="28"/>
        </w:rPr>
        <w:t>12.2</w:t>
      </w:r>
      <w:r w:rsidRPr="00C77E77">
        <w:rPr>
          <w:rFonts w:ascii="Times New Roman" w:eastAsia="標楷體" w:hAnsi="Times New Roman" w:cs="Times New Roman"/>
          <w:sz w:val="28"/>
          <w:szCs w:val="28"/>
        </w:rPr>
        <w:t>％；輸歐由</w:t>
      </w:r>
      <w:r w:rsidRPr="00C77E77">
        <w:rPr>
          <w:rFonts w:ascii="Times New Roman" w:eastAsia="標楷體" w:hAnsi="Times New Roman" w:cs="Times New Roman"/>
          <w:sz w:val="28"/>
          <w:szCs w:val="28"/>
        </w:rPr>
        <w:t>11.9</w:t>
      </w:r>
      <w:r w:rsidRPr="00C77E77">
        <w:rPr>
          <w:rFonts w:ascii="Times New Roman" w:eastAsia="標楷體" w:hAnsi="Times New Roman" w:cs="Times New Roman"/>
          <w:sz w:val="28"/>
          <w:szCs w:val="28"/>
        </w:rPr>
        <w:t>％降至</w:t>
      </w:r>
      <w:r w:rsidRPr="00C77E77">
        <w:rPr>
          <w:rFonts w:ascii="Times New Roman" w:eastAsia="標楷體" w:hAnsi="Times New Roman" w:cs="Times New Roman"/>
          <w:sz w:val="28"/>
          <w:szCs w:val="28"/>
        </w:rPr>
        <w:t>9.1</w:t>
      </w:r>
      <w:r w:rsidRPr="00C77E77">
        <w:rPr>
          <w:rFonts w:ascii="Times New Roman" w:eastAsia="標楷體" w:hAnsi="Times New Roman" w:cs="Times New Roman"/>
          <w:sz w:val="28"/>
          <w:szCs w:val="28"/>
        </w:rPr>
        <w:t>％；輸日也由</w:t>
      </w:r>
      <w:r w:rsidRPr="00C77E77">
        <w:rPr>
          <w:rFonts w:ascii="Times New Roman" w:eastAsia="標楷體" w:hAnsi="Times New Roman" w:cs="Times New Roman"/>
          <w:sz w:val="28"/>
          <w:szCs w:val="28"/>
        </w:rPr>
        <w:t>7.6</w:t>
      </w:r>
      <w:r w:rsidRPr="00C77E77">
        <w:rPr>
          <w:rFonts w:ascii="Times New Roman" w:eastAsia="標楷體" w:hAnsi="Times New Roman" w:cs="Times New Roman"/>
          <w:sz w:val="28"/>
          <w:szCs w:val="28"/>
        </w:rPr>
        <w:t>％降至</w:t>
      </w:r>
      <w:r w:rsidRPr="00C77E77">
        <w:rPr>
          <w:rFonts w:ascii="Times New Roman" w:eastAsia="標楷體" w:hAnsi="Times New Roman" w:cs="Times New Roman"/>
          <w:sz w:val="28"/>
          <w:szCs w:val="28"/>
        </w:rPr>
        <w:t>6.9</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22"/>
      </w:r>
    </w:p>
    <w:p w:rsidR="006D2155" w:rsidRPr="00C77E77" w:rsidRDefault="006D2155" w:rsidP="008371A2">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然而若個別檢視每個年度的成長比率，從</w:t>
      </w:r>
      <w:r w:rsidRPr="00C77E77">
        <w:rPr>
          <w:rFonts w:ascii="Times New Roman" w:eastAsia="標楷體" w:hAnsi="Times New Roman" w:cs="Times New Roman"/>
          <w:sz w:val="28"/>
          <w:szCs w:val="28"/>
        </w:rPr>
        <w:t>1990</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年，我國對東協國家的貿易呈現下滑趨勢。下表</w:t>
      </w:r>
      <w:r w:rsidRPr="00C77E77">
        <w:rPr>
          <w:rFonts w:ascii="Times New Roman" w:eastAsia="標楷體" w:hAnsi="Times New Roman" w:cs="Times New Roman"/>
          <w:sz w:val="28"/>
          <w:szCs w:val="28"/>
        </w:rPr>
        <w:t>2-2-1</w:t>
      </w:r>
      <w:r w:rsidRPr="00C77E77">
        <w:rPr>
          <w:rFonts w:ascii="Times New Roman" w:eastAsia="標楷體" w:hAnsi="Times New Roman" w:cs="Times New Roman"/>
          <w:sz w:val="28"/>
          <w:szCs w:val="28"/>
        </w:rPr>
        <w:t>是根據經濟部國貿局中華民國進出口貿易統計，</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年我國對東協十國的貿易總值較</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年僅成長</w:t>
      </w:r>
      <w:r w:rsidRPr="00C77E77">
        <w:rPr>
          <w:rFonts w:ascii="Times New Roman" w:eastAsia="標楷體" w:hAnsi="Times New Roman" w:cs="Times New Roman"/>
          <w:sz w:val="28"/>
          <w:szCs w:val="28"/>
        </w:rPr>
        <w:t>2.48</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年甚至較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年下滑了</w:t>
      </w:r>
      <w:r w:rsidRPr="00C77E77">
        <w:rPr>
          <w:rFonts w:ascii="Times New Roman" w:eastAsia="標楷體" w:hAnsi="Times New Roman" w:cs="Times New Roman"/>
          <w:sz w:val="28"/>
          <w:szCs w:val="28"/>
        </w:rPr>
        <w:t>15.37</w:t>
      </w:r>
      <w:r w:rsidRPr="00C77E77">
        <w:rPr>
          <w:rFonts w:ascii="Times New Roman" w:eastAsia="標楷體" w:hAnsi="Times New Roman" w:cs="Times New Roman"/>
          <w:sz w:val="28"/>
          <w:szCs w:val="28"/>
        </w:rPr>
        <w:t>％。</w:t>
      </w:r>
    </w:p>
    <w:p w:rsidR="00057351" w:rsidRPr="00C77E77" w:rsidRDefault="00057351" w:rsidP="008371A2">
      <w:pPr>
        <w:spacing w:beforeLines="50" w:before="180" w:afterLines="50" w:after="180" w:line="500" w:lineRule="exact"/>
        <w:ind w:leftChars="100" w:left="240" w:firstLine="480"/>
        <w:jc w:val="both"/>
        <w:rPr>
          <w:rFonts w:ascii="Times New Roman" w:eastAsia="標楷體" w:hAnsi="Times New Roman" w:cs="Times New Roman"/>
          <w:sz w:val="28"/>
          <w:szCs w:val="28"/>
        </w:rPr>
      </w:pPr>
    </w:p>
    <w:p w:rsidR="00057351" w:rsidRPr="00C77E77" w:rsidRDefault="00057351" w:rsidP="008371A2">
      <w:pPr>
        <w:spacing w:beforeLines="50" w:before="180" w:afterLines="50" w:after="180" w:line="500" w:lineRule="exact"/>
        <w:ind w:leftChars="100" w:left="240" w:firstLine="480"/>
        <w:jc w:val="both"/>
        <w:rPr>
          <w:rFonts w:ascii="Times New Roman" w:eastAsia="標楷體" w:hAnsi="Times New Roman" w:cs="Times New Roman"/>
          <w:sz w:val="28"/>
          <w:szCs w:val="28"/>
        </w:rPr>
      </w:pPr>
    </w:p>
    <w:p w:rsidR="00057351" w:rsidRPr="00C77E77" w:rsidRDefault="00057351" w:rsidP="008371A2">
      <w:pPr>
        <w:spacing w:beforeLines="50" w:before="180" w:afterLines="50" w:after="180" w:line="500" w:lineRule="exact"/>
        <w:ind w:leftChars="100" w:left="240" w:firstLine="480"/>
        <w:jc w:val="both"/>
        <w:rPr>
          <w:rFonts w:ascii="Times New Roman" w:eastAsia="標楷體" w:hAnsi="Times New Roman" w:cs="Times New Roman"/>
          <w:sz w:val="28"/>
          <w:szCs w:val="28"/>
        </w:rPr>
      </w:pPr>
    </w:p>
    <w:p w:rsidR="003479BC" w:rsidRPr="00C77E77" w:rsidRDefault="003479BC">
      <w:pPr>
        <w:rPr>
          <w:rFonts w:ascii="Times New Roman" w:hAnsi="Times New Roman" w:cs="Times New Roman"/>
        </w:rPr>
      </w:pPr>
    </w:p>
    <w:tbl>
      <w:tblPr>
        <w:tblW w:w="57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77"/>
        <w:gridCol w:w="997"/>
        <w:gridCol w:w="998"/>
        <w:gridCol w:w="998"/>
        <w:gridCol w:w="998"/>
        <w:gridCol w:w="855"/>
        <w:gridCol w:w="1002"/>
        <w:gridCol w:w="1000"/>
        <w:gridCol w:w="1138"/>
      </w:tblGrid>
      <w:tr w:rsidR="00B23B49" w:rsidRPr="00C77E77" w:rsidTr="00B23B49">
        <w:trPr>
          <w:trHeight w:val="165"/>
          <w:jc w:val="center"/>
        </w:trPr>
        <w:tc>
          <w:tcPr>
            <w:tcW w:w="5000" w:type="pct"/>
            <w:gridSpan w:val="9"/>
            <w:tcBorders>
              <w:top w:val="nil"/>
              <w:left w:val="nil"/>
              <w:bottom w:val="single" w:sz="4" w:space="0" w:color="auto"/>
              <w:right w:val="nil"/>
            </w:tcBorders>
            <w:shd w:val="clear" w:color="auto" w:fill="auto"/>
            <w:noWrap/>
            <w:vAlign w:val="center"/>
            <w:hideMark/>
          </w:tcPr>
          <w:p w:rsidR="006D2155" w:rsidRPr="00C77E77" w:rsidRDefault="006D2155" w:rsidP="003479BC">
            <w:pPr>
              <w:widowControl/>
              <w:jc w:val="center"/>
              <w:rPr>
                <w:rFonts w:ascii="Times New Roman" w:eastAsia="標楷體" w:hAnsi="Times New Roman" w:cs="Times New Roman"/>
                <w:b/>
                <w:kern w:val="0"/>
                <w:sz w:val="28"/>
                <w:szCs w:val="28"/>
              </w:rPr>
            </w:pPr>
            <w:r w:rsidRPr="00C77E77">
              <w:rPr>
                <w:rFonts w:ascii="Times New Roman" w:eastAsia="標楷體" w:hAnsi="Times New Roman" w:cs="Times New Roman"/>
                <w:b/>
              </w:rPr>
              <w:lastRenderedPageBreak/>
              <w:br w:type="page"/>
            </w:r>
            <w:bookmarkStart w:id="28" w:name="_Toc458184927"/>
            <w:bookmarkStart w:id="29" w:name="_Toc470676572"/>
            <w:r w:rsidRPr="00C77E77">
              <w:rPr>
                <w:rStyle w:val="afa"/>
                <w:color w:val="auto"/>
              </w:rPr>
              <w:t>表</w:t>
            </w:r>
            <w:r w:rsidRPr="00C77E77">
              <w:rPr>
                <w:rStyle w:val="afa"/>
                <w:color w:val="auto"/>
              </w:rPr>
              <w:t xml:space="preserve">2-2-1 </w:t>
            </w:r>
            <w:r w:rsidRPr="00C77E77">
              <w:rPr>
                <w:rStyle w:val="afa"/>
                <w:color w:val="auto"/>
              </w:rPr>
              <w:t>臺灣對東協十國進出口統計</w:t>
            </w:r>
            <w:bookmarkEnd w:id="28"/>
            <w:bookmarkEnd w:id="29"/>
            <w:r w:rsidRPr="00C77E77">
              <w:rPr>
                <w:rStyle w:val="afa"/>
                <w:color w:val="auto"/>
              </w:rPr>
              <w:t xml:space="preserve"> </w:t>
            </w:r>
            <w:r w:rsidRPr="00C77E77">
              <w:rPr>
                <w:rFonts w:ascii="Times New Roman" w:eastAsia="標楷體" w:hAnsi="Times New Roman" w:cs="Times New Roman"/>
                <w:b/>
                <w:kern w:val="0"/>
                <w:sz w:val="28"/>
                <w:szCs w:val="28"/>
              </w:rPr>
              <w:t xml:space="preserve"> </w:t>
            </w:r>
            <w:r w:rsidR="00C07B0C" w:rsidRPr="00C77E77">
              <w:rPr>
                <w:rFonts w:ascii="Times New Roman" w:eastAsia="標楷體" w:hAnsi="Times New Roman" w:cs="Times New Roman"/>
                <w:b/>
                <w:kern w:val="0"/>
                <w:sz w:val="20"/>
                <w:szCs w:val="20"/>
              </w:rPr>
              <w:t>（</w:t>
            </w:r>
            <w:r w:rsidRPr="00C77E77">
              <w:rPr>
                <w:rFonts w:ascii="Times New Roman" w:eastAsia="標楷體" w:hAnsi="Times New Roman" w:cs="Times New Roman"/>
                <w:b/>
                <w:kern w:val="0"/>
                <w:sz w:val="20"/>
                <w:szCs w:val="20"/>
              </w:rPr>
              <w:t>單位</w:t>
            </w:r>
            <w:r w:rsidRPr="00C77E77">
              <w:rPr>
                <w:rFonts w:ascii="Times New Roman" w:eastAsia="標楷體" w:hAnsi="Times New Roman" w:cs="Times New Roman"/>
                <w:b/>
                <w:kern w:val="0"/>
                <w:sz w:val="20"/>
                <w:szCs w:val="20"/>
              </w:rPr>
              <w:t xml:space="preserve">: </w:t>
            </w:r>
            <w:r w:rsidRPr="00C77E77">
              <w:rPr>
                <w:rFonts w:ascii="Times New Roman" w:eastAsia="標楷體" w:hAnsi="Times New Roman" w:cs="Times New Roman"/>
                <w:b/>
                <w:kern w:val="0"/>
                <w:sz w:val="20"/>
                <w:szCs w:val="20"/>
              </w:rPr>
              <w:t>億美元</w:t>
            </w:r>
            <w:r w:rsidR="00C07B0C" w:rsidRPr="00C77E77">
              <w:rPr>
                <w:rFonts w:ascii="Times New Roman" w:eastAsia="標楷體" w:hAnsi="Times New Roman" w:cs="Times New Roman"/>
                <w:b/>
                <w:kern w:val="0"/>
                <w:sz w:val="20"/>
                <w:szCs w:val="20"/>
              </w:rPr>
              <w:t>）</w:t>
            </w:r>
          </w:p>
        </w:tc>
      </w:tr>
      <w:tr w:rsidR="00B23B49" w:rsidRPr="00C77E77" w:rsidTr="00B23B49">
        <w:trPr>
          <w:trHeight w:val="345"/>
          <w:jc w:val="center"/>
        </w:trPr>
        <w:tc>
          <w:tcPr>
            <w:tcW w:w="824" w:type="pct"/>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Cs/>
                <w:kern w:val="0"/>
                <w:szCs w:val="24"/>
              </w:rPr>
            </w:pPr>
            <w:r w:rsidRPr="00C77E77">
              <w:rPr>
                <w:rFonts w:ascii="Times New Roman" w:eastAsia="標楷體" w:hAnsi="Times New Roman" w:cs="Times New Roman"/>
                <w:bCs/>
                <w:kern w:val="0"/>
                <w:szCs w:val="24"/>
              </w:rPr>
              <w:t>年別</w:t>
            </w:r>
          </w:p>
        </w:tc>
        <w:tc>
          <w:tcPr>
            <w:tcW w:w="1043" w:type="pct"/>
            <w:gridSpan w:val="2"/>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Cs/>
                <w:kern w:val="0"/>
                <w:szCs w:val="24"/>
              </w:rPr>
            </w:pPr>
            <w:r w:rsidRPr="00C77E77">
              <w:rPr>
                <w:rFonts w:ascii="Times New Roman" w:eastAsia="標楷體" w:hAnsi="Times New Roman" w:cs="Times New Roman"/>
                <w:bCs/>
                <w:kern w:val="0"/>
                <w:szCs w:val="24"/>
              </w:rPr>
              <w:t>貿易總值</w:t>
            </w:r>
          </w:p>
        </w:tc>
        <w:tc>
          <w:tcPr>
            <w:tcW w:w="1044" w:type="pct"/>
            <w:gridSpan w:val="2"/>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Cs/>
                <w:kern w:val="0"/>
                <w:szCs w:val="24"/>
              </w:rPr>
            </w:pPr>
            <w:r w:rsidRPr="00C77E77">
              <w:rPr>
                <w:rFonts w:ascii="Times New Roman" w:eastAsia="標楷體" w:hAnsi="Times New Roman" w:cs="Times New Roman"/>
                <w:bCs/>
                <w:kern w:val="0"/>
                <w:szCs w:val="24"/>
              </w:rPr>
              <w:t>自臺進口</w:t>
            </w:r>
          </w:p>
        </w:tc>
        <w:tc>
          <w:tcPr>
            <w:tcW w:w="971" w:type="pct"/>
            <w:gridSpan w:val="2"/>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Cs/>
                <w:kern w:val="0"/>
                <w:szCs w:val="24"/>
              </w:rPr>
            </w:pPr>
            <w:r w:rsidRPr="00C77E77">
              <w:rPr>
                <w:rFonts w:ascii="Times New Roman" w:eastAsia="標楷體" w:hAnsi="Times New Roman" w:cs="Times New Roman"/>
                <w:bCs/>
                <w:kern w:val="0"/>
                <w:szCs w:val="24"/>
              </w:rPr>
              <w:t>出口至臺</w:t>
            </w:r>
          </w:p>
        </w:tc>
        <w:tc>
          <w:tcPr>
            <w:tcW w:w="1117" w:type="pct"/>
            <w:gridSpan w:val="2"/>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Cs/>
                <w:kern w:val="0"/>
                <w:szCs w:val="24"/>
              </w:rPr>
            </w:pPr>
            <w:r w:rsidRPr="00C77E77">
              <w:rPr>
                <w:rFonts w:ascii="Times New Roman" w:eastAsia="標楷體" w:hAnsi="Times New Roman" w:cs="Times New Roman"/>
                <w:bCs/>
                <w:kern w:val="0"/>
                <w:szCs w:val="24"/>
              </w:rPr>
              <w:t>出（入）超值</w:t>
            </w:r>
          </w:p>
        </w:tc>
      </w:tr>
      <w:tr w:rsidR="00B23B49" w:rsidRPr="00C77E77" w:rsidTr="00B23B49">
        <w:trPr>
          <w:trHeight w:val="345"/>
          <w:jc w:val="center"/>
        </w:trPr>
        <w:tc>
          <w:tcPr>
            <w:tcW w:w="824" w:type="pct"/>
            <w:shd w:val="clear" w:color="auto" w:fill="auto"/>
            <w:noWrap/>
            <w:vAlign w:val="center"/>
            <w:hideMark/>
          </w:tcPr>
          <w:p w:rsidR="006D2155" w:rsidRPr="00C77E77" w:rsidRDefault="006D2155" w:rsidP="006D2155">
            <w:pPr>
              <w:widowControl/>
              <w:rPr>
                <w:rFonts w:ascii="Times New Roman" w:eastAsia="標楷體" w:hAnsi="Times New Roman" w:cs="Times New Roman"/>
                <w:kern w:val="0"/>
                <w:szCs w:val="24"/>
              </w:rPr>
            </w:pPr>
            <w:r w:rsidRPr="00C77E77">
              <w:rPr>
                <w:rFonts w:ascii="Times New Roman" w:eastAsia="標楷體" w:hAnsi="Times New Roman" w:cs="Times New Roman"/>
                <w:kern w:val="0"/>
                <w:szCs w:val="24"/>
              </w:rPr>
              <w:t xml:space="preserve">　</w:t>
            </w:r>
          </w:p>
        </w:tc>
        <w:tc>
          <w:tcPr>
            <w:tcW w:w="521"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金額</w:t>
            </w:r>
          </w:p>
        </w:tc>
        <w:tc>
          <w:tcPr>
            <w:tcW w:w="522"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增減比</w:t>
            </w:r>
          </w:p>
        </w:tc>
        <w:tc>
          <w:tcPr>
            <w:tcW w:w="522"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金額</w:t>
            </w:r>
          </w:p>
        </w:tc>
        <w:tc>
          <w:tcPr>
            <w:tcW w:w="522"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增減比</w:t>
            </w:r>
          </w:p>
        </w:tc>
        <w:tc>
          <w:tcPr>
            <w:tcW w:w="44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金額</w:t>
            </w:r>
          </w:p>
        </w:tc>
        <w:tc>
          <w:tcPr>
            <w:tcW w:w="524"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增減比</w:t>
            </w:r>
          </w:p>
        </w:tc>
        <w:tc>
          <w:tcPr>
            <w:tcW w:w="523"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金額</w:t>
            </w:r>
          </w:p>
        </w:tc>
        <w:tc>
          <w:tcPr>
            <w:tcW w:w="593"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增減比</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1990</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110.22</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26.14%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68.53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24.50%</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41.69</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28.93%</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26.85</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18.19%</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1991</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126.02</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14.33%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75.3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9.88%</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50.72</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21.66%</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24.58</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-8.45%</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1992</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147.4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16.97%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84.48</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12.19%</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62.91</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24.03%</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21.57</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-12.25%</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1993</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164.39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11.53%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94.19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11.49%</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70.2</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11.59%</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23.99</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11.22%</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1994</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202.13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22.96%</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114.59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21.66%</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87.53</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24.69%</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27.06</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12.80%</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1995</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255.45</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26.38%</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149.84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30.76%</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105.61</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20.66%</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44.24</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63.49%</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1996</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266.93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4.49%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154.98</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3.43%</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111.95</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6.00%</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43.03</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-2.74%</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1997</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297.08</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11.30%</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163.17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5.28%</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133.91</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19.62%</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29.26</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-32.00%</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1998</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245.2</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-17.46%</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118.7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-27.25%</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126.5</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-5.53%</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-7.81</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-126.69%</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1999</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287.7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17.33%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142.93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20.41%</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144.78</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14.45%</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-1.85</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-76.31%</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2000</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387.07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34.54%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184.76</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29.27%</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202.31</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39.74%</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-17.55</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848.65%</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2001</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314.4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-18.77%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153.58</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-16.88%</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160.82</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-20.51%</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-7.24</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-58.75%</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2002</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331.25</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5.36%</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164.51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7.12%</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166.74</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3.68%</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-2.22</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-69.34%</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2003</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356.72</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7.69%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181.31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10.21%</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175.41</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5.20%</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5.9</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-365.77%</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2004</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444.01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24.47%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240.26</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32.51%</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203.76</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16.16%</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36.5</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518.64%</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2005</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485.34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9.31%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273.63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13.89%</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211.7</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3.90%</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61.93</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69.67%</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2006</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545.95</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12.49%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311.93</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14.00%</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234.03</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10.55%</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77.9</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25.79%</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2007</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600.9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10.07%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363.01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16.38%</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237.89</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1.65%</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125.12</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60.62%</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2008</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646.04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7.51%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389.27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7.23%</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256.78</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7.94%</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132.49</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5.89%</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2009</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504.21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-21.95%</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305.86</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-21.43%</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198.35</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-22.75%</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107.51</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-18.85%</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2010</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708.45</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40.51%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419.61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37.19%</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288.84</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45.62%</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130.78</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21.64%</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2011</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843.37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19.04%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515.41</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22.83%</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327.96</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13.54%</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187.45</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43.33%</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2012</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880.78</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4.44%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565.47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9.71%</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315.31</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-3.86%</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250.16</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33.45%</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2013</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913.74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3.74%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587.68</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3.93%</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326.05</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3.41%</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261.63</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4.59%</w:t>
            </w:r>
          </w:p>
        </w:tc>
      </w:tr>
      <w:tr w:rsidR="00B23B49" w:rsidRPr="00C77E77" w:rsidTr="00B23B49">
        <w:trPr>
          <w:trHeight w:val="330"/>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2014</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936.44</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2.48%</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595.29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1.29%</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341.14</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4.63%</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254.15</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-2.86%</w:t>
            </w:r>
          </w:p>
        </w:tc>
      </w:tr>
      <w:tr w:rsidR="00B23B49" w:rsidRPr="00C77E77" w:rsidTr="00B23B49">
        <w:trPr>
          <w:trHeight w:val="345"/>
          <w:jc w:val="center"/>
        </w:trPr>
        <w:tc>
          <w:tcPr>
            <w:tcW w:w="824" w:type="pct"/>
            <w:shd w:val="clear" w:color="auto" w:fill="auto"/>
            <w:noWrap/>
            <w:vAlign w:val="center"/>
            <w:hideMark/>
          </w:tcPr>
          <w:p w:rsidR="00077171" w:rsidRPr="00C77E77" w:rsidRDefault="00077171"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2015</w:t>
            </w:r>
          </w:p>
        </w:tc>
        <w:tc>
          <w:tcPr>
            <w:tcW w:w="521"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792.52</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-15.37%</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509.29</w:t>
            </w:r>
          </w:p>
        </w:tc>
        <w:tc>
          <w:tcPr>
            <w:tcW w:w="522"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-14.45%</w:t>
            </w:r>
          </w:p>
        </w:tc>
        <w:tc>
          <w:tcPr>
            <w:tcW w:w="447"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283.23</w:t>
            </w:r>
          </w:p>
        </w:tc>
        <w:tc>
          <w:tcPr>
            <w:tcW w:w="524"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-16.98%</w:t>
            </w:r>
          </w:p>
        </w:tc>
        <w:tc>
          <w:tcPr>
            <w:tcW w:w="52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226.06</w:t>
            </w:r>
          </w:p>
        </w:tc>
        <w:tc>
          <w:tcPr>
            <w:tcW w:w="593" w:type="pct"/>
            <w:shd w:val="clear" w:color="auto" w:fill="auto"/>
            <w:noWrap/>
            <w:vAlign w:val="center"/>
            <w:hideMark/>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-11.05%</w:t>
            </w:r>
          </w:p>
        </w:tc>
      </w:tr>
      <w:tr w:rsidR="00B23B49" w:rsidRPr="00C77E77" w:rsidTr="00B23B49">
        <w:trPr>
          <w:trHeight w:val="345"/>
          <w:jc w:val="center"/>
        </w:trPr>
        <w:tc>
          <w:tcPr>
            <w:tcW w:w="824" w:type="pct"/>
            <w:shd w:val="clear" w:color="auto" w:fill="auto"/>
            <w:noWrap/>
            <w:vAlign w:val="center"/>
          </w:tcPr>
          <w:p w:rsidR="00077171" w:rsidRPr="00C77E77" w:rsidRDefault="00B23B49" w:rsidP="00077171">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2016 (1-8</w:t>
            </w:r>
            <w:r w:rsidRPr="00C77E77">
              <w:rPr>
                <w:rFonts w:ascii="Times New Roman" w:eastAsia="標楷體" w:hAnsi="Times New Roman" w:cs="Times New Roman"/>
                <w:kern w:val="0"/>
                <w:szCs w:val="24"/>
              </w:rPr>
              <w:t>月</w:t>
            </w:r>
            <w:r w:rsidRPr="00C77E77">
              <w:rPr>
                <w:rFonts w:ascii="Times New Roman" w:eastAsia="標楷體" w:hAnsi="Times New Roman" w:cs="Times New Roman"/>
                <w:kern w:val="0"/>
                <w:szCs w:val="24"/>
              </w:rPr>
              <w:t>)</w:t>
            </w:r>
          </w:p>
        </w:tc>
        <w:tc>
          <w:tcPr>
            <w:tcW w:w="521" w:type="pct"/>
            <w:shd w:val="clear" w:color="auto" w:fill="auto"/>
            <w:noWrap/>
            <w:vAlign w:val="center"/>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504.43</w:t>
            </w:r>
          </w:p>
        </w:tc>
        <w:tc>
          <w:tcPr>
            <w:tcW w:w="522" w:type="pct"/>
            <w:shd w:val="clear" w:color="auto" w:fill="auto"/>
            <w:noWrap/>
            <w:vAlign w:val="center"/>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-7.57%</w:t>
            </w:r>
          </w:p>
        </w:tc>
        <w:tc>
          <w:tcPr>
            <w:tcW w:w="522" w:type="pct"/>
            <w:shd w:val="clear" w:color="auto" w:fill="auto"/>
            <w:noWrap/>
            <w:vAlign w:val="center"/>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331.97</w:t>
            </w:r>
          </w:p>
        </w:tc>
        <w:tc>
          <w:tcPr>
            <w:tcW w:w="522" w:type="pct"/>
            <w:shd w:val="clear" w:color="auto" w:fill="auto"/>
            <w:noWrap/>
            <w:vAlign w:val="center"/>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-4.75%</w:t>
            </w:r>
          </w:p>
        </w:tc>
        <w:tc>
          <w:tcPr>
            <w:tcW w:w="447" w:type="pct"/>
            <w:shd w:val="clear" w:color="auto" w:fill="auto"/>
            <w:noWrap/>
            <w:vAlign w:val="center"/>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172.46</w:t>
            </w:r>
          </w:p>
        </w:tc>
        <w:tc>
          <w:tcPr>
            <w:tcW w:w="524" w:type="pct"/>
            <w:shd w:val="clear" w:color="auto" w:fill="auto"/>
            <w:noWrap/>
            <w:vAlign w:val="center"/>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-12.56%</w:t>
            </w:r>
          </w:p>
        </w:tc>
        <w:tc>
          <w:tcPr>
            <w:tcW w:w="523" w:type="pct"/>
            <w:shd w:val="clear" w:color="auto" w:fill="auto"/>
            <w:noWrap/>
            <w:vAlign w:val="center"/>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159.52</w:t>
            </w:r>
          </w:p>
        </w:tc>
        <w:tc>
          <w:tcPr>
            <w:tcW w:w="593" w:type="pct"/>
            <w:shd w:val="clear" w:color="auto" w:fill="auto"/>
            <w:noWrap/>
            <w:vAlign w:val="center"/>
          </w:tcPr>
          <w:p w:rsidR="00077171" w:rsidRPr="00C77E77" w:rsidRDefault="00077171" w:rsidP="00077171">
            <w:pPr>
              <w:jc w:val="right"/>
              <w:rPr>
                <w:rFonts w:ascii="Times New Roman" w:eastAsia="標楷體" w:hAnsi="Times New Roman" w:cs="Times New Roman"/>
              </w:rPr>
            </w:pPr>
            <w:r w:rsidRPr="00C77E77">
              <w:rPr>
                <w:rFonts w:ascii="Times New Roman" w:eastAsia="標楷體" w:hAnsi="Times New Roman" w:cs="Times New Roman"/>
              </w:rPr>
              <w:t>5.44%</w:t>
            </w:r>
          </w:p>
        </w:tc>
      </w:tr>
      <w:tr w:rsidR="00B23B49" w:rsidRPr="00C77E77" w:rsidTr="00B23B49">
        <w:trPr>
          <w:trHeight w:val="330"/>
          <w:jc w:val="center"/>
        </w:trPr>
        <w:tc>
          <w:tcPr>
            <w:tcW w:w="5000" w:type="pct"/>
            <w:gridSpan w:val="9"/>
            <w:tcBorders>
              <w:top w:val="single" w:sz="4" w:space="0" w:color="auto"/>
              <w:left w:val="nil"/>
              <w:bottom w:val="nil"/>
              <w:right w:val="nil"/>
            </w:tcBorders>
            <w:shd w:val="clear" w:color="auto" w:fill="auto"/>
            <w:noWrap/>
            <w:vAlign w:val="center"/>
            <w:hideMark/>
          </w:tcPr>
          <w:p w:rsidR="006D2155" w:rsidRPr="00C77E77" w:rsidRDefault="006D2155" w:rsidP="006D2155">
            <w:pPr>
              <w:widowControl/>
              <w:rPr>
                <w:rFonts w:ascii="Times New Roman" w:eastAsia="標楷體" w:hAnsi="Times New Roman" w:cs="Times New Roman"/>
                <w:kern w:val="0"/>
                <w:sz w:val="20"/>
                <w:szCs w:val="20"/>
              </w:rPr>
            </w:pPr>
            <w:r w:rsidRPr="00C77E77">
              <w:rPr>
                <w:rFonts w:ascii="Times New Roman" w:eastAsia="標楷體" w:hAnsi="Times New Roman" w:cs="Times New Roman"/>
                <w:kern w:val="0"/>
                <w:sz w:val="20"/>
                <w:szCs w:val="20"/>
              </w:rPr>
              <w:t>資料來源</w:t>
            </w:r>
            <w:r w:rsidRPr="00C77E77">
              <w:rPr>
                <w:rFonts w:ascii="Times New Roman" w:eastAsia="標楷體" w:hAnsi="Times New Roman" w:cs="Times New Roman"/>
                <w:kern w:val="0"/>
                <w:sz w:val="20"/>
                <w:szCs w:val="20"/>
              </w:rPr>
              <w:t xml:space="preserve">: </w:t>
            </w:r>
            <w:r w:rsidRPr="00C77E77">
              <w:rPr>
                <w:rFonts w:ascii="Times New Roman" w:eastAsia="標楷體" w:hAnsi="Times New Roman" w:cs="Times New Roman"/>
                <w:kern w:val="0"/>
                <w:sz w:val="20"/>
                <w:szCs w:val="20"/>
              </w:rPr>
              <w:t>經濟部國貿局中華民國進出口貿易統計。</w:t>
            </w:r>
          </w:p>
        </w:tc>
      </w:tr>
    </w:tbl>
    <w:p w:rsidR="008071CF" w:rsidRPr="00C77E77" w:rsidRDefault="006D2155" w:rsidP="008371A2">
      <w:pPr>
        <w:spacing w:beforeLines="50" w:before="180" w:afterLines="50" w:after="180" w:line="500" w:lineRule="exact"/>
        <w:ind w:leftChars="100" w:left="24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在個別國家方面，主計總處指出，</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年我對東協十國出口中，約三分之一出口至新加坡，出口貨品有</w:t>
      </w:r>
      <w:r w:rsidRPr="00C77E77">
        <w:rPr>
          <w:rFonts w:ascii="Times New Roman" w:eastAsia="標楷體" w:hAnsi="Times New Roman" w:cs="Times New Roman"/>
          <w:sz w:val="28"/>
          <w:szCs w:val="28"/>
        </w:rPr>
        <w:t>68.6</w:t>
      </w:r>
      <w:r w:rsidRPr="00C77E77">
        <w:rPr>
          <w:rFonts w:ascii="Times New Roman" w:eastAsia="標楷體" w:hAnsi="Times New Roman" w:cs="Times New Roman"/>
          <w:sz w:val="28"/>
          <w:szCs w:val="28"/>
        </w:rPr>
        <w:t>％是電子零組件；近兩成出口至越南，主要貨品為紗、布占</w:t>
      </w:r>
      <w:r w:rsidRPr="00C77E77">
        <w:rPr>
          <w:rFonts w:ascii="Times New Roman" w:eastAsia="標楷體" w:hAnsi="Times New Roman" w:cs="Times New Roman"/>
          <w:sz w:val="28"/>
          <w:szCs w:val="28"/>
        </w:rPr>
        <w:t>18.7</w:t>
      </w:r>
      <w:r w:rsidRPr="00C77E77">
        <w:rPr>
          <w:rFonts w:ascii="Times New Roman" w:eastAsia="標楷體" w:hAnsi="Times New Roman" w:cs="Times New Roman"/>
          <w:sz w:val="28"/>
          <w:szCs w:val="28"/>
        </w:rPr>
        <w:t>％；菲律賓居第三，輸菲</w:t>
      </w:r>
      <w:r w:rsidRPr="00C77E77">
        <w:rPr>
          <w:rFonts w:ascii="Times New Roman" w:eastAsia="標楷體" w:hAnsi="Times New Roman" w:cs="Times New Roman"/>
          <w:sz w:val="28"/>
          <w:szCs w:val="28"/>
        </w:rPr>
        <w:lastRenderedPageBreak/>
        <w:t>主要貨品為石油煉製品。反觀自東協進口比重過去</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年間僅由</w:t>
      </w:r>
      <w:r w:rsidRPr="00C77E77">
        <w:rPr>
          <w:rFonts w:ascii="Times New Roman" w:eastAsia="標楷體" w:hAnsi="Times New Roman" w:cs="Times New Roman"/>
          <w:sz w:val="28"/>
          <w:szCs w:val="28"/>
        </w:rPr>
        <w:t>11.5</w:t>
      </w:r>
      <w:r w:rsidRPr="00C77E77">
        <w:rPr>
          <w:rFonts w:ascii="Times New Roman" w:eastAsia="標楷體" w:hAnsi="Times New Roman" w:cs="Times New Roman"/>
          <w:sz w:val="28"/>
          <w:szCs w:val="28"/>
        </w:rPr>
        <w:t>％略升至</w:t>
      </w:r>
      <w:r w:rsidRPr="00C77E77">
        <w:rPr>
          <w:rFonts w:ascii="Times New Roman" w:eastAsia="標楷體" w:hAnsi="Times New Roman" w:cs="Times New Roman"/>
          <w:sz w:val="28"/>
          <w:szCs w:val="28"/>
        </w:rPr>
        <w:t>12.3</w:t>
      </w:r>
      <w:r w:rsidRPr="00C77E77">
        <w:rPr>
          <w:rFonts w:ascii="Times New Roman" w:eastAsia="標楷體" w:hAnsi="Times New Roman" w:cs="Times New Roman"/>
          <w:sz w:val="28"/>
          <w:szCs w:val="28"/>
        </w:rPr>
        <w:t>％，擴張幅度不大。</w:t>
      </w:r>
      <w:r w:rsidR="007E5894"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年自東協十國輸入</w:t>
      </w:r>
      <w:r w:rsidRPr="00C77E77">
        <w:rPr>
          <w:rFonts w:ascii="Times New Roman" w:eastAsia="標楷體" w:hAnsi="Times New Roman" w:cs="Times New Roman"/>
          <w:sz w:val="28"/>
          <w:szCs w:val="28"/>
        </w:rPr>
        <w:t>291.2</w:t>
      </w:r>
      <w:r w:rsidRPr="00C77E77">
        <w:rPr>
          <w:rFonts w:ascii="Times New Roman" w:eastAsia="標楷體" w:hAnsi="Times New Roman" w:cs="Times New Roman"/>
          <w:sz w:val="28"/>
          <w:szCs w:val="28"/>
        </w:rPr>
        <w:t>億美元，其中自新加坡、馬來西亞及印尼進口各占兩成，自星、馬輸入以電子零組件為主，自印尼則主要進口礦產品。</w:t>
      </w:r>
    </w:p>
    <w:p w:rsidR="006D2155" w:rsidRPr="00C77E77" w:rsidRDefault="008071CF" w:rsidP="008371A2">
      <w:pPr>
        <w:spacing w:beforeLines="50" w:before="180" w:afterLines="50" w:after="180" w:line="500" w:lineRule="exact"/>
        <w:ind w:leftChars="100" w:left="24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據投資業務處資料，以及經聯繫投審會直接提供的汶萊、寮國及緬甸之投資統計資</w:t>
      </w:r>
      <w:r w:rsidR="001425A3" w:rsidRPr="00C77E77">
        <w:rPr>
          <w:rFonts w:ascii="Times New Roman" w:eastAsia="標楷體" w:hAnsi="Times New Roman" w:cs="Times New Roman"/>
          <w:sz w:val="28"/>
          <w:szCs w:val="28"/>
        </w:rPr>
        <w:t>料</w:t>
      </w:r>
      <w:r w:rsidRPr="00C77E77">
        <w:rPr>
          <w:rFonts w:ascii="Times New Roman" w:eastAsia="標楷體" w:hAnsi="Times New Roman" w:cs="Times New Roman"/>
          <w:sz w:val="28"/>
          <w:szCs w:val="28"/>
        </w:rPr>
        <w:t>，</w:t>
      </w:r>
      <w:r w:rsidR="006D2155" w:rsidRPr="00C77E77">
        <w:rPr>
          <w:rFonts w:ascii="Times New Roman" w:eastAsia="標楷體" w:hAnsi="Times New Roman" w:cs="Times New Roman"/>
          <w:sz w:val="28"/>
          <w:szCs w:val="28"/>
        </w:rPr>
        <w:t>1990</w:t>
      </w:r>
      <w:r w:rsidR="006D2155" w:rsidRPr="00C77E77">
        <w:rPr>
          <w:rFonts w:ascii="Times New Roman" w:eastAsia="標楷體" w:hAnsi="Times New Roman" w:cs="Times New Roman"/>
          <w:sz w:val="28"/>
          <w:szCs w:val="28"/>
        </w:rPr>
        <w:t>至</w:t>
      </w:r>
      <w:r w:rsidR="006D2155" w:rsidRPr="00C77E77">
        <w:rPr>
          <w:rFonts w:ascii="Times New Roman" w:eastAsia="標楷體" w:hAnsi="Times New Roman" w:cs="Times New Roman"/>
          <w:sz w:val="28"/>
          <w:szCs w:val="28"/>
        </w:rPr>
        <w:t>2015</w:t>
      </w:r>
      <w:r w:rsidR="006D2155" w:rsidRPr="00C77E77">
        <w:rPr>
          <w:rFonts w:ascii="Times New Roman" w:eastAsia="標楷體" w:hAnsi="Times New Roman" w:cs="Times New Roman"/>
          <w:sz w:val="28"/>
          <w:szCs w:val="28"/>
        </w:rPr>
        <w:t>年我國對東協十國的個別進出口貿易統計，如下頁表</w:t>
      </w:r>
      <w:r w:rsidR="006D2155" w:rsidRPr="00C77E77">
        <w:rPr>
          <w:rFonts w:ascii="Times New Roman" w:eastAsia="標楷體" w:hAnsi="Times New Roman" w:cs="Times New Roman"/>
          <w:sz w:val="28"/>
          <w:szCs w:val="28"/>
        </w:rPr>
        <w:t>2-2-2</w:t>
      </w:r>
      <w:r w:rsidR="006D2155" w:rsidRPr="00C77E77">
        <w:rPr>
          <w:rFonts w:ascii="Times New Roman" w:eastAsia="標楷體" w:hAnsi="Times New Roman" w:cs="Times New Roman"/>
          <w:sz w:val="28"/>
          <w:szCs w:val="28"/>
        </w:rPr>
        <w:t>所示。</w:t>
      </w:r>
    </w:p>
    <w:p w:rsidR="006D2155" w:rsidRPr="00C77E77" w:rsidRDefault="006D2155" w:rsidP="006D2155">
      <w:pPr>
        <w:spacing w:beforeLines="50" w:before="180" w:afterLines="50" w:after="180" w:line="360" w:lineRule="auto"/>
        <w:jc w:val="both"/>
        <w:rPr>
          <w:rFonts w:ascii="Times New Roman" w:eastAsia="標楷體" w:hAnsi="Times New Roman" w:cs="Times New Roman"/>
          <w:sz w:val="28"/>
          <w:szCs w:val="28"/>
        </w:rPr>
        <w:sectPr w:rsidR="006D2155" w:rsidRPr="00C77E77" w:rsidSect="0062350F">
          <w:footerReference w:type="default" r:id="rId16"/>
          <w:pgSz w:w="11906" w:h="16838"/>
          <w:pgMar w:top="1440" w:right="1800" w:bottom="1440" w:left="1800" w:header="851" w:footer="992" w:gutter="0"/>
          <w:pgNumType w:start="1"/>
          <w:cols w:space="425"/>
          <w:docGrid w:type="lines"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54"/>
        <w:gridCol w:w="730"/>
        <w:gridCol w:w="730"/>
        <w:gridCol w:w="730"/>
        <w:gridCol w:w="740"/>
        <w:gridCol w:w="730"/>
        <w:gridCol w:w="730"/>
        <w:gridCol w:w="729"/>
        <w:gridCol w:w="733"/>
        <w:gridCol w:w="729"/>
        <w:gridCol w:w="729"/>
        <w:gridCol w:w="729"/>
        <w:gridCol w:w="729"/>
        <w:gridCol w:w="6"/>
        <w:gridCol w:w="726"/>
        <w:gridCol w:w="729"/>
        <w:gridCol w:w="729"/>
        <w:gridCol w:w="729"/>
        <w:gridCol w:w="9"/>
        <w:gridCol w:w="720"/>
        <w:gridCol w:w="729"/>
        <w:gridCol w:w="729"/>
        <w:gridCol w:w="12"/>
        <w:gridCol w:w="714"/>
      </w:tblGrid>
      <w:tr w:rsidR="006D2155" w:rsidRPr="00C77E77" w:rsidTr="006A5DBF">
        <w:trPr>
          <w:trHeight w:val="300"/>
        </w:trPr>
        <w:tc>
          <w:tcPr>
            <w:tcW w:w="5000" w:type="pct"/>
            <w:gridSpan w:val="24"/>
            <w:tcBorders>
              <w:top w:val="nil"/>
              <w:left w:val="nil"/>
              <w:bottom w:val="single" w:sz="4" w:space="0" w:color="auto"/>
              <w:right w:val="nil"/>
            </w:tcBorders>
            <w:shd w:val="clear" w:color="auto" w:fill="auto"/>
            <w:noWrap/>
            <w:vAlign w:val="center"/>
          </w:tcPr>
          <w:p w:rsidR="006D2155" w:rsidRPr="00C77E77" w:rsidRDefault="006D2155" w:rsidP="006A5DBF">
            <w:pPr>
              <w:widowControl/>
              <w:spacing w:line="0" w:lineRule="atLeast"/>
              <w:jc w:val="center"/>
              <w:rPr>
                <w:rFonts w:ascii="Times New Roman" w:eastAsia="標楷體" w:hAnsi="Times New Roman" w:cs="Times New Roman"/>
                <w:b/>
                <w:bCs/>
                <w:kern w:val="0"/>
                <w:sz w:val="28"/>
                <w:szCs w:val="28"/>
              </w:rPr>
            </w:pPr>
            <w:bookmarkStart w:id="30" w:name="_Toc458184928"/>
            <w:bookmarkStart w:id="31" w:name="_Toc470676573"/>
            <w:r w:rsidRPr="00C77E77">
              <w:rPr>
                <w:rStyle w:val="afa"/>
              </w:rPr>
              <w:lastRenderedPageBreak/>
              <w:t>表</w:t>
            </w:r>
            <w:r w:rsidRPr="00C77E77">
              <w:rPr>
                <w:rStyle w:val="afa"/>
              </w:rPr>
              <w:t xml:space="preserve">2-2-2 </w:t>
            </w:r>
            <w:r w:rsidRPr="00C77E77">
              <w:rPr>
                <w:rStyle w:val="afa"/>
              </w:rPr>
              <w:t>臺灣對東協各國進出口統計（</w:t>
            </w:r>
            <w:r w:rsidRPr="00C77E77">
              <w:rPr>
                <w:rStyle w:val="afa"/>
              </w:rPr>
              <w:t>1990-2015</w:t>
            </w:r>
            <w:r w:rsidRPr="00C77E77">
              <w:rPr>
                <w:rStyle w:val="afa"/>
              </w:rPr>
              <w:t>）</w:t>
            </w:r>
            <w:bookmarkEnd w:id="30"/>
            <w:bookmarkEnd w:id="31"/>
            <w:r w:rsidRPr="00C77E77">
              <w:rPr>
                <w:rFonts w:ascii="Times New Roman" w:eastAsia="標楷體" w:hAnsi="Times New Roman" w:cs="Times New Roman"/>
                <w:b/>
                <w:bCs/>
                <w:kern w:val="0"/>
                <w:sz w:val="28"/>
                <w:szCs w:val="28"/>
              </w:rPr>
              <w:t xml:space="preserve">      </w:t>
            </w:r>
            <w:r w:rsidR="00E75094" w:rsidRPr="00C77E77">
              <w:rPr>
                <w:rFonts w:ascii="Times New Roman" w:eastAsia="標楷體" w:hAnsi="Times New Roman" w:cs="Times New Roman"/>
                <w:bCs/>
                <w:kern w:val="0"/>
                <w:szCs w:val="24"/>
              </w:rPr>
              <w:t xml:space="preserve"> </w:t>
            </w:r>
            <w:r w:rsidR="00E75094" w:rsidRPr="00C77E77">
              <w:rPr>
                <w:rFonts w:ascii="Times New Roman" w:eastAsia="標楷體" w:hAnsi="Times New Roman" w:cs="Times New Roman"/>
                <w:bCs/>
                <w:kern w:val="0"/>
                <w:szCs w:val="24"/>
              </w:rPr>
              <w:t>（</w:t>
            </w:r>
            <w:r w:rsidRPr="00C77E77">
              <w:rPr>
                <w:rFonts w:ascii="Times New Roman" w:eastAsia="標楷體" w:hAnsi="Times New Roman" w:cs="Times New Roman"/>
                <w:bCs/>
                <w:kern w:val="0"/>
                <w:szCs w:val="24"/>
              </w:rPr>
              <w:t>單位</w:t>
            </w:r>
            <w:r w:rsidRPr="00C77E77">
              <w:rPr>
                <w:rFonts w:ascii="Times New Roman" w:eastAsia="標楷體" w:hAnsi="Times New Roman" w:cs="Times New Roman"/>
                <w:bCs/>
                <w:kern w:val="0"/>
                <w:szCs w:val="24"/>
              </w:rPr>
              <w:t xml:space="preserve">: </w:t>
            </w:r>
            <w:r w:rsidRPr="00C77E77">
              <w:rPr>
                <w:rFonts w:ascii="Times New Roman" w:eastAsia="標楷體" w:hAnsi="Times New Roman" w:cs="Times New Roman"/>
                <w:bCs/>
                <w:kern w:val="0"/>
                <w:szCs w:val="24"/>
              </w:rPr>
              <w:t>百萬美元</w:t>
            </w:r>
            <w:r w:rsidR="00E75094" w:rsidRPr="00C77E77">
              <w:rPr>
                <w:rFonts w:ascii="Times New Roman" w:eastAsia="標楷體" w:hAnsi="Times New Roman" w:cs="Times New Roman"/>
                <w:bCs/>
                <w:kern w:val="0"/>
                <w:szCs w:val="24"/>
              </w:rPr>
              <w:t>）</w:t>
            </w:r>
          </w:p>
        </w:tc>
      </w:tr>
      <w:tr w:rsidR="00365237" w:rsidRPr="00C77E77" w:rsidTr="006A5DBF">
        <w:trPr>
          <w:trHeight w:val="300"/>
        </w:trPr>
        <w:tc>
          <w:tcPr>
            <w:tcW w:w="276" w:type="pct"/>
            <w:tcBorders>
              <w:top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 xml:space="preserve">　</w:t>
            </w:r>
          </w:p>
        </w:tc>
        <w:tc>
          <w:tcPr>
            <w:tcW w:w="946" w:type="pct"/>
            <w:gridSpan w:val="4"/>
            <w:tcBorders>
              <w:top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馬來西亞</w:t>
            </w:r>
          </w:p>
        </w:tc>
        <w:tc>
          <w:tcPr>
            <w:tcW w:w="945" w:type="pct"/>
            <w:gridSpan w:val="4"/>
            <w:tcBorders>
              <w:top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菲律賓</w:t>
            </w:r>
          </w:p>
        </w:tc>
        <w:tc>
          <w:tcPr>
            <w:tcW w:w="946" w:type="pct"/>
            <w:gridSpan w:val="5"/>
            <w:tcBorders>
              <w:top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新加坡</w:t>
            </w:r>
          </w:p>
        </w:tc>
        <w:tc>
          <w:tcPr>
            <w:tcW w:w="946" w:type="pct"/>
            <w:gridSpan w:val="5"/>
            <w:tcBorders>
              <w:top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泰國</w:t>
            </w:r>
          </w:p>
        </w:tc>
        <w:tc>
          <w:tcPr>
            <w:tcW w:w="941" w:type="pct"/>
            <w:gridSpan w:val="5"/>
            <w:tcBorders>
              <w:top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越南</w:t>
            </w:r>
          </w:p>
        </w:tc>
      </w:tr>
      <w:tr w:rsidR="00365237" w:rsidRPr="00C77E77" w:rsidTr="006A5DBF">
        <w:trPr>
          <w:trHeight w:val="645"/>
        </w:trPr>
        <w:tc>
          <w:tcPr>
            <w:tcW w:w="276" w:type="pct"/>
            <w:shd w:val="clear" w:color="auto" w:fill="auto"/>
            <w:noWrap/>
            <w:vAlign w:val="center"/>
            <w:hideMark/>
          </w:tcPr>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bl>
            <w:tblPr>
              <w:tblW w:w="0" w:type="auto"/>
              <w:tblCellSpacing w:w="0" w:type="dxa"/>
              <w:tblLayout w:type="fixed"/>
              <w:tblCellMar>
                <w:left w:w="0" w:type="dxa"/>
                <w:right w:w="0" w:type="dxa"/>
              </w:tblCellMar>
              <w:tblLook w:val="04A0" w:firstRow="1" w:lastRow="0" w:firstColumn="1" w:lastColumn="0" w:noHBand="0" w:noVBand="1"/>
            </w:tblPr>
            <w:tblGrid>
              <w:gridCol w:w="720"/>
            </w:tblGrid>
            <w:tr w:rsidR="006D2155" w:rsidRPr="00C77E77" w:rsidTr="006A5DBF">
              <w:trPr>
                <w:trHeight w:val="645"/>
                <w:tblCellSpacing w:w="0" w:type="dxa"/>
              </w:trPr>
              <w:tc>
                <w:tcPr>
                  <w:tcW w:w="720" w:type="dxa"/>
                  <w:tcBorders>
                    <w:top w:val="nil"/>
                    <w:left w:val="nil"/>
                    <w:bottom w:val="single" w:sz="4" w:space="0" w:color="auto"/>
                    <w:right w:val="nil"/>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年別</w:t>
                  </w:r>
                </w:p>
              </w:tc>
            </w:tr>
          </w:tbl>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5"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9" w:type="pct"/>
            <w:shd w:val="clear" w:color="auto" w:fill="auto"/>
            <w:noWrap/>
            <w:vAlign w:val="center"/>
            <w:hideMark/>
          </w:tcPr>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bl>
            <w:tblPr>
              <w:tblW w:w="0" w:type="auto"/>
              <w:tblCellSpacing w:w="0" w:type="dxa"/>
              <w:tblLayout w:type="fixed"/>
              <w:tblCellMar>
                <w:left w:w="0" w:type="dxa"/>
                <w:right w:w="0" w:type="dxa"/>
              </w:tblCellMar>
              <w:tblLook w:val="04A0" w:firstRow="1" w:lastRow="0" w:firstColumn="1" w:lastColumn="0" w:noHBand="0" w:noVBand="1"/>
            </w:tblPr>
            <w:tblGrid>
              <w:gridCol w:w="1040"/>
            </w:tblGrid>
            <w:tr w:rsidR="006D2155" w:rsidRPr="00C77E77" w:rsidTr="006A5DBF">
              <w:trPr>
                <w:trHeight w:val="645"/>
                <w:tblCellSpacing w:w="0" w:type="dxa"/>
              </w:trPr>
              <w:tc>
                <w:tcPr>
                  <w:tcW w:w="1040" w:type="dxa"/>
                  <w:tcBorders>
                    <w:top w:val="nil"/>
                    <w:left w:val="nil"/>
                    <w:bottom w:val="single" w:sz="8" w:space="0" w:color="auto"/>
                    <w:right w:val="nil"/>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bl>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7" w:type="pct"/>
            <w:shd w:val="clear" w:color="auto" w:fill="auto"/>
            <w:noWrap/>
            <w:vAlign w:val="center"/>
            <w:hideMark/>
          </w:tcPr>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bl>
            <w:tblPr>
              <w:tblW w:w="0" w:type="auto"/>
              <w:tblCellSpacing w:w="0" w:type="dxa"/>
              <w:tblLayout w:type="fixed"/>
              <w:tblCellMar>
                <w:left w:w="0" w:type="dxa"/>
                <w:right w:w="0" w:type="dxa"/>
              </w:tblCellMar>
              <w:tblLook w:val="04A0" w:firstRow="1" w:lastRow="0" w:firstColumn="1" w:lastColumn="0" w:noHBand="0" w:noVBand="1"/>
            </w:tblPr>
            <w:tblGrid>
              <w:gridCol w:w="1040"/>
            </w:tblGrid>
            <w:tr w:rsidR="006D2155" w:rsidRPr="00C77E77" w:rsidTr="006A5DBF">
              <w:trPr>
                <w:trHeight w:val="645"/>
                <w:tblCellSpacing w:w="0" w:type="dxa"/>
              </w:trPr>
              <w:tc>
                <w:tcPr>
                  <w:tcW w:w="1040" w:type="dxa"/>
                  <w:tcBorders>
                    <w:top w:val="nil"/>
                    <w:left w:val="nil"/>
                    <w:bottom w:val="single" w:sz="8" w:space="0" w:color="auto"/>
                    <w:right w:val="nil"/>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bl>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6" w:type="pct"/>
            <w:shd w:val="clear" w:color="auto" w:fill="auto"/>
            <w:noWrap/>
            <w:vAlign w:val="center"/>
            <w:hideMark/>
          </w:tcPr>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bl>
            <w:tblPr>
              <w:tblW w:w="0" w:type="auto"/>
              <w:tblCellSpacing w:w="0" w:type="dxa"/>
              <w:tblLayout w:type="fixed"/>
              <w:tblCellMar>
                <w:left w:w="0" w:type="dxa"/>
                <w:right w:w="0" w:type="dxa"/>
              </w:tblCellMar>
              <w:tblLook w:val="04A0" w:firstRow="1" w:lastRow="0" w:firstColumn="1" w:lastColumn="0" w:noHBand="0" w:noVBand="1"/>
            </w:tblPr>
            <w:tblGrid>
              <w:gridCol w:w="1040"/>
            </w:tblGrid>
            <w:tr w:rsidR="006D2155" w:rsidRPr="00C77E77" w:rsidTr="006A5DBF">
              <w:trPr>
                <w:trHeight w:val="645"/>
                <w:tblCellSpacing w:w="0" w:type="dxa"/>
              </w:trPr>
              <w:tc>
                <w:tcPr>
                  <w:tcW w:w="1040" w:type="dxa"/>
                  <w:tcBorders>
                    <w:top w:val="nil"/>
                    <w:left w:val="nil"/>
                    <w:bottom w:val="single" w:sz="8" w:space="0" w:color="auto"/>
                    <w:right w:val="nil"/>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bl>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c>
        <w:tc>
          <w:tcPr>
            <w:tcW w:w="237" w:type="pct"/>
            <w:gridSpan w:val="2"/>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6" w:type="pct"/>
            <w:shd w:val="clear" w:color="auto" w:fill="auto"/>
            <w:noWrap/>
            <w:vAlign w:val="center"/>
            <w:hideMark/>
          </w:tcPr>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bl>
            <w:tblPr>
              <w:tblW w:w="0" w:type="auto"/>
              <w:tblCellSpacing w:w="0" w:type="dxa"/>
              <w:tblLayout w:type="fixed"/>
              <w:tblCellMar>
                <w:left w:w="0" w:type="dxa"/>
                <w:right w:w="0" w:type="dxa"/>
              </w:tblCellMar>
              <w:tblLook w:val="04A0" w:firstRow="1" w:lastRow="0" w:firstColumn="1" w:lastColumn="0" w:noHBand="0" w:noVBand="1"/>
            </w:tblPr>
            <w:tblGrid>
              <w:gridCol w:w="1040"/>
            </w:tblGrid>
            <w:tr w:rsidR="006D2155" w:rsidRPr="00C77E77" w:rsidTr="006A5DBF">
              <w:trPr>
                <w:trHeight w:val="645"/>
                <w:tblCellSpacing w:w="0" w:type="dxa"/>
              </w:trPr>
              <w:tc>
                <w:tcPr>
                  <w:tcW w:w="1040" w:type="dxa"/>
                  <w:tcBorders>
                    <w:top w:val="nil"/>
                    <w:left w:val="nil"/>
                    <w:bottom w:val="single" w:sz="8" w:space="0" w:color="auto"/>
                    <w:right w:val="nil"/>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bl>
          <w:p w:rsidR="006D2155" w:rsidRPr="00C77E77" w:rsidRDefault="006D2155" w:rsidP="006A5DBF">
            <w:pPr>
              <w:widowControl/>
              <w:spacing w:line="0" w:lineRule="atLeast"/>
              <w:jc w:val="center"/>
              <w:rPr>
                <w:rFonts w:ascii="Times New Roman" w:eastAsia="新細明體" w:hAnsi="Times New Roman" w:cs="Times New Roman"/>
                <w:kern w:val="0"/>
                <w:sz w:val="16"/>
                <w:szCs w:val="16"/>
              </w:rPr>
            </w:pPr>
          </w:p>
        </w:tc>
        <w:tc>
          <w:tcPr>
            <w:tcW w:w="236" w:type="pct"/>
            <w:gridSpan w:val="2"/>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40" w:type="pct"/>
            <w:gridSpan w:val="2"/>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2" w:type="pct"/>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1990</w:t>
            </w:r>
          </w:p>
        </w:tc>
        <w:tc>
          <w:tcPr>
            <w:tcW w:w="236" w:type="pct"/>
            <w:shd w:val="clear" w:color="auto" w:fill="auto"/>
            <w:noWrap/>
            <w:vAlign w:val="center"/>
            <w:hideMark/>
          </w:tcPr>
          <w:p w:rsidR="00222576" w:rsidRPr="00C77E77" w:rsidRDefault="00222576" w:rsidP="006A5DBF">
            <w:pPr>
              <w:widowControl/>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2,106.6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1,103.6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1,003.0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100.5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1,047.7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811.4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236.3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575.2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3,609.7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2,203.6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1,406.0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797.6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1,871.6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1,423.6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448.0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975.7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118.3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62.7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55.6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7.2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1991</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2,874.2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1,464.8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1,409.4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1,083.3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848.0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235.3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612.7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3,849.3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2,403.5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1,445.8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957.6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2,031.0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1,444.9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586.1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858.7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232.3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152.3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80.1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72.2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1992</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3,429.3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1,600.2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1,829.1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-228.9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1,328.4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1,023.2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305.2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718.0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4,199.9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2,505.1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1,694.8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810.2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2,634.0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1,809.5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824.5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984.9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401.4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278.5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122.9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155.6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1993</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3,610.6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1,671.7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1,938.9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-267.2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1,395.9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1,031.1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364.8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666.3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4,756.1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2,890.3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1,865.8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1,024.5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2,991.8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2,018.9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973.0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1,045.9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655.4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501.3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154.1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347.1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1994</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4,550.9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2,224.1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2,326.8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-102.7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1,683.1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1,222.4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460.7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761.8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5,771.3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3,359.1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2,412.2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947.0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3,548.9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2,440.2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1,108.7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1,331.4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961.5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742.6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218.9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523.6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1995</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5,852.2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2,898.5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2,953.7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2,276.7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1,653.5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623.2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1,030.3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7,362.8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4,404.9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2,957.9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1,447.0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4,556.9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3,071.6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1,485.2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1,586.4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1,283.9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1,013.6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270.3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743.4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1996</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6,518.8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2,953.6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3,565.2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-611.6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2,771.4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1,931.1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840.3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1,090.9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7,362.1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4,573.1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2,789.1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1,784.0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4,461.2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2,789.5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1,671.7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1,117.8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1,492.0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1,175.3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316.7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858.6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1997</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7,263.6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3,035.3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4,228.3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-1,192.9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3,617.0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2,242.4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1,374.6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867.8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8,044.8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4,894.5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3,150.3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1,744.1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4,488.9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2,562.0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1,926.9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635.2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1,688.6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1,297.2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391.4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905.8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1998</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5,908.8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2,285.8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3,623.0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-1,337.2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3,757.0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1,934.1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1,822.9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111.2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5,952.3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3,255.5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2,696.8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558.7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3,893.4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1,925.8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1,967.6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-41.8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1,556.3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1,213.3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343.0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870.3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1999</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6,730.0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2,848.0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3,881.9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-1,033.9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4,783.6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2,611.2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2,172.4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438.8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7,130.2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3,818.2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3,312.0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506.1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4,487.6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2,104.4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2,383.3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-278.9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1,729.3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1,341.5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387.8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953.7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2000</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8,936.9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3,611.6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5,325.3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-1,713.7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6,629.3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3,035.6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3,593.8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-558.2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10,469.2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5,455.5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5,013.6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441.9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5,330.0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2,562.2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2,767.9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-205.7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2,132.2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1,663.4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468.8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1,194.5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2001</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7,369.0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3,136.3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4,232.7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-1,096.4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5,468.8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2,212.2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3,256.6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-1,044.4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7,622.3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4,220.7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3,401.6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819.0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4,389.7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2,196.9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2,192.8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2,169.4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1,743.7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425.8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1,317.9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2002</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7,391.4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3,215.8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4,175.5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-959.7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5,768.8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2,108.5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3,660.3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-1,551.8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8,185.0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4,622.8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3,562.2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1,060.6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4,549.3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2,367.2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2,182.1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185.1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2,766.8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2,310.4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456.5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1,853.9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2003</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7,939.1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3,172.4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4,766.7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-1,594.3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5,588.4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2,501.2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3,087.2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-586.0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9,153.4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5,274.4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3,879.0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1,395.5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5,018.9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2,639.5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2,379.4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260.1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3,141.3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2,679.2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462.1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2,217.1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2004</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9,643.1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4,218.2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5,424.9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-1,206.8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7,099.2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4,035.4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3,063.8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971.7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11,077.8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6,747.1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4,330.7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2,416.5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6,102.4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3,317.7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2,784.6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533.1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4,060.5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3,451.5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609.0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2,842.5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2005</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9,499.7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4,282.5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5,217.2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-934.7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7,119.6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4,324.9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2,794.7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1,530.1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13,002.7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8,042.1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4,960.6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3,081.5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6,707.2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3,820.2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2,887.0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933.2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4,803.6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4,102.6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701.0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3,401.6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2006</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10,992.9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4,941.3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6,051.5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-1,110.2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7,259.9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4,484.3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2,775.5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1,708.8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14,384.9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9,279.4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5,105.5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4,173.9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7,893.9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4,576.5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3,317.4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1,259.1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5,719.2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4,869.2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849.9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4,019.3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2007</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11,582.4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5,390.0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6,192.4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-802.3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7,199.1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4,921.7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2,277.4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2,644.3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15,292.9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10,501.2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4,791.6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5,709.6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8,812.9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5,199.5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3,613.3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1,586.2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7,902.6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6,860.3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1,042.3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5,818.1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2008</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12,276.3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5,513.7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6,762.6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-1,248.9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7,020.6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4,780.0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2,240.6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2,539.5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16,500.7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11,675.6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4,825.1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6,850.5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8,157.8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4,905.9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3,252.0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1,653.9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9,159.1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7,946.7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1,212.4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6,734.3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2009</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8,612.6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4,060.0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4,552.6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-492.6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6,046.3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4,432.7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1,613.6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2,819.1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13,422.8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8,613.6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4,809.2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3,804.4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6,508.3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3,826.7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2,681.6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1,145.1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6,908.4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5,987.7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920.7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5,067.0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2010</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13,642.8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5,947.8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7,695.0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-1,747.2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8,301.8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5,981.9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2,319.9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3,662.1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19,732.2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12,096.2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7,636.1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4,460.1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9,117.2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5,288.3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3,828.9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1,459.4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8,815.9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7,533.3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1,282.6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6,250.7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2011</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15,493.1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6,891.6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8,601.5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-1,709.9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9,378.1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6,964.2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2,413.9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4,550.3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24,832.6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16,879.5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7,953.1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8,926.4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10,532.9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6,139.5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4,393.5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1,746.0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10,871.5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9,026.3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1,845.2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7,181.1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2012</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14,398.9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6,557.2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7,841.7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-1,284.5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10,976.3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8,876.3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2,100.0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6,776.3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28,196.4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20,090.6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8,105.8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11,984.9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10,262.5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6,565.9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3,696.6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2,869.3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10,726.6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8,431.9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2,294.7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6,137.3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2013</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16,308.1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8,184.3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8,123.7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11,972.2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9,773.8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2,198.4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7,575.4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28,060.5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19,517.9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8,542.6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10,975.3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10,088.6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6,336.3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3,752.3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2,583.9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11,548.3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8,925.8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2,622.5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6,303.2 </w:t>
            </w:r>
          </w:p>
        </w:tc>
      </w:tr>
      <w:tr w:rsidR="00365237" w:rsidRPr="00C77E77" w:rsidTr="006A5DBF">
        <w:trPr>
          <w:trHeight w:val="285"/>
        </w:trPr>
        <w:tc>
          <w:tcPr>
            <w:tcW w:w="276" w:type="pct"/>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2014</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17,396.7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8,612.0 </w:t>
            </w:r>
          </w:p>
        </w:tc>
        <w:tc>
          <w:tcPr>
            <w:tcW w:w="235"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8,784.8 </w:t>
            </w:r>
          </w:p>
        </w:tc>
        <w:tc>
          <w:tcPr>
            <w:tcW w:w="239"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-172.8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11,599.7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9,528.5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2,071.3 </w:t>
            </w:r>
          </w:p>
        </w:tc>
        <w:tc>
          <w:tcPr>
            <w:tcW w:w="237"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7,457.2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28,912.6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20,535.9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8,376.8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12,159.1 </w:t>
            </w:r>
          </w:p>
        </w:tc>
        <w:tc>
          <w:tcPr>
            <w:tcW w:w="237"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10,398.3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6,094.0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4,304.2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1,789.8 </w:t>
            </w:r>
          </w:p>
        </w:tc>
        <w:tc>
          <w:tcPr>
            <w:tcW w:w="236"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12,540.8 </w:t>
            </w:r>
          </w:p>
        </w:tc>
        <w:tc>
          <w:tcPr>
            <w:tcW w:w="236"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9,979.6 </w:t>
            </w:r>
          </w:p>
        </w:tc>
        <w:tc>
          <w:tcPr>
            <w:tcW w:w="240" w:type="pct"/>
            <w:gridSpan w:val="2"/>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2,561.1 </w:t>
            </w:r>
          </w:p>
        </w:tc>
        <w:tc>
          <w:tcPr>
            <w:tcW w:w="232" w:type="pct"/>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7,418.5 </w:t>
            </w:r>
          </w:p>
        </w:tc>
      </w:tr>
      <w:tr w:rsidR="00365237" w:rsidRPr="00C77E77" w:rsidTr="006A5DBF">
        <w:trPr>
          <w:trHeight w:val="300"/>
        </w:trPr>
        <w:tc>
          <w:tcPr>
            <w:tcW w:w="276" w:type="pct"/>
            <w:tcBorders>
              <w:bottom w:val="single" w:sz="4" w:space="0" w:color="auto"/>
            </w:tcBorders>
            <w:shd w:val="clear" w:color="auto" w:fill="auto"/>
            <w:noWrap/>
            <w:vAlign w:val="center"/>
            <w:hideMark/>
          </w:tcPr>
          <w:p w:rsidR="00222576" w:rsidRPr="00C77E77" w:rsidRDefault="00222576"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2015</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13,649.3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7,133.7 </w:t>
            </w:r>
          </w:p>
        </w:tc>
        <w:tc>
          <w:tcPr>
            <w:tcW w:w="235"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6,515.6 </w:t>
            </w:r>
          </w:p>
        </w:tc>
        <w:tc>
          <w:tcPr>
            <w:tcW w:w="239"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618.0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9,279.9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7,445.1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1,834.7 </w:t>
            </w:r>
          </w:p>
        </w:tc>
        <w:tc>
          <w:tcPr>
            <w:tcW w:w="237"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5,610.4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24,366.9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17,256.3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7,110.6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10,145.7 </w:t>
            </w:r>
          </w:p>
        </w:tc>
        <w:tc>
          <w:tcPr>
            <w:tcW w:w="237" w:type="pct"/>
            <w:gridSpan w:val="2"/>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9,597.4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5,661.5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3,935.9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1,725.6 </w:t>
            </w:r>
          </w:p>
        </w:tc>
        <w:tc>
          <w:tcPr>
            <w:tcW w:w="236" w:type="pct"/>
            <w:gridSpan w:val="2"/>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11,986.1 </w:t>
            </w:r>
          </w:p>
        </w:tc>
        <w:tc>
          <w:tcPr>
            <w:tcW w:w="236"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9,472.0 </w:t>
            </w:r>
          </w:p>
        </w:tc>
        <w:tc>
          <w:tcPr>
            <w:tcW w:w="240" w:type="pct"/>
            <w:gridSpan w:val="2"/>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2,514.1 </w:t>
            </w:r>
          </w:p>
        </w:tc>
        <w:tc>
          <w:tcPr>
            <w:tcW w:w="232" w:type="pct"/>
            <w:tcBorders>
              <w:bottom w:val="single" w:sz="4" w:space="0" w:color="auto"/>
            </w:tcBorders>
            <w:shd w:val="clear" w:color="auto" w:fill="auto"/>
            <w:noWrap/>
            <w:vAlign w:val="center"/>
            <w:hideMark/>
          </w:tcPr>
          <w:p w:rsidR="00222576" w:rsidRPr="00C77E77" w:rsidRDefault="00222576"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6,957.9 </w:t>
            </w:r>
          </w:p>
        </w:tc>
      </w:tr>
      <w:tr w:rsidR="006D2155"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5000" w:type="pct"/>
            <w:gridSpan w:val="24"/>
            <w:tcBorders>
              <w:top w:val="single" w:sz="4" w:space="0" w:color="auto"/>
              <w:left w:val="single" w:sz="4" w:space="0" w:color="auto"/>
              <w:bottom w:val="single" w:sz="4" w:space="0" w:color="auto"/>
              <w:right w:val="single" w:sz="4" w:space="0" w:color="auto"/>
            </w:tcBorders>
            <w:shd w:val="clear" w:color="auto" w:fill="auto"/>
            <w:noWrap/>
            <w:vAlign w:val="center"/>
          </w:tcPr>
          <w:p w:rsidR="006D2155" w:rsidRPr="00C77E77" w:rsidRDefault="006D2155" w:rsidP="006A5DBF">
            <w:pPr>
              <w:widowControl/>
              <w:spacing w:line="0" w:lineRule="atLeast"/>
              <w:jc w:val="center"/>
              <w:rPr>
                <w:rFonts w:ascii="Times New Roman" w:eastAsia="標楷體" w:hAnsi="Times New Roman" w:cs="Times New Roman"/>
                <w:b/>
                <w:bCs/>
                <w:kern w:val="0"/>
                <w:sz w:val="28"/>
                <w:szCs w:val="28"/>
              </w:rPr>
            </w:pPr>
            <w:r w:rsidRPr="00C77E77">
              <w:rPr>
                <w:rFonts w:ascii="Times New Roman" w:hAnsi="Times New Roman" w:cs="Times New Roman"/>
              </w:rPr>
              <w:lastRenderedPageBreak/>
              <w:br w:type="page"/>
            </w:r>
            <w:r w:rsidRPr="00C77E77">
              <w:rPr>
                <w:rFonts w:ascii="Times New Roman" w:eastAsia="標楷體" w:hAnsi="Times New Roman" w:cs="Times New Roman"/>
                <w:b/>
                <w:bCs/>
                <w:kern w:val="0"/>
                <w:sz w:val="28"/>
                <w:szCs w:val="28"/>
              </w:rPr>
              <w:t>表</w:t>
            </w:r>
            <w:r w:rsidRPr="00C77E77">
              <w:rPr>
                <w:rFonts w:ascii="Times New Roman" w:eastAsia="標楷體" w:hAnsi="Times New Roman" w:cs="Times New Roman"/>
                <w:b/>
                <w:bCs/>
                <w:kern w:val="0"/>
                <w:sz w:val="28"/>
                <w:szCs w:val="28"/>
              </w:rPr>
              <w:t>2-2-2</w:t>
            </w:r>
            <w:r w:rsidRPr="00C77E77">
              <w:rPr>
                <w:rFonts w:ascii="Times New Roman" w:eastAsia="標楷體" w:hAnsi="Times New Roman" w:cs="Times New Roman"/>
                <w:b/>
                <w:bCs/>
                <w:kern w:val="0"/>
                <w:sz w:val="28"/>
                <w:szCs w:val="28"/>
              </w:rPr>
              <w:t>（續）</w:t>
            </w:r>
            <w:r w:rsidRPr="00C77E77">
              <w:rPr>
                <w:rFonts w:ascii="Times New Roman" w:eastAsia="標楷體" w:hAnsi="Times New Roman" w:cs="Times New Roman"/>
                <w:b/>
                <w:bCs/>
                <w:kern w:val="0"/>
                <w:sz w:val="28"/>
                <w:szCs w:val="28"/>
              </w:rPr>
              <w:t xml:space="preserve">  </w:t>
            </w:r>
            <w:r w:rsidRPr="00C77E77">
              <w:rPr>
                <w:rFonts w:ascii="Times New Roman" w:eastAsia="標楷體" w:hAnsi="Times New Roman" w:cs="Times New Roman"/>
                <w:b/>
                <w:bCs/>
                <w:kern w:val="0"/>
                <w:sz w:val="28"/>
                <w:szCs w:val="28"/>
              </w:rPr>
              <w:t>臺灣對東協各國進出口統計（</w:t>
            </w:r>
            <w:r w:rsidRPr="00C77E77">
              <w:rPr>
                <w:rFonts w:ascii="Times New Roman" w:eastAsia="標楷體" w:hAnsi="Times New Roman" w:cs="Times New Roman"/>
                <w:b/>
                <w:bCs/>
                <w:kern w:val="0"/>
                <w:sz w:val="28"/>
                <w:szCs w:val="28"/>
              </w:rPr>
              <w:t>1990-2015</w:t>
            </w:r>
            <w:r w:rsidRPr="00C77E77">
              <w:rPr>
                <w:rFonts w:ascii="Times New Roman" w:eastAsia="標楷體" w:hAnsi="Times New Roman" w:cs="Times New Roman"/>
                <w:b/>
                <w:bCs/>
                <w:kern w:val="0"/>
                <w:sz w:val="28"/>
                <w:szCs w:val="28"/>
              </w:rPr>
              <w:t>）</w:t>
            </w:r>
            <w:r w:rsidRPr="00C77E77">
              <w:rPr>
                <w:rFonts w:ascii="Times New Roman" w:eastAsia="標楷體" w:hAnsi="Times New Roman" w:cs="Times New Roman"/>
                <w:b/>
                <w:bCs/>
                <w:kern w:val="0"/>
                <w:sz w:val="28"/>
                <w:szCs w:val="28"/>
              </w:rPr>
              <w:t xml:space="preserve">     </w:t>
            </w:r>
            <w:r w:rsidRPr="00C77E77">
              <w:rPr>
                <w:rFonts w:ascii="Times New Roman" w:eastAsia="標楷體" w:hAnsi="Times New Roman" w:cs="Times New Roman"/>
                <w:bCs/>
                <w:kern w:val="0"/>
                <w:szCs w:val="24"/>
              </w:rPr>
              <w:t xml:space="preserve"> </w:t>
            </w:r>
            <w:r w:rsidR="00E75094" w:rsidRPr="00C77E77">
              <w:rPr>
                <w:rFonts w:ascii="Times New Roman" w:eastAsia="標楷體" w:hAnsi="Times New Roman" w:cs="Times New Roman"/>
                <w:bCs/>
                <w:kern w:val="0"/>
                <w:szCs w:val="24"/>
              </w:rPr>
              <w:t>（</w:t>
            </w:r>
            <w:r w:rsidRPr="00C77E77">
              <w:rPr>
                <w:rFonts w:ascii="Times New Roman" w:eastAsia="標楷體" w:hAnsi="Times New Roman" w:cs="Times New Roman"/>
                <w:bCs/>
                <w:kern w:val="0"/>
                <w:szCs w:val="24"/>
              </w:rPr>
              <w:t>單位</w:t>
            </w:r>
            <w:r w:rsidRPr="00C77E77">
              <w:rPr>
                <w:rFonts w:ascii="Times New Roman" w:eastAsia="標楷體" w:hAnsi="Times New Roman" w:cs="Times New Roman"/>
                <w:bCs/>
                <w:kern w:val="0"/>
                <w:szCs w:val="24"/>
              </w:rPr>
              <w:t xml:space="preserve">: </w:t>
            </w:r>
            <w:r w:rsidRPr="00C77E77">
              <w:rPr>
                <w:rFonts w:ascii="Times New Roman" w:eastAsia="標楷體" w:hAnsi="Times New Roman" w:cs="Times New Roman"/>
                <w:bCs/>
                <w:kern w:val="0"/>
                <w:szCs w:val="24"/>
              </w:rPr>
              <w:t>百萬美元</w:t>
            </w:r>
            <w:r w:rsidR="00E75094" w:rsidRPr="00C77E77">
              <w:rPr>
                <w:rFonts w:ascii="Times New Roman" w:eastAsia="標楷體" w:hAnsi="Times New Roman" w:cs="Times New Roman"/>
                <w:bCs/>
                <w:kern w:val="0"/>
                <w:szCs w:val="24"/>
              </w:rPr>
              <w:t>）</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 xml:space="preserve">　</w:t>
            </w:r>
          </w:p>
        </w:tc>
        <w:tc>
          <w:tcPr>
            <w:tcW w:w="946"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汶萊</w:t>
            </w:r>
          </w:p>
        </w:tc>
        <w:tc>
          <w:tcPr>
            <w:tcW w:w="945"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印尼</w:t>
            </w:r>
          </w:p>
        </w:tc>
        <w:tc>
          <w:tcPr>
            <w:tcW w:w="946"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柬埔寨</w:t>
            </w:r>
          </w:p>
        </w:tc>
        <w:tc>
          <w:tcPr>
            <w:tcW w:w="946"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寮國</w:t>
            </w:r>
          </w:p>
        </w:tc>
        <w:tc>
          <w:tcPr>
            <w:tcW w:w="941"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緬甸</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45"/>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年別</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rPr>
                <w:rFonts w:ascii="Times New Roman" w:eastAsia="新細明體" w:hAnsi="Times New Roman" w:cs="Times New Roman"/>
                <w:kern w:val="0"/>
                <w:sz w:val="16"/>
                <w:szCs w:val="16"/>
              </w:rPr>
            </w:pPr>
          </w:p>
          <w:tbl>
            <w:tblPr>
              <w:tblW w:w="0" w:type="auto"/>
              <w:tblCellSpacing w:w="0" w:type="dxa"/>
              <w:tblLayout w:type="fixed"/>
              <w:tblCellMar>
                <w:left w:w="0" w:type="dxa"/>
                <w:right w:w="0" w:type="dxa"/>
              </w:tblCellMar>
              <w:tblLook w:val="04A0" w:firstRow="1" w:lastRow="0" w:firstColumn="1" w:lastColumn="0" w:noHBand="0" w:noVBand="1"/>
            </w:tblPr>
            <w:tblGrid>
              <w:gridCol w:w="1040"/>
            </w:tblGrid>
            <w:tr w:rsidR="006D2155" w:rsidRPr="00C77E77" w:rsidTr="006A5DBF">
              <w:trPr>
                <w:trHeight w:val="645"/>
                <w:tblCellSpacing w:w="0" w:type="dxa"/>
              </w:trPr>
              <w:tc>
                <w:tcPr>
                  <w:tcW w:w="1040" w:type="dxa"/>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bl>
          <w:p w:rsidR="006D2155" w:rsidRPr="00C77E77" w:rsidRDefault="006D2155" w:rsidP="006A5DBF">
            <w:pPr>
              <w:widowControl/>
              <w:spacing w:line="0" w:lineRule="atLeast"/>
              <w:rPr>
                <w:rFonts w:ascii="Times New Roman" w:eastAsia="新細明體" w:hAnsi="Times New Roman" w:cs="Times New Roman"/>
                <w:kern w:val="0"/>
                <w:sz w:val="16"/>
                <w:szCs w:val="16"/>
              </w:rPr>
            </w:pP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rPr>
                <w:rFonts w:ascii="Times New Roman" w:eastAsia="新細明體" w:hAnsi="Times New Roman" w:cs="Times New Roman"/>
                <w:kern w:val="0"/>
                <w:sz w:val="16"/>
                <w:szCs w:val="16"/>
              </w:rPr>
            </w:pPr>
          </w:p>
          <w:tbl>
            <w:tblPr>
              <w:tblW w:w="0" w:type="auto"/>
              <w:tblCellSpacing w:w="0" w:type="dxa"/>
              <w:tblLayout w:type="fixed"/>
              <w:tblCellMar>
                <w:left w:w="0" w:type="dxa"/>
                <w:right w:w="0" w:type="dxa"/>
              </w:tblCellMar>
              <w:tblLook w:val="04A0" w:firstRow="1" w:lastRow="0" w:firstColumn="1" w:lastColumn="0" w:noHBand="0" w:noVBand="1"/>
            </w:tblPr>
            <w:tblGrid>
              <w:gridCol w:w="1040"/>
            </w:tblGrid>
            <w:tr w:rsidR="006D2155" w:rsidRPr="00C77E77" w:rsidTr="006A5DBF">
              <w:trPr>
                <w:trHeight w:val="645"/>
                <w:tblCellSpacing w:w="0" w:type="dxa"/>
              </w:trPr>
              <w:tc>
                <w:tcPr>
                  <w:tcW w:w="1040" w:type="dxa"/>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bl>
          <w:p w:rsidR="006D2155" w:rsidRPr="00C77E77" w:rsidRDefault="006D2155" w:rsidP="006A5DBF">
            <w:pPr>
              <w:widowControl/>
              <w:spacing w:line="0" w:lineRule="atLeast"/>
              <w:rPr>
                <w:rFonts w:ascii="Times New Roman" w:eastAsia="新細明體" w:hAnsi="Times New Roman" w:cs="Times New Roman"/>
                <w:kern w:val="0"/>
                <w:sz w:val="16"/>
                <w:szCs w:val="16"/>
              </w:rPr>
            </w:pP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155" w:rsidRPr="00C77E77" w:rsidRDefault="006D2155" w:rsidP="006A5DBF">
            <w:pPr>
              <w:widowControl/>
              <w:spacing w:line="0" w:lineRule="atLeast"/>
              <w:rPr>
                <w:rFonts w:ascii="Times New Roman" w:eastAsia="新細明體" w:hAnsi="Times New Roman" w:cs="Times New Roman"/>
                <w:kern w:val="0"/>
                <w:sz w:val="16"/>
                <w:szCs w:val="16"/>
              </w:rPr>
            </w:pPr>
          </w:p>
          <w:tbl>
            <w:tblPr>
              <w:tblW w:w="0" w:type="auto"/>
              <w:tblCellSpacing w:w="0" w:type="dxa"/>
              <w:tblLayout w:type="fixed"/>
              <w:tblCellMar>
                <w:left w:w="0" w:type="dxa"/>
                <w:right w:w="0" w:type="dxa"/>
              </w:tblCellMar>
              <w:tblLook w:val="04A0" w:firstRow="1" w:lastRow="0" w:firstColumn="1" w:lastColumn="0" w:noHBand="0" w:noVBand="1"/>
            </w:tblPr>
            <w:tblGrid>
              <w:gridCol w:w="1040"/>
            </w:tblGrid>
            <w:tr w:rsidR="006D2155" w:rsidRPr="00C77E77" w:rsidTr="006A5DBF">
              <w:trPr>
                <w:trHeight w:val="645"/>
                <w:tblCellSpacing w:w="0" w:type="dxa"/>
              </w:trPr>
              <w:tc>
                <w:tcPr>
                  <w:tcW w:w="1040" w:type="dxa"/>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bl>
          <w:p w:rsidR="006D2155" w:rsidRPr="00C77E77" w:rsidRDefault="006D2155" w:rsidP="006A5DBF">
            <w:pPr>
              <w:widowControl/>
              <w:spacing w:line="0" w:lineRule="atLeast"/>
              <w:rPr>
                <w:rFonts w:ascii="Times New Roman" w:eastAsia="新細明體" w:hAnsi="Times New Roman" w:cs="Times New Roman"/>
                <w:kern w:val="0"/>
                <w:sz w:val="16"/>
                <w:szCs w:val="16"/>
              </w:rPr>
            </w:pP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貿易總值</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自臺進口</w:t>
            </w:r>
          </w:p>
        </w:tc>
        <w:tc>
          <w:tcPr>
            <w:tcW w:w="2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出口至臺</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D2155" w:rsidRPr="00C77E77" w:rsidRDefault="006D2155" w:rsidP="006A5DBF">
            <w:pPr>
              <w:widowControl/>
              <w:spacing w:line="0" w:lineRule="atLeast"/>
              <w:jc w:val="center"/>
              <w:rPr>
                <w:rFonts w:ascii="Times New Roman" w:eastAsia="微軟正黑體" w:hAnsi="Times New Roman" w:cs="Times New Roman"/>
                <w:kern w:val="0"/>
                <w:sz w:val="16"/>
                <w:szCs w:val="16"/>
              </w:rPr>
            </w:pPr>
            <w:r w:rsidRPr="00C77E77">
              <w:rPr>
                <w:rFonts w:ascii="Times New Roman" w:eastAsia="微軟正黑體" w:hAnsi="Times New Roman" w:cs="Times New Roman"/>
                <w:kern w:val="0"/>
                <w:sz w:val="16"/>
                <w:szCs w:val="16"/>
              </w:rPr>
              <w:t>出</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入</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超值</w:t>
            </w:r>
            <w:r w:rsidRPr="00C77E77">
              <w:rPr>
                <w:rFonts w:ascii="Times New Roman" w:eastAsia="微軟正黑體" w:hAnsi="Times New Roman" w:cs="Times New Roman"/>
                <w:kern w:val="0"/>
                <w:sz w:val="16"/>
                <w:szCs w:val="16"/>
              </w:rPr>
              <w:t>-</w:t>
            </w:r>
            <w:r w:rsidRPr="00C77E77">
              <w:rPr>
                <w:rFonts w:ascii="Times New Roman" w:eastAsia="微軟正黑體" w:hAnsi="Times New Roman" w:cs="Times New Roman"/>
                <w:kern w:val="0"/>
                <w:sz w:val="16"/>
                <w:szCs w:val="16"/>
              </w:rPr>
              <w:t>臺</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92.6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90.3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2,167.4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1,245.8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921.6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324.2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0.0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7.8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-7.6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1991</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66.7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61.8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2,441.5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1,207.2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1,234.3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0.0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18.5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-15.8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1992</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84.9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77.4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2,622.0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1,214.7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1,407.3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-192.5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0.9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23.6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-21.9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1993</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76.2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66.9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2,908.5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1,284.5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1,624.0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-339.5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23.6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-20.4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1994</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77.2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61.8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-46.5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3,547.3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1,433.0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2,114.3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-681.4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-11.8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30.8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-17.3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1995</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72.3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51.0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4,019.2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1,868.8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2,150.4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-281.6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14.9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-12.9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63.5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41.3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-19.2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1996</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99.2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80.0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3,839.7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1,955.3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1,884.5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70.8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53.1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-5.6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31.0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5.8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1997</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91.2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74.3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4,318.5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2,133.8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2,184.7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-50.9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93.4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55.6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85.8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25.6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1998</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44.4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3,149.9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1,048.9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2,101.0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-1,052.2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135.4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117.2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98.9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99.3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27.5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44.3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1999</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3,589.9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1,298.6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2,291.3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-992.8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155.0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148.2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141.5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137.1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106.0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31.0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75.0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0.3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4,748.6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1,733.6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3,015.0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-1,281.4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204.2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196.7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189.3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235.2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199.5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35.7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163.8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2001</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0.2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4,008.7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1,480.8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2,527.8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-1,047.0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194.1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182.9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171.8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170.9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141.8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2002</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0.1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4,065.1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1,472.5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2,592.6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-1,120.0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200.6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194.0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187.4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181.3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147.0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34.3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112.7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2003</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0.1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4,455.1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1,528.5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2,926.6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-1,398.2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212.7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208.6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204.5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-0.7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147.2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113.5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33.7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79.8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2004</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0.2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6,010.2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1,895.7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4,114.5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-2,218.7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278.2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273.5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268.7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105.9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31.6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2005</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0.1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6,901.4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2,358.5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4,542.9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-2,184.4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338.7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332.8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326.8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131.2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51.7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27.8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2006</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7,703.7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2,499.4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5,204.3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-2,704.8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466.3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458.5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450.7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39.5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-37.0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116.8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49.0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18.9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2007</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8,686.6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2,910.7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5,775.9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-2,865.2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437.9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428.7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419.5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-23.3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131.0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70.1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60.9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9.3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2008</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26.6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10,854.8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3,565.9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7,288.9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-3,723.0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423.9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414.5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405.1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162.5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93.7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68.8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24.9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2009</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0.5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29.7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8,409.8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3,226.2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5,183.6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-1,957.5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335.9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323.6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311.4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136.6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81.8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54.8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27.0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2010</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36.5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11.0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10,529.6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4,509.5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6,020.1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-1,510.6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487.2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467.6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448.0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170.8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107.3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63.5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43.8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2011</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79.5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41.8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12,264.7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4,836.5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7,428.2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-2,591.7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664.0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630.9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597.7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-9.0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207.0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132.7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74.3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58.4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2012</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37.7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12,515.0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5,190.2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7,324.8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-2,134.6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698.2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652.4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45.8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606.5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221.8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145.5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76.3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69.2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2013</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92.3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31.0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61.3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12,299.4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5,148.7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7,150.8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-2,002.1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706.0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667.1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628.2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13.1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-9.3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281.5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179.8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101.7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78.1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5"/>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2014</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487.7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25.6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462.2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-436.6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11,222.0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3,834.8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7,387.2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-3,552.4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737.7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690.5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47.2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643.3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19.5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15.8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-12.2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328.6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225.0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103.6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121.5 </w:t>
            </w:r>
          </w:p>
        </w:tc>
      </w:tr>
      <w:tr w:rsidR="006A5DBF" w:rsidRPr="00C77E77" w:rsidTr="006A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widowControl/>
              <w:spacing w:line="0" w:lineRule="atLeast"/>
              <w:jc w:val="center"/>
              <w:rPr>
                <w:rFonts w:ascii="Times New Roman" w:eastAsia="新細明體" w:hAnsi="Times New Roman" w:cs="Times New Roman"/>
                <w:kern w:val="0"/>
                <w:sz w:val="16"/>
                <w:szCs w:val="16"/>
              </w:rPr>
            </w:pPr>
            <w:r w:rsidRPr="00C77E77">
              <w:rPr>
                <w:rFonts w:ascii="Times New Roman" w:eastAsia="新細明體" w:hAnsi="Times New Roman" w:cs="Times New Roman"/>
                <w:kern w:val="0"/>
                <w:sz w:val="16"/>
                <w:szCs w:val="16"/>
              </w:rPr>
              <w:t>2015</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372.6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23.8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348.8 </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-324.9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8,967.4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3,038.3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5,929.1 </w:t>
            </w:r>
          </w:p>
        </w:tc>
        <w:tc>
          <w:tcPr>
            <w:tcW w:w="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-2,890.8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744.5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678.0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66.4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611.6 </w:t>
            </w:r>
          </w:p>
        </w:tc>
        <w:tc>
          <w:tcPr>
            <w:tcW w:w="2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17.5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3.3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14.2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-10.9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270.4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217.0 </w:t>
            </w:r>
          </w:p>
        </w:tc>
        <w:tc>
          <w:tcPr>
            <w:tcW w:w="2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53.4 </w:t>
            </w:r>
          </w:p>
        </w:tc>
        <w:tc>
          <w:tcPr>
            <w:tcW w:w="2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DBF" w:rsidRPr="00C77E77" w:rsidRDefault="006A5DBF" w:rsidP="006A5DBF">
            <w:pPr>
              <w:spacing w:line="0" w:lineRule="atLeast"/>
              <w:jc w:val="center"/>
              <w:rPr>
                <w:rFonts w:ascii="Times New Roman" w:hAnsi="Times New Roman" w:cs="Times New Roman"/>
                <w:color w:val="000000"/>
                <w:sz w:val="16"/>
                <w:szCs w:val="16"/>
              </w:rPr>
            </w:pPr>
            <w:r w:rsidRPr="00C77E77">
              <w:rPr>
                <w:rFonts w:ascii="Times New Roman" w:hAnsi="Times New Roman" w:cs="Times New Roman"/>
                <w:color w:val="000000"/>
                <w:sz w:val="16"/>
                <w:szCs w:val="16"/>
              </w:rPr>
              <w:t xml:space="preserve">163.7 </w:t>
            </w:r>
          </w:p>
        </w:tc>
      </w:tr>
    </w:tbl>
    <w:p w:rsidR="006D2155" w:rsidRPr="00C77E77" w:rsidRDefault="006D2155" w:rsidP="006D2155">
      <w:pPr>
        <w:spacing w:beforeLines="50" w:before="180" w:afterLines="50" w:after="180" w:line="360" w:lineRule="auto"/>
        <w:jc w:val="both"/>
        <w:rPr>
          <w:rFonts w:ascii="Times New Roman" w:eastAsia="標楷體" w:hAnsi="Times New Roman" w:cs="Times New Roman"/>
          <w:b/>
          <w:sz w:val="28"/>
          <w:szCs w:val="28"/>
        </w:rPr>
        <w:sectPr w:rsidR="006D2155" w:rsidRPr="00C77E77" w:rsidSect="00D70592">
          <w:pgSz w:w="16838" w:h="11906" w:orient="landscape"/>
          <w:pgMar w:top="720" w:right="720" w:bottom="720" w:left="720" w:header="851" w:footer="992" w:gutter="0"/>
          <w:cols w:space="425"/>
          <w:docGrid w:type="lines" w:linePitch="360"/>
        </w:sectPr>
      </w:pPr>
    </w:p>
    <w:p w:rsidR="006D2155" w:rsidRPr="00C77E77" w:rsidRDefault="006D2155" w:rsidP="008371A2">
      <w:pPr>
        <w:spacing w:beforeLines="50" w:before="180" w:afterLines="50" w:after="180" w:line="500" w:lineRule="exact"/>
        <w:ind w:leftChars="100" w:left="24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lastRenderedPageBreak/>
        <w:t>（二）</w:t>
      </w:r>
      <w:r w:rsidRPr="00C77E77">
        <w:rPr>
          <w:rFonts w:ascii="Times New Roman" w:eastAsia="標楷體" w:hAnsi="Times New Roman" w:cs="Times New Roman"/>
          <w:b/>
          <w:kern w:val="0"/>
          <w:sz w:val="28"/>
          <w:szCs w:val="28"/>
        </w:rPr>
        <w:t>臺灣對印度之進出口</w:t>
      </w:r>
    </w:p>
    <w:p w:rsidR="006D2155" w:rsidRPr="00C77E77" w:rsidRDefault="006D2155" w:rsidP="008371A2">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國際貨幣基金組織（</w:t>
      </w:r>
      <w:r w:rsidRPr="00C77E77">
        <w:rPr>
          <w:rFonts w:ascii="Times New Roman" w:eastAsia="標楷體" w:hAnsi="Times New Roman" w:cs="Times New Roman"/>
          <w:sz w:val="28"/>
          <w:szCs w:val="28"/>
        </w:rPr>
        <w:t>IMF</w:t>
      </w:r>
      <w:r w:rsidRPr="00C77E77">
        <w:rPr>
          <w:rFonts w:ascii="Times New Roman" w:eastAsia="標楷體" w:hAnsi="Times New Roman" w:cs="Times New Roman"/>
          <w:sz w:val="28"/>
          <w:szCs w:val="28"/>
        </w:rPr>
        <w:t>）在購買力平價（</w:t>
      </w:r>
      <w:r w:rsidRPr="00C77E77">
        <w:rPr>
          <w:rFonts w:ascii="Times New Roman" w:eastAsia="標楷體" w:hAnsi="Times New Roman" w:cs="Times New Roman"/>
          <w:sz w:val="28"/>
          <w:szCs w:val="28"/>
        </w:rPr>
        <w:t>PPP</w:t>
      </w:r>
      <w:r w:rsidRPr="00C77E77">
        <w:rPr>
          <w:rFonts w:ascii="Times New Roman" w:eastAsia="標楷體" w:hAnsi="Times New Roman" w:cs="Times New Roman"/>
          <w:sz w:val="28"/>
          <w:szCs w:val="28"/>
        </w:rPr>
        <w:t>）條件下對世界各國的經濟實力進行排名，將國民生產總值按照購買力進行調整，即考量各地物價差異，以調整生活成本後的匯率來做的評估。經</w:t>
      </w:r>
      <w:r w:rsidRPr="00C77E77">
        <w:rPr>
          <w:rFonts w:ascii="Times New Roman" w:eastAsia="標楷體" w:hAnsi="Times New Roman" w:cs="Times New Roman"/>
          <w:sz w:val="28"/>
          <w:szCs w:val="28"/>
        </w:rPr>
        <w:t>PPP</w:t>
      </w:r>
      <w:r w:rsidRPr="00C77E77">
        <w:rPr>
          <w:rFonts w:ascii="Times New Roman" w:eastAsia="標楷體" w:hAnsi="Times New Roman" w:cs="Times New Roman"/>
          <w:sz w:val="28"/>
          <w:szCs w:val="28"/>
        </w:rPr>
        <w:t>調整過後，</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年印度占據全球</w:t>
      </w:r>
      <w:r w:rsidRPr="00C77E77">
        <w:rPr>
          <w:rFonts w:ascii="Times New Roman" w:eastAsia="標楷體" w:hAnsi="Times New Roman" w:cs="Times New Roman"/>
          <w:sz w:val="28"/>
          <w:szCs w:val="28"/>
        </w:rPr>
        <w:t>GDP</w:t>
      </w:r>
      <w:r w:rsidRPr="00C77E77">
        <w:rPr>
          <w:rFonts w:ascii="Times New Roman" w:eastAsia="標楷體" w:hAnsi="Times New Roman" w:cs="Times New Roman"/>
          <w:sz w:val="28"/>
          <w:szCs w:val="28"/>
        </w:rPr>
        <w:t>的</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％，排名第三，僅次於中國大陸的</w:t>
      </w:r>
      <w:r w:rsidRPr="00C77E77">
        <w:rPr>
          <w:rFonts w:ascii="Times New Roman" w:eastAsia="標楷體" w:hAnsi="Times New Roman" w:cs="Times New Roman"/>
          <w:sz w:val="28"/>
          <w:szCs w:val="28"/>
        </w:rPr>
        <w:t>17.1</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與美國的</w:t>
      </w:r>
      <w:r w:rsidRPr="00C77E77">
        <w:rPr>
          <w:rFonts w:ascii="Times New Roman" w:eastAsia="標楷體" w:hAnsi="Times New Roman" w:cs="Times New Roman"/>
          <w:sz w:val="28"/>
          <w:szCs w:val="28"/>
        </w:rPr>
        <w:t>15.8</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，其後為日本</w:t>
      </w:r>
      <w:r w:rsidRPr="00C77E77">
        <w:rPr>
          <w:rFonts w:ascii="Times New Roman" w:eastAsia="標楷體" w:hAnsi="Times New Roman" w:cs="Times New Roman"/>
          <w:sz w:val="28"/>
          <w:szCs w:val="28"/>
        </w:rPr>
        <w:t>4.3%</w:t>
      </w:r>
      <w:r w:rsidRPr="00C77E77">
        <w:rPr>
          <w:rFonts w:ascii="Times New Roman" w:eastAsia="標楷體" w:hAnsi="Times New Roman" w:cs="Times New Roman"/>
          <w:sz w:val="28"/>
          <w:szCs w:val="28"/>
        </w:rPr>
        <w:t>及德國</w:t>
      </w:r>
      <w:r w:rsidRPr="00C77E77">
        <w:rPr>
          <w:rFonts w:ascii="Times New Roman" w:eastAsia="標楷體" w:hAnsi="Times New Roman" w:cs="Times New Roman"/>
          <w:sz w:val="28"/>
          <w:szCs w:val="28"/>
        </w:rPr>
        <w:t>3.4</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23"/>
      </w:r>
    </w:p>
    <w:p w:rsidR="006D2155" w:rsidRPr="00C77E77" w:rsidRDefault="006D2155" w:rsidP="008371A2">
      <w:pPr>
        <w:spacing w:beforeLines="50" w:before="180" w:afterLines="50" w:after="180" w:line="500" w:lineRule="exact"/>
        <w:ind w:leftChars="100" w:left="24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然而，臺灣的經濟發展雖然以出口為導向，卻長期忽視印度這個的龐大市場。下頁表</w:t>
      </w:r>
      <w:r w:rsidRPr="00C77E77">
        <w:rPr>
          <w:rFonts w:ascii="Times New Roman" w:eastAsia="標楷體" w:hAnsi="Times New Roman" w:cs="Times New Roman"/>
          <w:sz w:val="28"/>
          <w:szCs w:val="28"/>
        </w:rPr>
        <w:t>2-2-3</w:t>
      </w:r>
      <w:r w:rsidRPr="00C77E77">
        <w:rPr>
          <w:rFonts w:ascii="Times New Roman" w:eastAsia="標楷體" w:hAnsi="Times New Roman" w:cs="Times New Roman"/>
          <w:sz w:val="28"/>
          <w:szCs w:val="28"/>
        </w:rPr>
        <w:t>為</w:t>
      </w:r>
      <w:r w:rsidRPr="00C77E77">
        <w:rPr>
          <w:rFonts w:ascii="Times New Roman" w:eastAsia="標楷體" w:hAnsi="Times New Roman" w:cs="Times New Roman"/>
          <w:sz w:val="28"/>
          <w:szCs w:val="28"/>
        </w:rPr>
        <w:t>1989</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月份為止，我國對印度的進出口統計。雖然</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年臺灣與印度的貿易總額為</w:t>
      </w:r>
      <w:r w:rsidRPr="00C77E77">
        <w:rPr>
          <w:rFonts w:ascii="Times New Roman" w:eastAsia="標楷體" w:hAnsi="Times New Roman" w:cs="Times New Roman"/>
          <w:sz w:val="28"/>
          <w:szCs w:val="28"/>
        </w:rPr>
        <w:t>48.11</w:t>
      </w:r>
      <w:r w:rsidRPr="00C77E77">
        <w:rPr>
          <w:rFonts w:ascii="Times New Roman" w:eastAsia="標楷體" w:hAnsi="Times New Roman" w:cs="Times New Roman"/>
          <w:sz w:val="28"/>
          <w:szCs w:val="28"/>
        </w:rPr>
        <w:t>億美金，較</w:t>
      </w:r>
      <w:r w:rsidRPr="00C77E77">
        <w:rPr>
          <w:rFonts w:ascii="Times New Roman" w:eastAsia="標楷體" w:hAnsi="Times New Roman" w:cs="Times New Roman"/>
          <w:sz w:val="28"/>
          <w:szCs w:val="28"/>
        </w:rPr>
        <w:t>1989</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3.5</w:t>
      </w:r>
      <w:r w:rsidRPr="00C77E77">
        <w:rPr>
          <w:rFonts w:ascii="Times New Roman" w:eastAsia="標楷體" w:hAnsi="Times New Roman" w:cs="Times New Roman"/>
          <w:sz w:val="28"/>
          <w:szCs w:val="28"/>
        </w:rPr>
        <w:t>億美金有所成長，但是</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年對印度的貿易額，僅占臺灣對外貿易額的</w:t>
      </w:r>
      <w:r w:rsidRPr="00C77E77">
        <w:rPr>
          <w:rFonts w:ascii="Times New Roman" w:eastAsia="標楷體" w:hAnsi="Times New Roman" w:cs="Times New Roman"/>
          <w:sz w:val="28"/>
          <w:szCs w:val="28"/>
        </w:rPr>
        <w:t>0.95%</w:t>
      </w:r>
      <w:r w:rsidRPr="00C77E77">
        <w:rPr>
          <w:rFonts w:ascii="Times New Roman" w:eastAsia="標楷體" w:hAnsi="Times New Roman" w:cs="Times New Roman"/>
          <w:sz w:val="28"/>
          <w:szCs w:val="28"/>
        </w:rPr>
        <w:t>。甚至在</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連續兩個年度，我國與印度之進出口貿易雙雙衰退。目前印度是我第</w:t>
      </w:r>
      <w:r w:rsidRPr="00C77E77">
        <w:rPr>
          <w:rFonts w:ascii="Times New Roman" w:eastAsia="標楷體" w:hAnsi="Times New Roman" w:cs="Times New Roman"/>
          <w:sz w:val="28"/>
          <w:szCs w:val="28"/>
        </w:rPr>
        <w:t>18</w:t>
      </w:r>
      <w:r w:rsidRPr="00C77E77">
        <w:rPr>
          <w:rFonts w:ascii="Times New Roman" w:eastAsia="標楷體" w:hAnsi="Times New Roman" w:cs="Times New Roman"/>
          <w:sz w:val="28"/>
          <w:szCs w:val="28"/>
        </w:rPr>
        <w:t>大貿易夥伴，為我國第</w:t>
      </w:r>
      <w:r w:rsidRPr="00C77E77">
        <w:rPr>
          <w:rFonts w:ascii="Times New Roman" w:eastAsia="標楷體" w:hAnsi="Times New Roman" w:cs="Times New Roman"/>
          <w:sz w:val="28"/>
          <w:szCs w:val="28"/>
        </w:rPr>
        <w:t>16</w:t>
      </w:r>
      <w:r w:rsidRPr="00C77E77">
        <w:rPr>
          <w:rFonts w:ascii="Times New Roman" w:eastAsia="標楷體" w:hAnsi="Times New Roman" w:cs="Times New Roman"/>
          <w:sz w:val="28"/>
          <w:szCs w:val="28"/>
        </w:rPr>
        <w:t>大出口國、第</w:t>
      </w:r>
      <w:r w:rsidRPr="00C77E77">
        <w:rPr>
          <w:rFonts w:ascii="Times New Roman" w:eastAsia="標楷體" w:hAnsi="Times New Roman" w:cs="Times New Roman"/>
          <w:sz w:val="28"/>
          <w:szCs w:val="28"/>
        </w:rPr>
        <w:t>22</w:t>
      </w:r>
      <w:r w:rsidRPr="00C77E77">
        <w:rPr>
          <w:rFonts w:ascii="Times New Roman" w:eastAsia="標楷體" w:hAnsi="Times New Roman" w:cs="Times New Roman"/>
          <w:sz w:val="28"/>
          <w:szCs w:val="28"/>
        </w:rPr>
        <w:t>大進口來源。</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年我對印度主要出口項目以石化及電子產品為主；我自印度進口則主要以石化產品、農工原料及半成品為主。</w:t>
      </w:r>
      <w:r w:rsidRPr="00C77E77">
        <w:rPr>
          <w:rStyle w:val="a9"/>
          <w:rFonts w:ascii="Times New Roman" w:eastAsia="標楷體" w:hAnsi="Times New Roman" w:cs="Times New Roman"/>
          <w:sz w:val="28"/>
          <w:szCs w:val="28"/>
        </w:rPr>
        <w:footnoteReference w:id="24"/>
      </w:r>
    </w:p>
    <w:p w:rsidR="006D2155" w:rsidRPr="00C77E77" w:rsidRDefault="006D2155" w:rsidP="006D2155">
      <w:pPr>
        <w:spacing w:beforeLines="50" w:before="180" w:afterLines="50" w:after="180" w:line="360" w:lineRule="auto"/>
        <w:jc w:val="both"/>
        <w:rPr>
          <w:rFonts w:ascii="Times New Roman" w:eastAsia="標楷體" w:hAnsi="Times New Roman" w:cs="Times New Roman"/>
          <w:sz w:val="28"/>
          <w:szCs w:val="28"/>
        </w:rPr>
      </w:pPr>
    </w:p>
    <w:p w:rsidR="006D2155" w:rsidRPr="00C77E77" w:rsidRDefault="006D2155" w:rsidP="006D2155">
      <w:pPr>
        <w:rPr>
          <w:rFonts w:ascii="Times New Roman" w:hAnsi="Times New Roman" w:cs="Times New Roman"/>
        </w:rPr>
      </w:pPr>
      <w:r w:rsidRPr="00C77E77">
        <w:rPr>
          <w:rFonts w:ascii="Times New Roman" w:hAnsi="Times New Roman" w:cs="Times New Roman"/>
        </w:rPr>
        <w:br w:type="page"/>
      </w:r>
    </w:p>
    <w:tbl>
      <w:tblPr>
        <w:tblW w:w="55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33"/>
        <w:gridCol w:w="924"/>
        <w:gridCol w:w="924"/>
        <w:gridCol w:w="928"/>
        <w:gridCol w:w="930"/>
        <w:gridCol w:w="928"/>
        <w:gridCol w:w="930"/>
        <w:gridCol w:w="1141"/>
        <w:gridCol w:w="1139"/>
      </w:tblGrid>
      <w:tr w:rsidR="006D2155" w:rsidRPr="00C77E77" w:rsidTr="0052787D">
        <w:trPr>
          <w:trHeight w:val="165"/>
          <w:jc w:val="center"/>
        </w:trPr>
        <w:tc>
          <w:tcPr>
            <w:tcW w:w="5000" w:type="pct"/>
            <w:gridSpan w:val="9"/>
            <w:tcBorders>
              <w:top w:val="nil"/>
              <w:left w:val="nil"/>
              <w:bottom w:val="single" w:sz="4" w:space="0" w:color="auto"/>
              <w:right w:val="nil"/>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
                <w:kern w:val="0"/>
                <w:sz w:val="28"/>
                <w:szCs w:val="28"/>
              </w:rPr>
            </w:pPr>
            <w:bookmarkStart w:id="32" w:name="_Toc458184929"/>
            <w:bookmarkStart w:id="33" w:name="_Toc470676574"/>
            <w:r w:rsidRPr="00C77E77">
              <w:rPr>
                <w:rStyle w:val="afa"/>
                <w:color w:val="auto"/>
              </w:rPr>
              <w:lastRenderedPageBreak/>
              <w:t>表</w:t>
            </w:r>
            <w:r w:rsidRPr="00C77E77">
              <w:rPr>
                <w:rStyle w:val="afa"/>
                <w:color w:val="auto"/>
              </w:rPr>
              <w:t xml:space="preserve">2-2-3 </w:t>
            </w:r>
            <w:r w:rsidRPr="00C77E77">
              <w:rPr>
                <w:rStyle w:val="afa"/>
                <w:color w:val="auto"/>
              </w:rPr>
              <w:t>臺灣對印度進出口統計</w:t>
            </w:r>
            <w:bookmarkEnd w:id="32"/>
            <w:bookmarkEnd w:id="33"/>
            <w:r w:rsidRPr="00C77E77">
              <w:rPr>
                <w:rFonts w:ascii="Times New Roman" w:eastAsia="標楷體" w:hAnsi="Times New Roman" w:cs="Times New Roman"/>
                <w:b/>
                <w:kern w:val="0"/>
                <w:sz w:val="28"/>
                <w:szCs w:val="28"/>
              </w:rPr>
              <w:t xml:space="preserve">         </w:t>
            </w:r>
            <w:r w:rsidRPr="00C77E77">
              <w:rPr>
                <w:rFonts w:ascii="Times New Roman" w:eastAsia="標楷體" w:hAnsi="Times New Roman" w:cs="Times New Roman"/>
                <w:kern w:val="0"/>
                <w:sz w:val="20"/>
                <w:szCs w:val="20"/>
              </w:rPr>
              <w:t xml:space="preserve">  </w:t>
            </w:r>
            <w:r w:rsidR="00E75094" w:rsidRPr="00C77E77">
              <w:rPr>
                <w:rFonts w:ascii="Times New Roman" w:eastAsia="標楷體" w:hAnsi="Times New Roman" w:cs="Times New Roman"/>
                <w:kern w:val="0"/>
                <w:sz w:val="20"/>
                <w:szCs w:val="20"/>
              </w:rPr>
              <w:t>（</w:t>
            </w:r>
            <w:r w:rsidRPr="00C77E77">
              <w:rPr>
                <w:rFonts w:ascii="Times New Roman" w:eastAsia="標楷體" w:hAnsi="Times New Roman" w:cs="Times New Roman"/>
                <w:kern w:val="0"/>
                <w:sz w:val="20"/>
                <w:szCs w:val="20"/>
              </w:rPr>
              <w:t>單位</w:t>
            </w:r>
            <w:r w:rsidRPr="00C77E77">
              <w:rPr>
                <w:rFonts w:ascii="Times New Roman" w:eastAsia="標楷體" w:hAnsi="Times New Roman" w:cs="Times New Roman"/>
                <w:kern w:val="0"/>
                <w:sz w:val="20"/>
                <w:szCs w:val="20"/>
              </w:rPr>
              <w:t xml:space="preserve">: </w:t>
            </w:r>
            <w:r w:rsidRPr="00C77E77">
              <w:rPr>
                <w:rFonts w:ascii="Times New Roman" w:eastAsia="標楷體" w:hAnsi="Times New Roman" w:cs="Times New Roman"/>
                <w:kern w:val="0"/>
                <w:sz w:val="20"/>
                <w:szCs w:val="20"/>
              </w:rPr>
              <w:t>億美元</w:t>
            </w:r>
            <w:r w:rsidR="00E75094" w:rsidRPr="00C77E77">
              <w:rPr>
                <w:rFonts w:ascii="Times New Roman" w:eastAsia="標楷體" w:hAnsi="Times New Roman" w:cs="Times New Roman"/>
                <w:kern w:val="0"/>
                <w:sz w:val="20"/>
                <w:szCs w:val="20"/>
              </w:rPr>
              <w:t>）</w:t>
            </w:r>
          </w:p>
        </w:tc>
      </w:tr>
      <w:tr w:rsidR="006D2155" w:rsidRPr="00C77E77" w:rsidTr="0052787D">
        <w:trPr>
          <w:trHeight w:val="345"/>
          <w:jc w:val="center"/>
        </w:trPr>
        <w:tc>
          <w:tcPr>
            <w:tcW w:w="773" w:type="pct"/>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年別</w:t>
            </w:r>
          </w:p>
        </w:tc>
        <w:tc>
          <w:tcPr>
            <w:tcW w:w="996" w:type="pct"/>
            <w:gridSpan w:val="2"/>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貿易總值</w:t>
            </w:r>
          </w:p>
        </w:tc>
        <w:tc>
          <w:tcPr>
            <w:tcW w:w="1001" w:type="pct"/>
            <w:gridSpan w:val="2"/>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自臺進口</w:t>
            </w:r>
          </w:p>
        </w:tc>
        <w:tc>
          <w:tcPr>
            <w:tcW w:w="1001" w:type="pct"/>
            <w:gridSpan w:val="2"/>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出口至臺</w:t>
            </w:r>
          </w:p>
        </w:tc>
        <w:tc>
          <w:tcPr>
            <w:tcW w:w="1230" w:type="pct"/>
            <w:gridSpan w:val="2"/>
            <w:tcBorders>
              <w:top w:val="single" w:sz="4" w:space="0" w:color="auto"/>
            </w:tcBorders>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b/>
                <w:bCs/>
                <w:kern w:val="0"/>
                <w:szCs w:val="24"/>
              </w:rPr>
            </w:pPr>
            <w:r w:rsidRPr="00C77E77">
              <w:rPr>
                <w:rFonts w:ascii="Times New Roman" w:eastAsia="標楷體" w:hAnsi="Times New Roman" w:cs="Times New Roman"/>
                <w:b/>
                <w:bCs/>
                <w:kern w:val="0"/>
                <w:szCs w:val="24"/>
              </w:rPr>
              <w:t>出</w:t>
            </w:r>
            <w:r w:rsidRPr="00C77E77">
              <w:rPr>
                <w:rFonts w:ascii="Times New Roman" w:eastAsia="標楷體" w:hAnsi="Times New Roman" w:cs="Times New Roman"/>
                <w:b/>
                <w:bCs/>
                <w:kern w:val="0"/>
                <w:szCs w:val="24"/>
              </w:rPr>
              <w:t>(</w:t>
            </w:r>
            <w:r w:rsidRPr="00C77E77">
              <w:rPr>
                <w:rFonts w:ascii="Times New Roman" w:eastAsia="標楷體" w:hAnsi="Times New Roman" w:cs="Times New Roman"/>
                <w:b/>
                <w:bCs/>
                <w:kern w:val="0"/>
                <w:szCs w:val="24"/>
              </w:rPr>
              <w:t>入</w:t>
            </w:r>
            <w:r w:rsidRPr="00C77E77">
              <w:rPr>
                <w:rFonts w:ascii="Times New Roman" w:eastAsia="標楷體" w:hAnsi="Times New Roman" w:cs="Times New Roman"/>
                <w:b/>
                <w:bCs/>
                <w:kern w:val="0"/>
                <w:szCs w:val="24"/>
              </w:rPr>
              <w:t>)</w:t>
            </w:r>
            <w:r w:rsidRPr="00C77E77">
              <w:rPr>
                <w:rFonts w:ascii="Times New Roman" w:eastAsia="標楷體" w:hAnsi="Times New Roman" w:cs="Times New Roman"/>
                <w:b/>
                <w:bCs/>
                <w:kern w:val="0"/>
                <w:szCs w:val="24"/>
              </w:rPr>
              <w:t>超值</w:t>
            </w:r>
            <w:r w:rsidRPr="00C77E77">
              <w:rPr>
                <w:rFonts w:ascii="Times New Roman" w:eastAsia="標楷體" w:hAnsi="Times New Roman" w:cs="Times New Roman"/>
                <w:b/>
                <w:bCs/>
                <w:kern w:val="0"/>
                <w:szCs w:val="24"/>
              </w:rPr>
              <w:t>-</w:t>
            </w:r>
            <w:r w:rsidRPr="00C77E77">
              <w:rPr>
                <w:rFonts w:ascii="Times New Roman" w:eastAsia="標楷體" w:hAnsi="Times New Roman" w:cs="Times New Roman"/>
                <w:b/>
                <w:bCs/>
                <w:kern w:val="0"/>
                <w:szCs w:val="24"/>
              </w:rPr>
              <w:t>臺對印度</w:t>
            </w:r>
          </w:p>
        </w:tc>
      </w:tr>
      <w:tr w:rsidR="0052787D" w:rsidRPr="00C77E77" w:rsidTr="0052787D">
        <w:trPr>
          <w:trHeight w:val="345"/>
          <w:jc w:val="center"/>
        </w:trPr>
        <w:tc>
          <w:tcPr>
            <w:tcW w:w="773"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p>
        </w:tc>
        <w:tc>
          <w:tcPr>
            <w:tcW w:w="498"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金額</w:t>
            </w:r>
          </w:p>
        </w:tc>
        <w:tc>
          <w:tcPr>
            <w:tcW w:w="498"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增減比</w:t>
            </w:r>
          </w:p>
        </w:tc>
        <w:tc>
          <w:tcPr>
            <w:tcW w:w="500"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金額</w:t>
            </w:r>
          </w:p>
        </w:tc>
        <w:tc>
          <w:tcPr>
            <w:tcW w:w="501"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增減比</w:t>
            </w:r>
          </w:p>
        </w:tc>
        <w:tc>
          <w:tcPr>
            <w:tcW w:w="500"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金額</w:t>
            </w:r>
          </w:p>
        </w:tc>
        <w:tc>
          <w:tcPr>
            <w:tcW w:w="500"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增減比</w:t>
            </w:r>
          </w:p>
        </w:tc>
        <w:tc>
          <w:tcPr>
            <w:tcW w:w="615"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金額</w:t>
            </w:r>
          </w:p>
        </w:tc>
        <w:tc>
          <w:tcPr>
            <w:tcW w:w="615"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增減比</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1990</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4.44</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26.97%</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2.29</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6.98%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2.15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58.58%</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0.14</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-81.68%</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1991</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3.99</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-10.04%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1.58</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-30.84%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2.41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12.17%</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-0.82</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-670.69%</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1992</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3.92</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-1.89%</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1.73</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9.40%</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2.18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-9.32%</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-0.45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-45.34%</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1993</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5.30</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35.32%</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2.12</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22.26%</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3.18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45.68%</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-1.06</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135.83%</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1994</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7.56</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42.68%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3.45</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62.74%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4.11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29.32%</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-0.66</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-37.37%</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1995</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9.35</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23.60%</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5.21</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51.05%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4.14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0.59%</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1.07</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-261.13%</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1996</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9.31</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-0.35%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4.63</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-11.11%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4.68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13.19%</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-0.05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-104.98%</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1997</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12.12</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30.09%</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5.49</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18.64%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6.62</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41.40%</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-1.13</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2015.05%</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1998</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9.87</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-18.54%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5.26</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-4.25%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4.61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-30.39%</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0.65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-157.55%</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1999</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9.84</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-0.31%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5.94</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12.94%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3.90</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-15.42%</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2.04</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214.14%</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2000</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12.31</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25.12%</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7.18</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20.83%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5.13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31.65%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2.05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0.17%</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2001</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11.30</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-8.21%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6.35</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-11.51%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4.95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-3.59%</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1.40</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-31.40%</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2002</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12.07</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6.78%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6.54</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2.98%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5.53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11.67%</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1.02</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-27.65%</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2003</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14.01</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16.11%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7.76</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18.61%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6.25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13.15%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1.51</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48.31%</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2004</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19.45</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38.81%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10.82</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39.49%</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8.63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37.96%</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2.20</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45.82%</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2005</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24.42</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25.57%</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15.83</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46.25%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8.60</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-0.37%</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7.23</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229.48%</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2006</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27.16</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11.21%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14.71</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-7.06%</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12.45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44.87%</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2.26</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-68.78%</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2007</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48.79</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79.63%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23.42</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59.20%</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25.37</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103.75%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-1.95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-186.48%</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2008</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53.40</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9.45%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30.07</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28.40%</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23.33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-8.04%</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6.74</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-445.10%</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2009</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41.55</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-22.20%</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25.31</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-15.82%</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16.23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-30.43%</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9.08</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34.78%</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2010</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64.66</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55.63%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36.28</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43.33%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28.37</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74.81%</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7.91</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-12.92%</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2011</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75.64</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16.98%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44.27</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22.02%</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31.36</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10.54%</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12.91</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63.21%</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2012</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60.08</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-20.57%</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33.85</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-23.55%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26.24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-16.35%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7.61</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-41.06%</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2013</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61.74</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2.76%</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34.23</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1.13%</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27.51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4.87%</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6.72</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-11.73%</w:t>
            </w:r>
          </w:p>
        </w:tc>
      </w:tr>
      <w:tr w:rsidR="0052787D" w:rsidRPr="00C77E77" w:rsidTr="0052787D">
        <w:trPr>
          <w:trHeight w:val="330"/>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2014</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59.11</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-4.26%</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34.26</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0.08%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24.85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-9.67%</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9.40</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40.04%</w:t>
            </w:r>
          </w:p>
        </w:tc>
      </w:tr>
      <w:tr w:rsidR="0052787D" w:rsidRPr="00C77E77" w:rsidTr="0052787D">
        <w:trPr>
          <w:trHeight w:val="345"/>
          <w:jc w:val="center"/>
        </w:trPr>
        <w:tc>
          <w:tcPr>
            <w:tcW w:w="773" w:type="pct"/>
            <w:shd w:val="clear" w:color="auto" w:fill="auto"/>
            <w:noWrap/>
            <w:vAlign w:val="center"/>
            <w:hideMark/>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2015</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48.11</w:t>
            </w:r>
          </w:p>
        </w:tc>
        <w:tc>
          <w:tcPr>
            <w:tcW w:w="498" w:type="pct"/>
            <w:shd w:val="clear" w:color="auto" w:fill="auto"/>
            <w:noWrap/>
            <w:vAlign w:val="center"/>
            <w:hideMark/>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-18.61%</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29.33</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-14.37%</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18.78</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-24.44%</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10.56</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12.24%</w:t>
            </w:r>
          </w:p>
        </w:tc>
      </w:tr>
      <w:tr w:rsidR="0052787D" w:rsidRPr="00C77E77" w:rsidTr="0052787D">
        <w:trPr>
          <w:trHeight w:val="345"/>
          <w:jc w:val="center"/>
        </w:trPr>
        <w:tc>
          <w:tcPr>
            <w:tcW w:w="773" w:type="pct"/>
            <w:shd w:val="clear" w:color="auto" w:fill="auto"/>
            <w:noWrap/>
            <w:vAlign w:val="center"/>
          </w:tcPr>
          <w:p w:rsidR="00035D1D" w:rsidRPr="00C77E77" w:rsidRDefault="00035D1D" w:rsidP="00035D1D">
            <w:pPr>
              <w:widowControl/>
              <w:jc w:val="center"/>
              <w:rPr>
                <w:rFonts w:ascii="Times New Roman" w:eastAsia="標楷體" w:hAnsi="Times New Roman" w:cs="Times New Roman"/>
                <w:kern w:val="0"/>
                <w:szCs w:val="24"/>
              </w:rPr>
            </w:pPr>
            <w:r w:rsidRPr="00C77E77">
              <w:rPr>
                <w:rFonts w:ascii="Times New Roman" w:eastAsia="標楷體" w:hAnsi="Times New Roman" w:cs="Times New Roman"/>
                <w:kern w:val="0"/>
                <w:szCs w:val="24"/>
              </w:rPr>
              <w:t>2016</w:t>
            </w:r>
            <w:r w:rsidR="0052787D" w:rsidRPr="00C77E77">
              <w:rPr>
                <w:rFonts w:ascii="Times New Roman" w:eastAsia="標楷體" w:hAnsi="Times New Roman" w:cs="Times New Roman"/>
                <w:kern w:val="0"/>
                <w:szCs w:val="24"/>
              </w:rPr>
              <w:t>(1-8</w:t>
            </w:r>
            <w:r w:rsidR="0052787D" w:rsidRPr="00C77E77">
              <w:rPr>
                <w:rFonts w:ascii="Times New Roman" w:eastAsia="標楷體" w:hAnsi="Times New Roman" w:cs="Times New Roman"/>
                <w:kern w:val="0"/>
                <w:szCs w:val="24"/>
              </w:rPr>
              <w:t>月</w:t>
            </w:r>
            <w:r w:rsidR="0052787D" w:rsidRPr="00C77E77">
              <w:rPr>
                <w:rFonts w:ascii="Times New Roman" w:eastAsia="標楷體" w:hAnsi="Times New Roman" w:cs="Times New Roman"/>
                <w:kern w:val="0"/>
                <w:szCs w:val="24"/>
              </w:rPr>
              <w:t>)</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30.85</w:t>
            </w:r>
          </w:p>
        </w:tc>
        <w:tc>
          <w:tcPr>
            <w:tcW w:w="498"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-8.84%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18.91</w:t>
            </w:r>
          </w:p>
        </w:tc>
        <w:tc>
          <w:tcPr>
            <w:tcW w:w="501"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-6.55%</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11.94</w:t>
            </w:r>
          </w:p>
        </w:tc>
        <w:tc>
          <w:tcPr>
            <w:tcW w:w="500"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-12.25%</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6.98</w:t>
            </w:r>
          </w:p>
        </w:tc>
        <w:tc>
          <w:tcPr>
            <w:tcW w:w="615" w:type="pct"/>
            <w:shd w:val="clear" w:color="auto" w:fill="auto"/>
            <w:noWrap/>
            <w:vAlign w:val="center"/>
          </w:tcPr>
          <w:p w:rsidR="00035D1D" w:rsidRPr="00C77E77" w:rsidRDefault="00035D1D" w:rsidP="00035D1D">
            <w:pPr>
              <w:jc w:val="right"/>
              <w:rPr>
                <w:rFonts w:ascii="Times New Roman" w:hAnsi="Times New Roman" w:cs="Times New Roman"/>
              </w:rPr>
            </w:pPr>
            <w:r w:rsidRPr="00C77E77">
              <w:rPr>
                <w:rFonts w:ascii="Times New Roman" w:hAnsi="Times New Roman" w:cs="Times New Roman"/>
              </w:rPr>
              <w:t>5.13%</w:t>
            </w:r>
          </w:p>
        </w:tc>
      </w:tr>
      <w:tr w:rsidR="006D2155" w:rsidRPr="00C77E77" w:rsidTr="0052787D">
        <w:trPr>
          <w:trHeight w:val="330"/>
          <w:jc w:val="center"/>
        </w:trPr>
        <w:tc>
          <w:tcPr>
            <w:tcW w:w="5000" w:type="pct"/>
            <w:gridSpan w:val="9"/>
            <w:tcBorders>
              <w:top w:val="single" w:sz="4" w:space="0" w:color="auto"/>
              <w:left w:val="nil"/>
              <w:bottom w:val="nil"/>
              <w:right w:val="nil"/>
            </w:tcBorders>
            <w:shd w:val="clear" w:color="auto" w:fill="auto"/>
            <w:noWrap/>
            <w:vAlign w:val="center"/>
            <w:hideMark/>
          </w:tcPr>
          <w:p w:rsidR="006D2155" w:rsidRPr="00C77E77" w:rsidRDefault="006D2155" w:rsidP="006D2155">
            <w:pPr>
              <w:widowControl/>
              <w:jc w:val="both"/>
              <w:rPr>
                <w:rFonts w:ascii="Times New Roman" w:eastAsia="標楷體" w:hAnsi="Times New Roman" w:cs="Times New Roman"/>
                <w:kern w:val="0"/>
                <w:sz w:val="20"/>
                <w:szCs w:val="20"/>
              </w:rPr>
            </w:pPr>
            <w:r w:rsidRPr="00C77E77">
              <w:rPr>
                <w:rFonts w:ascii="Times New Roman" w:eastAsia="標楷體" w:hAnsi="Times New Roman" w:cs="Times New Roman"/>
                <w:kern w:val="0"/>
                <w:sz w:val="20"/>
                <w:szCs w:val="20"/>
              </w:rPr>
              <w:t>資料來源</w:t>
            </w:r>
            <w:r w:rsidRPr="00C77E77">
              <w:rPr>
                <w:rFonts w:ascii="Times New Roman" w:eastAsia="標楷體" w:hAnsi="Times New Roman" w:cs="Times New Roman"/>
                <w:kern w:val="0"/>
                <w:sz w:val="20"/>
                <w:szCs w:val="20"/>
              </w:rPr>
              <w:t xml:space="preserve">: </w:t>
            </w:r>
            <w:r w:rsidRPr="00C77E77">
              <w:rPr>
                <w:rFonts w:ascii="Times New Roman" w:eastAsia="標楷體" w:hAnsi="Times New Roman" w:cs="Times New Roman"/>
                <w:kern w:val="0"/>
                <w:sz w:val="20"/>
                <w:szCs w:val="20"/>
              </w:rPr>
              <w:t>經濟部國貿局中華民國進出口貿易統計</w:t>
            </w:r>
          </w:p>
        </w:tc>
      </w:tr>
    </w:tbl>
    <w:p w:rsidR="006D2155" w:rsidRPr="00C77E77" w:rsidRDefault="006D2155" w:rsidP="006D2155">
      <w:pPr>
        <w:spacing w:beforeLines="50" w:before="180" w:afterLines="50" w:after="180" w:line="360" w:lineRule="auto"/>
        <w:jc w:val="both"/>
        <w:rPr>
          <w:rFonts w:ascii="Times New Roman" w:eastAsia="標楷體" w:hAnsi="Times New Roman" w:cs="Times New Roman"/>
          <w:sz w:val="28"/>
          <w:szCs w:val="28"/>
        </w:rPr>
      </w:pPr>
    </w:p>
    <w:p w:rsidR="0052787D" w:rsidRPr="00C77E77" w:rsidRDefault="0052787D" w:rsidP="006D2155">
      <w:pPr>
        <w:spacing w:beforeLines="50" w:before="180" w:afterLines="50" w:after="180" w:line="360" w:lineRule="auto"/>
        <w:jc w:val="both"/>
        <w:rPr>
          <w:rFonts w:ascii="Times New Roman" w:eastAsia="標楷體" w:hAnsi="Times New Roman" w:cs="Times New Roman"/>
          <w:sz w:val="28"/>
          <w:szCs w:val="28"/>
        </w:rPr>
      </w:pPr>
    </w:p>
    <w:p w:rsidR="006D2155" w:rsidRPr="00C77E77" w:rsidRDefault="006D2155" w:rsidP="006D2155">
      <w:pPr>
        <w:spacing w:beforeLines="50" w:before="180" w:afterLines="50" w:after="180" w:line="360" w:lineRule="auto"/>
        <w:jc w:val="both"/>
        <w:rPr>
          <w:rFonts w:ascii="Times New Roman" w:eastAsia="標楷體" w:hAnsi="Times New Roman" w:cs="Times New Roman"/>
          <w:sz w:val="28"/>
          <w:szCs w:val="28"/>
        </w:rPr>
      </w:pPr>
    </w:p>
    <w:p w:rsidR="006D2155" w:rsidRPr="00C77E77" w:rsidRDefault="006D2155" w:rsidP="008371A2">
      <w:pPr>
        <w:spacing w:beforeLines="50" w:before="180" w:afterLines="50" w:after="180" w:line="500" w:lineRule="exact"/>
        <w:ind w:leftChars="100" w:left="24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下表</w:t>
      </w:r>
      <w:r w:rsidRPr="00C77E77">
        <w:rPr>
          <w:rFonts w:ascii="Times New Roman" w:eastAsia="標楷體" w:hAnsi="Times New Roman" w:cs="Times New Roman"/>
          <w:sz w:val="28"/>
          <w:szCs w:val="28"/>
        </w:rPr>
        <w:t>2-2-1</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2-2-3</w:t>
      </w:r>
      <w:r w:rsidRPr="00C77E77">
        <w:rPr>
          <w:rFonts w:ascii="Times New Roman" w:eastAsia="標楷體" w:hAnsi="Times New Roman" w:cs="Times New Roman"/>
          <w:sz w:val="28"/>
          <w:szCs w:val="28"/>
        </w:rPr>
        <w:t>，為</w:t>
      </w:r>
      <w:r w:rsidRPr="00C77E77">
        <w:rPr>
          <w:rFonts w:ascii="Times New Roman" w:eastAsia="標楷體" w:hAnsi="Times New Roman" w:cs="Times New Roman"/>
          <w:sz w:val="28"/>
          <w:szCs w:val="28"/>
        </w:rPr>
        <w:t>1989</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年間，我國對印度的貿易總值、進出口金額、出入超金額趨勢圖。</w:t>
      </w:r>
    </w:p>
    <w:p w:rsidR="006D2155" w:rsidRPr="00C77E77" w:rsidRDefault="006D2155" w:rsidP="006D2155">
      <w:pPr>
        <w:rPr>
          <w:rFonts w:ascii="Times New Roman" w:hAnsi="Times New Roman" w:cs="Times New Roman"/>
        </w:rPr>
      </w:pPr>
      <w:r w:rsidRPr="00C77E77">
        <w:rPr>
          <w:rFonts w:ascii="Times New Roman" w:hAnsi="Times New Roman" w:cs="Times New Roman"/>
          <w:noProof/>
        </w:rPr>
        <w:drawing>
          <wp:inline distT="0" distB="0" distL="0" distR="0" wp14:anchorId="5F36DAC1" wp14:editId="56730B95">
            <wp:extent cx="5600700" cy="3000375"/>
            <wp:effectExtent l="0" t="0" r="0" b="9525"/>
            <wp:docPr id="1" name="圖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D2155" w:rsidRPr="00C77E77" w:rsidRDefault="006D2155" w:rsidP="006D2155">
      <w:pPr>
        <w:jc w:val="center"/>
        <w:rPr>
          <w:rFonts w:ascii="Times New Roman" w:eastAsia="標楷體" w:hAnsi="Times New Roman" w:cs="Times New Roman"/>
          <w:sz w:val="28"/>
          <w:szCs w:val="28"/>
        </w:rPr>
      </w:pPr>
      <w:bookmarkStart w:id="34" w:name="_Toc458185142"/>
      <w:bookmarkStart w:id="35" w:name="_Toc470676628"/>
      <w:r w:rsidRPr="00C77E77">
        <w:rPr>
          <w:rStyle w:val="af8"/>
        </w:rPr>
        <w:t>圖</w:t>
      </w:r>
      <w:r w:rsidRPr="00C77E77">
        <w:rPr>
          <w:rStyle w:val="af8"/>
        </w:rPr>
        <w:t xml:space="preserve">2-2-1 </w:t>
      </w:r>
      <w:r w:rsidRPr="00C77E77">
        <w:rPr>
          <w:rStyle w:val="af8"/>
        </w:rPr>
        <w:t>臺灣與印度貿易總值</w:t>
      </w:r>
      <w:bookmarkEnd w:id="34"/>
      <w:bookmarkEnd w:id="35"/>
      <w:r w:rsidRPr="00C77E77">
        <w:rPr>
          <w:rFonts w:ascii="Times New Roman" w:eastAsia="標楷體" w:hAnsi="Times New Roman" w:cs="Times New Roman"/>
          <w:b/>
          <w:bCs/>
          <w:sz w:val="28"/>
          <w:szCs w:val="28"/>
        </w:rPr>
        <w:t>（單位：美元）</w:t>
      </w:r>
    </w:p>
    <w:p w:rsidR="006D2155" w:rsidRPr="00C77E77" w:rsidRDefault="006D2155" w:rsidP="006D2155">
      <w:pPr>
        <w:jc w:val="center"/>
        <w:rPr>
          <w:rFonts w:ascii="Times New Roman" w:eastAsia="標楷體" w:hAnsi="Times New Roman" w:cs="Times New Roman"/>
        </w:rPr>
      </w:pPr>
      <w:r w:rsidRPr="00C77E77">
        <w:rPr>
          <w:rFonts w:ascii="Times New Roman" w:eastAsia="標楷體" w:hAnsi="Times New Roman" w:cs="Times New Roman"/>
        </w:rPr>
        <w:t>資料來源：本研究整理</w:t>
      </w:r>
      <w:r w:rsidR="000C1684" w:rsidRPr="00C77E77">
        <w:rPr>
          <w:rFonts w:ascii="Times New Roman" w:eastAsia="標楷體" w:hAnsi="Times New Roman" w:cs="Times New Roman"/>
        </w:rPr>
        <w:t>。</w:t>
      </w:r>
    </w:p>
    <w:p w:rsidR="006D2155" w:rsidRPr="00C77E77" w:rsidRDefault="006D2155" w:rsidP="006D2155">
      <w:pPr>
        <w:rPr>
          <w:rFonts w:ascii="Times New Roman" w:hAnsi="Times New Roman" w:cs="Times New Roman"/>
        </w:rPr>
      </w:pPr>
    </w:p>
    <w:p w:rsidR="006D2155" w:rsidRPr="00C77E77" w:rsidRDefault="006D2155" w:rsidP="006D2155">
      <w:pPr>
        <w:rPr>
          <w:rFonts w:ascii="Times New Roman" w:hAnsi="Times New Roman" w:cs="Times New Roman"/>
        </w:rPr>
      </w:pPr>
      <w:r w:rsidRPr="00C77E77">
        <w:rPr>
          <w:rFonts w:ascii="Times New Roman" w:hAnsi="Times New Roman" w:cs="Times New Roman"/>
          <w:noProof/>
        </w:rPr>
        <w:drawing>
          <wp:inline distT="0" distB="0" distL="0" distR="0" wp14:anchorId="16903B6F" wp14:editId="3644BECE">
            <wp:extent cx="5724525" cy="2857500"/>
            <wp:effectExtent l="0" t="0" r="9525" b="0"/>
            <wp:docPr id="2" name="圖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D2155" w:rsidRPr="00C77E77" w:rsidRDefault="006D2155" w:rsidP="006D2155">
      <w:pPr>
        <w:jc w:val="center"/>
        <w:rPr>
          <w:rFonts w:ascii="Times New Roman" w:eastAsia="標楷體" w:hAnsi="Times New Roman" w:cs="Times New Roman"/>
          <w:sz w:val="28"/>
          <w:szCs w:val="28"/>
        </w:rPr>
      </w:pPr>
      <w:bookmarkStart w:id="36" w:name="_Toc458185143"/>
      <w:bookmarkStart w:id="37" w:name="_Toc470676629"/>
      <w:r w:rsidRPr="00C77E77">
        <w:rPr>
          <w:rStyle w:val="af8"/>
        </w:rPr>
        <w:t>圖</w:t>
      </w:r>
      <w:r w:rsidRPr="00C77E77">
        <w:rPr>
          <w:rStyle w:val="af8"/>
        </w:rPr>
        <w:t xml:space="preserve">2-2-3 </w:t>
      </w:r>
      <w:r w:rsidRPr="00C77E77">
        <w:rPr>
          <w:rStyle w:val="af8"/>
        </w:rPr>
        <w:t>臺灣與印度進出口金額</w:t>
      </w:r>
      <w:bookmarkEnd w:id="36"/>
      <w:bookmarkEnd w:id="37"/>
      <w:r w:rsidRPr="00C77E77">
        <w:rPr>
          <w:rFonts w:ascii="Times New Roman" w:eastAsia="標楷體" w:hAnsi="Times New Roman" w:cs="Times New Roman"/>
          <w:b/>
          <w:bCs/>
          <w:sz w:val="28"/>
          <w:szCs w:val="28"/>
        </w:rPr>
        <w:t>（單位：美元</w:t>
      </w:r>
      <w:r w:rsidRPr="00C77E77">
        <w:rPr>
          <w:rFonts w:ascii="Times New Roman" w:eastAsia="標楷體" w:hAnsi="Times New Roman" w:cs="Times New Roman"/>
          <w:sz w:val="28"/>
          <w:szCs w:val="28"/>
        </w:rPr>
        <w:t>）</w:t>
      </w:r>
    </w:p>
    <w:p w:rsidR="006D2155" w:rsidRPr="00C77E77" w:rsidRDefault="006D2155" w:rsidP="006D2155">
      <w:pPr>
        <w:jc w:val="center"/>
        <w:rPr>
          <w:rFonts w:ascii="Times New Roman" w:eastAsia="標楷體" w:hAnsi="Times New Roman" w:cs="Times New Roman"/>
        </w:rPr>
      </w:pPr>
      <w:r w:rsidRPr="00C77E77">
        <w:rPr>
          <w:rFonts w:ascii="Times New Roman" w:eastAsia="標楷體" w:hAnsi="Times New Roman" w:cs="Times New Roman"/>
        </w:rPr>
        <w:t>資料來源：本研究整理</w:t>
      </w:r>
      <w:r w:rsidR="000C1684" w:rsidRPr="00C77E77">
        <w:rPr>
          <w:rFonts w:ascii="Times New Roman" w:eastAsia="標楷體" w:hAnsi="Times New Roman" w:cs="Times New Roman"/>
        </w:rPr>
        <w:t>。</w:t>
      </w:r>
    </w:p>
    <w:p w:rsidR="006D2155" w:rsidRPr="00C77E77" w:rsidRDefault="006D2155" w:rsidP="006D2155">
      <w:pPr>
        <w:rPr>
          <w:rFonts w:ascii="Times New Roman" w:hAnsi="Times New Roman" w:cs="Times New Roman"/>
        </w:rPr>
      </w:pPr>
    </w:p>
    <w:p w:rsidR="006D2155" w:rsidRPr="00C77E77" w:rsidRDefault="006D2155" w:rsidP="006D2155">
      <w:pPr>
        <w:rPr>
          <w:rFonts w:ascii="Times New Roman" w:hAnsi="Times New Roman" w:cs="Times New Roman"/>
        </w:rPr>
      </w:pPr>
    </w:p>
    <w:p w:rsidR="006D2155" w:rsidRPr="00C77E77" w:rsidRDefault="006D2155" w:rsidP="006D2155">
      <w:pPr>
        <w:rPr>
          <w:rFonts w:ascii="Times New Roman" w:hAnsi="Times New Roman" w:cs="Times New Roman"/>
        </w:rPr>
      </w:pPr>
      <w:r w:rsidRPr="00C77E77">
        <w:rPr>
          <w:rFonts w:ascii="Times New Roman" w:hAnsi="Times New Roman" w:cs="Times New Roman"/>
          <w:noProof/>
        </w:rPr>
        <w:drawing>
          <wp:inline distT="0" distB="0" distL="0" distR="0" wp14:anchorId="0658C87F" wp14:editId="17105395">
            <wp:extent cx="5648325" cy="3075940"/>
            <wp:effectExtent l="0" t="0" r="9525" b="10160"/>
            <wp:docPr id="3" name="圖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D2155" w:rsidRPr="00C77E77" w:rsidRDefault="006D2155" w:rsidP="006D2155">
      <w:pPr>
        <w:jc w:val="center"/>
        <w:rPr>
          <w:rFonts w:ascii="Times New Roman" w:eastAsia="標楷體" w:hAnsi="Times New Roman" w:cs="Times New Roman"/>
          <w:sz w:val="28"/>
          <w:szCs w:val="28"/>
        </w:rPr>
      </w:pPr>
      <w:bookmarkStart w:id="38" w:name="_Toc458185144"/>
      <w:bookmarkStart w:id="39" w:name="_Toc470676630"/>
      <w:r w:rsidRPr="00C77E77">
        <w:rPr>
          <w:rStyle w:val="af8"/>
        </w:rPr>
        <w:t>表</w:t>
      </w:r>
      <w:r w:rsidRPr="00C77E77">
        <w:rPr>
          <w:rStyle w:val="af8"/>
        </w:rPr>
        <w:t xml:space="preserve">2-2-3 </w:t>
      </w:r>
      <w:r w:rsidRPr="00C77E77">
        <w:rPr>
          <w:rStyle w:val="af8"/>
        </w:rPr>
        <w:t>臺灣對印度出（入）超金額</w:t>
      </w:r>
      <w:bookmarkEnd w:id="38"/>
      <w:bookmarkEnd w:id="39"/>
      <w:r w:rsidRPr="00C77E77">
        <w:rPr>
          <w:rFonts w:ascii="Times New Roman" w:eastAsia="標楷體" w:hAnsi="Times New Roman" w:cs="Times New Roman"/>
          <w:b/>
          <w:bCs/>
          <w:sz w:val="28"/>
          <w:szCs w:val="28"/>
        </w:rPr>
        <w:t>（單位：美元</w:t>
      </w:r>
      <w:r w:rsidRPr="00C77E77">
        <w:rPr>
          <w:rFonts w:ascii="Times New Roman" w:eastAsia="標楷體" w:hAnsi="Times New Roman" w:cs="Times New Roman"/>
          <w:sz w:val="28"/>
          <w:szCs w:val="28"/>
        </w:rPr>
        <w:t>）</w:t>
      </w:r>
    </w:p>
    <w:p w:rsidR="006D2155" w:rsidRPr="00C77E77" w:rsidRDefault="006D2155" w:rsidP="006D2155">
      <w:pPr>
        <w:jc w:val="center"/>
        <w:rPr>
          <w:rFonts w:ascii="Times New Roman" w:eastAsia="標楷體" w:hAnsi="Times New Roman" w:cs="Times New Roman"/>
        </w:rPr>
      </w:pPr>
      <w:r w:rsidRPr="00C77E77">
        <w:rPr>
          <w:rFonts w:ascii="Times New Roman" w:eastAsia="標楷體" w:hAnsi="Times New Roman" w:cs="Times New Roman"/>
        </w:rPr>
        <w:t>資料來源：本研究整理</w:t>
      </w:r>
      <w:r w:rsidR="000C1684" w:rsidRPr="00C77E77">
        <w:rPr>
          <w:rFonts w:ascii="Times New Roman" w:eastAsia="標楷體" w:hAnsi="Times New Roman" w:cs="Times New Roman"/>
        </w:rPr>
        <w:t>。</w:t>
      </w:r>
    </w:p>
    <w:p w:rsidR="006D2155" w:rsidRPr="00C77E77" w:rsidRDefault="006D2155" w:rsidP="006D2155">
      <w:pPr>
        <w:widowControl/>
        <w:rPr>
          <w:rFonts w:ascii="Times New Roman" w:hAnsi="Times New Roman" w:cs="Times New Roman"/>
        </w:rPr>
      </w:pPr>
    </w:p>
    <w:p w:rsidR="006D2155" w:rsidRPr="00C77E77" w:rsidRDefault="006D2155" w:rsidP="00764ED7">
      <w:pPr>
        <w:pStyle w:val="ab"/>
        <w:numPr>
          <w:ilvl w:val="0"/>
          <w:numId w:val="11"/>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我國對東南亞及印度之投資情況</w:t>
      </w:r>
    </w:p>
    <w:p w:rsidR="006D2155" w:rsidRPr="00C77E77" w:rsidRDefault="006D2155" w:rsidP="006D2155">
      <w:pPr>
        <w:pStyle w:val="ab"/>
        <w:spacing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在臺商投資亞洲個別國家方面，根據經濟部投資業務處統計，截至</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日為止，以投資中國大陸最多；在東南亞國家方面，依序為：新加坡（排名第二）、越南（第三）、泰國（第五）、馬來西亞（第六）、菲律賓（第七）、印尼（第九）。另外，目前臺商對印度的投資占我國累計對亞洲個別國家投資的第十名，超過柬埔寨（第十一）、緬甸（第十二）、寮國（第十三）、汶萊（第十四）。相關數據如表</w:t>
      </w:r>
      <w:r w:rsidRPr="00C77E77">
        <w:rPr>
          <w:rFonts w:ascii="Times New Roman" w:eastAsia="標楷體" w:hAnsi="Times New Roman" w:cs="Times New Roman"/>
          <w:sz w:val="28"/>
          <w:szCs w:val="28"/>
        </w:rPr>
        <w:t>2-2-4</w:t>
      </w:r>
      <w:r w:rsidRPr="00C77E77">
        <w:rPr>
          <w:rFonts w:ascii="Times New Roman" w:eastAsia="標楷體" w:hAnsi="Times New Roman" w:cs="Times New Roman"/>
          <w:sz w:val="28"/>
          <w:szCs w:val="28"/>
        </w:rPr>
        <w:t>。</w:t>
      </w:r>
    </w:p>
    <w:p w:rsidR="006D2155" w:rsidRPr="00C77E77" w:rsidRDefault="006D2155" w:rsidP="006D2155">
      <w:pPr>
        <w:pStyle w:val="ab"/>
        <w:spacing w:line="360" w:lineRule="auto"/>
        <w:ind w:leftChars="100" w:left="240" w:firstLine="480"/>
        <w:jc w:val="both"/>
        <w:rPr>
          <w:rFonts w:ascii="Times New Roman" w:eastAsia="標楷體" w:hAnsi="Times New Roman" w:cs="Times New Roman"/>
          <w:sz w:val="28"/>
          <w:szCs w:val="28"/>
        </w:rPr>
      </w:pPr>
    </w:p>
    <w:p w:rsidR="006D2155" w:rsidRPr="00C77E77" w:rsidRDefault="006D2155" w:rsidP="006D2155">
      <w:pPr>
        <w:pStyle w:val="ab"/>
        <w:spacing w:line="360" w:lineRule="auto"/>
        <w:ind w:leftChars="100" w:left="240" w:firstLine="480"/>
        <w:jc w:val="both"/>
        <w:rPr>
          <w:rFonts w:ascii="Times New Roman" w:eastAsia="標楷體" w:hAnsi="Times New Roman" w:cs="Times New Roman"/>
          <w:sz w:val="28"/>
          <w:szCs w:val="28"/>
        </w:rPr>
      </w:pPr>
    </w:p>
    <w:p w:rsidR="006D2155" w:rsidRPr="00C77E77" w:rsidRDefault="006D2155" w:rsidP="006D2155">
      <w:pPr>
        <w:pStyle w:val="ab"/>
        <w:spacing w:line="360" w:lineRule="auto"/>
        <w:ind w:leftChars="100" w:left="240" w:firstLine="480"/>
        <w:jc w:val="both"/>
        <w:rPr>
          <w:rFonts w:ascii="Times New Roman" w:eastAsia="標楷體" w:hAnsi="Times New Roman" w:cs="Times New Roman"/>
          <w:sz w:val="28"/>
          <w:szCs w:val="28"/>
        </w:rPr>
      </w:pPr>
    </w:p>
    <w:p w:rsidR="006D2155" w:rsidRPr="00C77E77" w:rsidRDefault="006D2155" w:rsidP="006D2155">
      <w:pPr>
        <w:pStyle w:val="ab"/>
        <w:spacing w:line="360" w:lineRule="auto"/>
        <w:ind w:leftChars="100" w:left="240" w:firstLine="480"/>
        <w:jc w:val="both"/>
        <w:rPr>
          <w:rFonts w:ascii="Times New Roman" w:eastAsia="標楷體" w:hAnsi="Times New Roman" w:cs="Times New Roman"/>
          <w:sz w:val="28"/>
          <w:szCs w:val="28"/>
        </w:rPr>
      </w:pPr>
    </w:p>
    <w:p w:rsidR="006D2155" w:rsidRPr="00C77E77" w:rsidRDefault="006D2155" w:rsidP="006D2155">
      <w:pPr>
        <w:pStyle w:val="ab"/>
        <w:spacing w:line="360" w:lineRule="auto"/>
        <w:ind w:leftChars="100" w:left="240" w:firstLine="480"/>
        <w:jc w:val="both"/>
        <w:rPr>
          <w:rFonts w:ascii="Times New Roman" w:eastAsia="標楷體" w:hAnsi="Times New Roman" w:cs="Times New Roman"/>
          <w:sz w:val="28"/>
          <w:szCs w:val="28"/>
        </w:rPr>
      </w:pPr>
    </w:p>
    <w:tbl>
      <w:tblPr>
        <w:tblStyle w:val="af4"/>
        <w:tblW w:w="8789" w:type="dxa"/>
        <w:tblLook w:val="04A0" w:firstRow="1" w:lastRow="0" w:firstColumn="1" w:lastColumn="0" w:noHBand="0" w:noVBand="1"/>
      </w:tblPr>
      <w:tblGrid>
        <w:gridCol w:w="1602"/>
        <w:gridCol w:w="3360"/>
        <w:gridCol w:w="1275"/>
        <w:gridCol w:w="2552"/>
      </w:tblGrid>
      <w:tr w:rsidR="006D2155" w:rsidRPr="00C77E77" w:rsidTr="006D2155">
        <w:tc>
          <w:tcPr>
            <w:tcW w:w="8789" w:type="dxa"/>
            <w:gridSpan w:val="4"/>
            <w:tcBorders>
              <w:top w:val="nil"/>
              <w:left w:val="nil"/>
              <w:bottom w:val="single" w:sz="4" w:space="0" w:color="auto"/>
              <w:right w:val="nil"/>
            </w:tcBorders>
          </w:tcPr>
          <w:p w:rsidR="006D2155" w:rsidRPr="00C77E77" w:rsidRDefault="006D2155" w:rsidP="006D2155">
            <w:pPr>
              <w:pStyle w:val="af9"/>
            </w:pPr>
            <w:r w:rsidRPr="00C77E77">
              <w:lastRenderedPageBreak/>
              <w:br w:type="page"/>
            </w:r>
            <w:bookmarkStart w:id="40" w:name="_Toc457546448"/>
          </w:p>
          <w:p w:rsidR="006D2155" w:rsidRPr="00C77E77" w:rsidRDefault="006D2155" w:rsidP="006D2155">
            <w:pPr>
              <w:pStyle w:val="af9"/>
            </w:pPr>
            <w:bookmarkStart w:id="41" w:name="_Toc458184930"/>
            <w:bookmarkStart w:id="42" w:name="_Toc470676575"/>
            <w:r w:rsidRPr="00C77E77">
              <w:t>表</w:t>
            </w:r>
            <w:r w:rsidRPr="00C77E77">
              <w:t xml:space="preserve">2-2-4 </w:t>
            </w:r>
            <w:r w:rsidRPr="00C77E77">
              <w:t>臺商投資亞洲國家概況一覽表</w:t>
            </w:r>
            <w:bookmarkEnd w:id="40"/>
            <w:r w:rsidRPr="00C77E77">
              <w:t>（統計至</w:t>
            </w:r>
            <w:r w:rsidRPr="00C77E77">
              <w:t>2016</w:t>
            </w:r>
            <w:r w:rsidRPr="00C77E77">
              <w:t>年）</w:t>
            </w:r>
            <w:bookmarkEnd w:id="41"/>
            <w:bookmarkEnd w:id="42"/>
          </w:p>
        </w:tc>
      </w:tr>
      <w:tr w:rsidR="006D2155" w:rsidRPr="00C77E77" w:rsidTr="006D2155">
        <w:tc>
          <w:tcPr>
            <w:tcW w:w="1602" w:type="dxa"/>
            <w:tcBorders>
              <w:top w:val="single" w:sz="4" w:space="0" w:color="auto"/>
            </w:tcBorders>
            <w:vAlign w:val="center"/>
          </w:tcPr>
          <w:p w:rsidR="006D2155" w:rsidRPr="00C77E77" w:rsidRDefault="006D2155" w:rsidP="006D2155">
            <w:pPr>
              <w:pStyle w:val="ab"/>
              <w:spacing w:line="0" w:lineRule="atLeast"/>
              <w:ind w:leftChars="0" w:left="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投資排名</w:t>
            </w:r>
          </w:p>
        </w:tc>
        <w:tc>
          <w:tcPr>
            <w:tcW w:w="3360" w:type="dxa"/>
            <w:tcBorders>
              <w:top w:val="single" w:sz="4" w:space="0" w:color="auto"/>
            </w:tcBorders>
            <w:vAlign w:val="center"/>
          </w:tcPr>
          <w:p w:rsidR="006D2155" w:rsidRPr="00C77E77" w:rsidRDefault="006D2155" w:rsidP="006D2155">
            <w:pPr>
              <w:pStyle w:val="ab"/>
              <w:spacing w:line="0" w:lineRule="atLeast"/>
              <w:ind w:leftChars="0" w:left="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國家</w:t>
            </w:r>
          </w:p>
        </w:tc>
        <w:tc>
          <w:tcPr>
            <w:tcW w:w="1275" w:type="dxa"/>
            <w:tcBorders>
              <w:top w:val="single" w:sz="4" w:space="0" w:color="auto"/>
            </w:tcBorders>
            <w:vAlign w:val="center"/>
          </w:tcPr>
          <w:p w:rsidR="006D2155" w:rsidRPr="00C77E77" w:rsidRDefault="006D2155" w:rsidP="006D2155">
            <w:pPr>
              <w:pStyle w:val="ab"/>
              <w:spacing w:line="0" w:lineRule="atLeast"/>
              <w:ind w:leftChars="0" w:left="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件數</w:t>
            </w:r>
          </w:p>
        </w:tc>
        <w:tc>
          <w:tcPr>
            <w:tcW w:w="2552" w:type="dxa"/>
            <w:tcBorders>
              <w:top w:val="single" w:sz="4" w:space="0" w:color="auto"/>
            </w:tcBorders>
            <w:vAlign w:val="center"/>
          </w:tcPr>
          <w:p w:rsidR="006D2155" w:rsidRPr="00C77E77" w:rsidRDefault="006D2155" w:rsidP="006D2155">
            <w:pPr>
              <w:pStyle w:val="ab"/>
              <w:spacing w:line="0" w:lineRule="atLeast"/>
              <w:ind w:leftChars="0" w:left="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金額（百萬美元）</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w:t>
            </w:r>
          </w:p>
        </w:tc>
        <w:tc>
          <w:tcPr>
            <w:tcW w:w="3360" w:type="dxa"/>
          </w:tcPr>
          <w:p w:rsidR="006D2155" w:rsidRPr="00C77E77" w:rsidRDefault="006D2155" w:rsidP="006D2155">
            <w:pPr>
              <w:pStyle w:val="ab"/>
              <w:spacing w:line="0" w:lineRule="atLeast"/>
              <w:ind w:leftChars="0" w:left="0"/>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中國大陸（不含港、澳）</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41,791</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158,115</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2</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561</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11,102</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3</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524</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8,193</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4</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日本</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694</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3,883</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5</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泰國</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465</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3,008</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6</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馬來西亞</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381</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2,760</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7</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菲律賓</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199</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1,619</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8</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韓國</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207</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1,243</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9</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246</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1,214</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10</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57</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314</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11</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柬埔寨</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39</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288</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12</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緬甸</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8</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32</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13</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寮國</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4</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35</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14</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汶萊</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59</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81</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15</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孟加拉</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4</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9</w:t>
            </w:r>
          </w:p>
        </w:tc>
      </w:tr>
      <w:tr w:rsidR="006D2155" w:rsidRPr="00C77E77" w:rsidTr="006D2155">
        <w:tc>
          <w:tcPr>
            <w:tcW w:w="1602"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16</w:t>
            </w:r>
          </w:p>
        </w:tc>
        <w:tc>
          <w:tcPr>
            <w:tcW w:w="3360" w:type="dxa"/>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斯里蘭卡</w:t>
            </w:r>
          </w:p>
        </w:tc>
        <w:tc>
          <w:tcPr>
            <w:tcW w:w="1275"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0</w:t>
            </w:r>
          </w:p>
        </w:tc>
        <w:tc>
          <w:tcPr>
            <w:tcW w:w="2552" w:type="dxa"/>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0</w:t>
            </w:r>
          </w:p>
        </w:tc>
      </w:tr>
      <w:tr w:rsidR="006D2155" w:rsidRPr="00C77E77" w:rsidTr="006D2155">
        <w:tc>
          <w:tcPr>
            <w:tcW w:w="1602" w:type="dxa"/>
            <w:tcBorders>
              <w:bottom w:val="single" w:sz="4" w:space="0" w:color="auto"/>
            </w:tcBorders>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17</w:t>
            </w:r>
          </w:p>
        </w:tc>
        <w:tc>
          <w:tcPr>
            <w:tcW w:w="3360" w:type="dxa"/>
            <w:tcBorders>
              <w:bottom w:val="single" w:sz="4" w:space="0" w:color="auto"/>
            </w:tcBorders>
          </w:tcPr>
          <w:p w:rsidR="006D2155" w:rsidRPr="00C77E77" w:rsidRDefault="006D2155" w:rsidP="006D2155">
            <w:pPr>
              <w:pStyle w:val="ab"/>
              <w:spacing w:line="0" w:lineRule="atLeast"/>
              <w:ind w:leftChars="0" w:left="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尼泊爾</w:t>
            </w:r>
          </w:p>
        </w:tc>
        <w:tc>
          <w:tcPr>
            <w:tcW w:w="1275" w:type="dxa"/>
            <w:tcBorders>
              <w:bottom w:val="single" w:sz="4" w:space="0" w:color="auto"/>
            </w:tcBorders>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0</w:t>
            </w:r>
          </w:p>
        </w:tc>
        <w:tc>
          <w:tcPr>
            <w:tcW w:w="2552" w:type="dxa"/>
            <w:tcBorders>
              <w:bottom w:val="single" w:sz="4" w:space="0" w:color="auto"/>
            </w:tcBorders>
          </w:tcPr>
          <w:p w:rsidR="006D2155" w:rsidRPr="00C77E77" w:rsidRDefault="006D2155" w:rsidP="006D2155">
            <w:pPr>
              <w:pStyle w:val="ab"/>
              <w:spacing w:line="0" w:lineRule="atLeast"/>
              <w:ind w:leftChars="0" w:left="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0</w:t>
            </w:r>
          </w:p>
        </w:tc>
      </w:tr>
      <w:tr w:rsidR="006D2155" w:rsidRPr="00C77E77" w:rsidTr="006D2155">
        <w:tc>
          <w:tcPr>
            <w:tcW w:w="8789" w:type="dxa"/>
            <w:gridSpan w:val="4"/>
            <w:tcBorders>
              <w:top w:val="single" w:sz="4" w:space="0" w:color="auto"/>
              <w:left w:val="nil"/>
              <w:bottom w:val="nil"/>
              <w:right w:val="nil"/>
            </w:tcBorders>
          </w:tcPr>
          <w:p w:rsidR="006D2155" w:rsidRPr="00C77E77" w:rsidRDefault="006D2155" w:rsidP="006D2155">
            <w:pPr>
              <w:pStyle w:val="ab"/>
              <w:spacing w:line="0" w:lineRule="atLeast"/>
              <w:ind w:leftChars="0" w:left="0"/>
              <w:rPr>
                <w:rStyle w:val="aa"/>
                <w:rFonts w:ascii="Times New Roman" w:hAnsi="Times New Roman" w:cs="Times New Roman"/>
                <w:sz w:val="28"/>
                <w:szCs w:val="28"/>
                <w:u w:val="none"/>
              </w:rPr>
            </w:pPr>
            <w:r w:rsidRPr="00C77E77">
              <w:rPr>
                <w:rFonts w:ascii="Times New Roman" w:eastAsia="標楷體" w:hAnsi="Times New Roman" w:cs="Times New Roman"/>
                <w:sz w:val="28"/>
                <w:szCs w:val="28"/>
              </w:rPr>
              <w:t>資料來源：經濟部投資業務處。</w:t>
            </w:r>
          </w:p>
          <w:p w:rsidR="006D2155" w:rsidRPr="00C77E77" w:rsidRDefault="006D2155" w:rsidP="006D2155">
            <w:pPr>
              <w:pStyle w:val="ab"/>
              <w:spacing w:line="0" w:lineRule="atLeast"/>
              <w:ind w:leftChars="0" w:left="0"/>
              <w:rPr>
                <w:rFonts w:ascii="Times New Roman" w:eastAsia="標楷體" w:hAnsi="Times New Roman" w:cs="Times New Roman"/>
                <w:sz w:val="28"/>
                <w:szCs w:val="28"/>
              </w:rPr>
            </w:pPr>
          </w:p>
        </w:tc>
      </w:tr>
    </w:tbl>
    <w:p w:rsidR="006D2155" w:rsidRPr="00C77E77" w:rsidRDefault="006D2155" w:rsidP="00764ED7">
      <w:pPr>
        <w:pStyle w:val="ab"/>
        <w:numPr>
          <w:ilvl w:val="0"/>
          <w:numId w:val="12"/>
        </w:numPr>
        <w:spacing w:beforeLines="50" w:before="180" w:afterLines="50" w:after="180" w:line="500" w:lineRule="exact"/>
        <w:ind w:leftChars="100" w:left="1125"/>
        <w:jc w:val="both"/>
        <w:rPr>
          <w:rFonts w:ascii="Times New Roman" w:eastAsia="標楷體" w:hAnsi="Times New Roman" w:cs="Times New Roman"/>
          <w:b/>
          <w:kern w:val="0"/>
          <w:sz w:val="28"/>
          <w:szCs w:val="28"/>
        </w:rPr>
      </w:pPr>
      <w:r w:rsidRPr="00C77E77">
        <w:rPr>
          <w:rFonts w:ascii="Times New Roman" w:eastAsia="標楷體" w:hAnsi="Times New Roman" w:cs="Times New Roman"/>
          <w:b/>
          <w:kern w:val="0"/>
          <w:sz w:val="28"/>
          <w:szCs w:val="28"/>
        </w:rPr>
        <w:t>臺灣對東協十國之投資</w:t>
      </w:r>
    </w:p>
    <w:p w:rsidR="006D2155" w:rsidRPr="00C77E77" w:rsidRDefault="006D2155" w:rsidP="008371A2">
      <w:pPr>
        <w:widowControl/>
        <w:spacing w:beforeLines="50" w:before="180" w:afterLines="50" w:after="180" w:line="500" w:lineRule="exact"/>
        <w:ind w:leftChars="100" w:left="240" w:firstLine="480"/>
        <w:rPr>
          <w:rFonts w:ascii="Times New Roman" w:eastAsia="標楷體" w:hAnsi="Times New Roman" w:cs="Times New Roman"/>
          <w:bCs/>
          <w:color w:val="000000"/>
          <w:kern w:val="0"/>
          <w:sz w:val="28"/>
          <w:szCs w:val="28"/>
        </w:rPr>
        <w:sectPr w:rsidR="006D2155" w:rsidRPr="00C77E77" w:rsidSect="00D70592">
          <w:pgSz w:w="11906" w:h="16838"/>
          <w:pgMar w:top="1440" w:right="1800" w:bottom="1440" w:left="1800" w:header="851" w:footer="992" w:gutter="0"/>
          <w:cols w:space="425"/>
          <w:docGrid w:type="lines" w:linePitch="360"/>
        </w:sectPr>
      </w:pPr>
      <w:r w:rsidRPr="00C77E77">
        <w:rPr>
          <w:rFonts w:ascii="Times New Roman" w:eastAsia="標楷體" w:hAnsi="Times New Roman" w:cs="Times New Roman"/>
          <w:bCs/>
          <w:color w:val="000000"/>
          <w:kern w:val="0"/>
          <w:sz w:val="28"/>
          <w:szCs w:val="28"/>
        </w:rPr>
        <w:t>整體來說，臺商在東協十國的投資密集國，分佈在新加坡、馬來西亞、印尼、泰國、越南、菲律賓等六國，臺商將這些國家作為加工生產基地，以電子電機設備、機械設備、化學塑膠原料、紡織等中間財為主。至於臺商在汶萊、寮國、緬甸、柬埔寨等國的投資金額較低。歷年臺灣對東協十國的投資統計如表</w:t>
      </w:r>
      <w:r w:rsidRPr="00C77E77">
        <w:rPr>
          <w:rFonts w:ascii="Times New Roman" w:eastAsia="標楷體" w:hAnsi="Times New Roman" w:cs="Times New Roman"/>
          <w:bCs/>
          <w:color w:val="000000"/>
          <w:kern w:val="0"/>
          <w:sz w:val="28"/>
          <w:szCs w:val="28"/>
        </w:rPr>
        <w:t>2-2-5</w:t>
      </w:r>
      <w:r w:rsidRPr="00C77E77">
        <w:rPr>
          <w:rFonts w:ascii="Times New Roman" w:eastAsia="標楷體" w:hAnsi="Times New Roman" w:cs="Times New Roman"/>
          <w:bCs/>
          <w:color w:val="000000"/>
          <w:kern w:val="0"/>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77"/>
        <w:gridCol w:w="632"/>
        <w:gridCol w:w="562"/>
        <w:gridCol w:w="632"/>
        <w:gridCol w:w="1176"/>
        <w:gridCol w:w="1176"/>
        <w:gridCol w:w="1176"/>
        <w:gridCol w:w="1176"/>
        <w:gridCol w:w="1176"/>
        <w:gridCol w:w="1176"/>
        <w:gridCol w:w="1176"/>
        <w:gridCol w:w="1176"/>
        <w:gridCol w:w="1176"/>
        <w:gridCol w:w="1176"/>
        <w:gridCol w:w="9"/>
        <w:gridCol w:w="682"/>
      </w:tblGrid>
      <w:tr w:rsidR="006D2155" w:rsidRPr="00C77E77" w:rsidTr="001425A3">
        <w:trPr>
          <w:trHeight w:val="345"/>
        </w:trPr>
        <w:tc>
          <w:tcPr>
            <w:tcW w:w="368" w:type="pct"/>
            <w:tcBorders>
              <w:top w:val="nil"/>
              <w:left w:val="nil"/>
              <w:bottom w:val="single" w:sz="4" w:space="0" w:color="auto"/>
              <w:right w:val="nil"/>
            </w:tcBorders>
          </w:tcPr>
          <w:p w:rsidR="006D2155" w:rsidRPr="00C77E77" w:rsidRDefault="006D2155" w:rsidP="006D2155">
            <w:pPr>
              <w:widowControl/>
              <w:spacing w:line="0" w:lineRule="atLeast"/>
              <w:jc w:val="center"/>
              <w:rPr>
                <w:rStyle w:val="afa"/>
              </w:rPr>
            </w:pPr>
          </w:p>
        </w:tc>
        <w:tc>
          <w:tcPr>
            <w:tcW w:w="368" w:type="pct"/>
            <w:gridSpan w:val="2"/>
            <w:tcBorders>
              <w:top w:val="nil"/>
              <w:left w:val="nil"/>
              <w:bottom w:val="single" w:sz="4" w:space="0" w:color="auto"/>
              <w:right w:val="nil"/>
            </w:tcBorders>
          </w:tcPr>
          <w:p w:rsidR="006D2155" w:rsidRPr="00C77E77" w:rsidRDefault="006D2155" w:rsidP="006D2155">
            <w:pPr>
              <w:widowControl/>
              <w:spacing w:line="0" w:lineRule="atLeast"/>
              <w:jc w:val="center"/>
              <w:rPr>
                <w:rStyle w:val="afa"/>
              </w:rPr>
            </w:pPr>
          </w:p>
        </w:tc>
        <w:tc>
          <w:tcPr>
            <w:tcW w:w="4263" w:type="pct"/>
            <w:gridSpan w:val="13"/>
            <w:tcBorders>
              <w:top w:val="nil"/>
              <w:left w:val="nil"/>
              <w:bottom w:val="single" w:sz="4" w:space="0" w:color="auto"/>
              <w:right w:val="nil"/>
            </w:tcBorders>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 w:val="28"/>
                <w:szCs w:val="28"/>
              </w:rPr>
            </w:pPr>
            <w:bookmarkStart w:id="43" w:name="_Toc458184931"/>
            <w:bookmarkStart w:id="44" w:name="_Toc470676576"/>
            <w:r w:rsidRPr="00C77E77">
              <w:rPr>
                <w:rStyle w:val="afa"/>
              </w:rPr>
              <w:t>表</w:t>
            </w:r>
            <w:r w:rsidRPr="00C77E77">
              <w:rPr>
                <w:rStyle w:val="afa"/>
              </w:rPr>
              <w:t>2-2-5</w:t>
            </w:r>
            <w:r w:rsidRPr="00C77E77">
              <w:rPr>
                <w:rStyle w:val="afa"/>
              </w:rPr>
              <w:t>臺灣對東協投資統計</w:t>
            </w:r>
            <w:bookmarkEnd w:id="43"/>
            <w:bookmarkEnd w:id="44"/>
            <w:r w:rsidRPr="00C77E77">
              <w:rPr>
                <w:rFonts w:ascii="Times New Roman" w:eastAsia="標楷體" w:hAnsi="Times New Roman" w:cs="Times New Roman"/>
                <w:b/>
                <w:bCs/>
                <w:color w:val="000000" w:themeColor="text1"/>
                <w:kern w:val="0"/>
                <w:sz w:val="28"/>
                <w:szCs w:val="28"/>
              </w:rPr>
              <w:t xml:space="preserve">                                  </w:t>
            </w:r>
            <w:r w:rsidRPr="00C77E77">
              <w:rPr>
                <w:rFonts w:ascii="Times New Roman" w:eastAsia="標楷體" w:hAnsi="Times New Roman" w:cs="Times New Roman"/>
                <w:bCs/>
                <w:color w:val="000000" w:themeColor="text1"/>
                <w:kern w:val="0"/>
                <w:sz w:val="28"/>
                <w:szCs w:val="28"/>
              </w:rPr>
              <w:t>單位：百萬美元</w:t>
            </w:r>
          </w:p>
        </w:tc>
      </w:tr>
      <w:tr w:rsidR="006D2155" w:rsidRPr="00C77E77" w:rsidTr="001425A3">
        <w:trPr>
          <w:gridAfter w:val="2"/>
          <w:wAfter w:w="388" w:type="pct"/>
          <w:trHeight w:val="555"/>
        </w:trPr>
        <w:tc>
          <w:tcPr>
            <w:tcW w:w="563" w:type="pct"/>
            <w:gridSpan w:val="2"/>
            <w:tcBorders>
              <w:top w:val="single" w:sz="4" w:space="0" w:color="auto"/>
            </w:tcBorders>
            <w:shd w:val="clear" w:color="000000" w:fill="8EA9DB"/>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p>
        </w:tc>
        <w:tc>
          <w:tcPr>
            <w:tcW w:w="368" w:type="pct"/>
            <w:gridSpan w:val="2"/>
            <w:tcBorders>
              <w:top w:val="single" w:sz="4" w:space="0" w:color="auto"/>
            </w:tcBorders>
            <w:shd w:val="clear" w:color="000000" w:fill="8EA9DB"/>
            <w:vAlign w:val="center"/>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印尼</w:t>
            </w:r>
          </w:p>
        </w:tc>
        <w:tc>
          <w:tcPr>
            <w:tcW w:w="368" w:type="pct"/>
            <w:tcBorders>
              <w:top w:val="single" w:sz="4" w:space="0" w:color="auto"/>
            </w:tcBorders>
            <w:shd w:val="clear" w:color="000000" w:fill="8EA9DB"/>
            <w:vAlign w:val="center"/>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馬來西亞</w:t>
            </w:r>
          </w:p>
        </w:tc>
        <w:tc>
          <w:tcPr>
            <w:tcW w:w="368" w:type="pct"/>
            <w:tcBorders>
              <w:top w:val="single" w:sz="4" w:space="0" w:color="auto"/>
            </w:tcBorders>
            <w:shd w:val="clear" w:color="000000" w:fill="8EA9DB"/>
            <w:noWrap/>
            <w:vAlign w:val="center"/>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菲律賓</w:t>
            </w:r>
          </w:p>
        </w:tc>
        <w:tc>
          <w:tcPr>
            <w:tcW w:w="368" w:type="pct"/>
            <w:tcBorders>
              <w:top w:val="single" w:sz="4" w:space="0" w:color="auto"/>
            </w:tcBorders>
            <w:shd w:val="clear" w:color="000000" w:fill="8EA9DB"/>
            <w:noWrap/>
            <w:vAlign w:val="center"/>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泰國</w:t>
            </w:r>
          </w:p>
        </w:tc>
        <w:tc>
          <w:tcPr>
            <w:tcW w:w="368" w:type="pct"/>
            <w:tcBorders>
              <w:top w:val="single" w:sz="4" w:space="0" w:color="auto"/>
            </w:tcBorders>
            <w:shd w:val="clear" w:color="000000" w:fill="8EA9DB"/>
            <w:noWrap/>
            <w:vAlign w:val="center"/>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新加坡</w:t>
            </w:r>
          </w:p>
        </w:tc>
        <w:tc>
          <w:tcPr>
            <w:tcW w:w="368" w:type="pct"/>
            <w:tcBorders>
              <w:top w:val="single" w:sz="4" w:space="0" w:color="auto"/>
            </w:tcBorders>
            <w:shd w:val="clear" w:color="000000" w:fill="8EA9DB"/>
            <w:noWrap/>
            <w:vAlign w:val="center"/>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越南</w:t>
            </w:r>
          </w:p>
        </w:tc>
        <w:tc>
          <w:tcPr>
            <w:tcW w:w="368" w:type="pct"/>
            <w:tcBorders>
              <w:top w:val="single" w:sz="4" w:space="0" w:color="auto"/>
            </w:tcBorders>
            <w:shd w:val="clear" w:color="000000" w:fill="8EA9DB"/>
            <w:noWrap/>
            <w:vAlign w:val="center"/>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緬甸</w:t>
            </w:r>
          </w:p>
        </w:tc>
        <w:tc>
          <w:tcPr>
            <w:tcW w:w="368" w:type="pct"/>
            <w:tcBorders>
              <w:top w:val="single" w:sz="4" w:space="0" w:color="auto"/>
            </w:tcBorders>
            <w:shd w:val="clear" w:color="000000" w:fill="8EA9DB"/>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柬埔寨</w:t>
            </w:r>
          </w:p>
        </w:tc>
        <w:tc>
          <w:tcPr>
            <w:tcW w:w="368" w:type="pct"/>
            <w:tcBorders>
              <w:top w:val="single" w:sz="4" w:space="0" w:color="auto"/>
            </w:tcBorders>
            <w:shd w:val="clear" w:color="000000" w:fill="8EA9DB"/>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寮國</w:t>
            </w:r>
          </w:p>
        </w:tc>
        <w:tc>
          <w:tcPr>
            <w:tcW w:w="368" w:type="pct"/>
            <w:tcBorders>
              <w:top w:val="single" w:sz="4" w:space="0" w:color="auto"/>
            </w:tcBorders>
            <w:shd w:val="clear" w:color="000000" w:fill="8EA9DB"/>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汶萊</w:t>
            </w:r>
          </w:p>
        </w:tc>
        <w:tc>
          <w:tcPr>
            <w:tcW w:w="368" w:type="pct"/>
            <w:tcBorders>
              <w:top w:val="single" w:sz="4" w:space="0" w:color="auto"/>
            </w:tcBorders>
            <w:shd w:val="clear" w:color="000000" w:fill="8EA9DB"/>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
                <w:bCs/>
                <w:color w:val="000000" w:themeColor="text1"/>
                <w:kern w:val="0"/>
                <w:szCs w:val="24"/>
              </w:rPr>
            </w:pPr>
            <w:r w:rsidRPr="00C77E77">
              <w:rPr>
                <w:rFonts w:ascii="Times New Roman" w:eastAsia="標楷體" w:hAnsi="Times New Roman" w:cs="Times New Roman"/>
                <w:b/>
                <w:bCs/>
                <w:color w:val="000000" w:themeColor="text1"/>
                <w:kern w:val="0"/>
                <w:szCs w:val="24"/>
              </w:rPr>
              <w:t>合計</w:t>
            </w:r>
          </w:p>
        </w:tc>
      </w:tr>
      <w:tr w:rsidR="006D2155" w:rsidRPr="00C77E77" w:rsidTr="001425A3">
        <w:trPr>
          <w:gridAfter w:val="2"/>
          <w:wAfter w:w="388" w:type="pct"/>
          <w:trHeight w:val="360"/>
        </w:trPr>
        <w:tc>
          <w:tcPr>
            <w:tcW w:w="563" w:type="pct"/>
            <w:gridSpan w:val="2"/>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1959-2000</w:t>
            </w:r>
          </w:p>
        </w:tc>
        <w:tc>
          <w:tcPr>
            <w:tcW w:w="368" w:type="pct"/>
            <w:gridSpan w:val="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774.15 </w:t>
            </w:r>
          </w:p>
        </w:tc>
        <w:tc>
          <w:tcPr>
            <w:tcW w:w="368" w:type="pct"/>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9225.66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982.08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0351.76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391.00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5</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265.93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427.52</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40</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418.10 </w:t>
            </w:r>
          </w:p>
        </w:tc>
      </w:tr>
      <w:tr w:rsidR="006D2155" w:rsidRPr="00C77E77" w:rsidTr="001425A3">
        <w:trPr>
          <w:gridAfter w:val="2"/>
          <w:wAfter w:w="388" w:type="pct"/>
          <w:trHeight w:val="360"/>
        </w:trPr>
        <w:tc>
          <w:tcPr>
            <w:tcW w:w="563" w:type="pct"/>
            <w:gridSpan w:val="2"/>
            <w:shd w:val="clear" w:color="000000" w:fill="F2F2F2"/>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2001</w:t>
            </w:r>
          </w:p>
        </w:tc>
        <w:tc>
          <w:tcPr>
            <w:tcW w:w="368" w:type="pct"/>
            <w:gridSpan w:val="2"/>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83.85 </w:t>
            </w:r>
          </w:p>
        </w:tc>
        <w:tc>
          <w:tcPr>
            <w:tcW w:w="368" w:type="pct"/>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296.58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11.99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158.69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378.30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968.61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56.97 </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954.99 </w:t>
            </w:r>
          </w:p>
        </w:tc>
      </w:tr>
      <w:tr w:rsidR="006D2155" w:rsidRPr="00C77E77" w:rsidTr="001425A3">
        <w:trPr>
          <w:gridAfter w:val="2"/>
          <w:wAfter w:w="388" w:type="pct"/>
          <w:trHeight w:val="360"/>
        </w:trPr>
        <w:tc>
          <w:tcPr>
            <w:tcW w:w="563" w:type="pct"/>
            <w:gridSpan w:val="2"/>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2002</w:t>
            </w:r>
          </w:p>
        </w:tc>
        <w:tc>
          <w:tcPr>
            <w:tcW w:w="368" w:type="pct"/>
            <w:gridSpan w:val="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83.18 </w:t>
            </w:r>
          </w:p>
        </w:tc>
        <w:tc>
          <w:tcPr>
            <w:tcW w:w="368" w:type="pct"/>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66.29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236.35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62.93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25.76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576.40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3.55</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6.83 </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4.05</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065.33 </w:t>
            </w:r>
          </w:p>
        </w:tc>
      </w:tr>
      <w:tr w:rsidR="006D2155" w:rsidRPr="00C77E77" w:rsidTr="001425A3">
        <w:trPr>
          <w:gridAfter w:val="2"/>
          <w:wAfter w:w="388" w:type="pct"/>
          <w:trHeight w:val="360"/>
        </w:trPr>
        <w:tc>
          <w:tcPr>
            <w:tcW w:w="563" w:type="pct"/>
            <w:gridSpan w:val="2"/>
            <w:shd w:val="clear" w:color="000000" w:fill="F2F2F2"/>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2003</w:t>
            </w:r>
          </w:p>
        </w:tc>
        <w:tc>
          <w:tcPr>
            <w:tcW w:w="368" w:type="pct"/>
            <w:gridSpan w:val="2"/>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117.54 </w:t>
            </w:r>
          </w:p>
        </w:tc>
        <w:tc>
          <w:tcPr>
            <w:tcW w:w="368" w:type="pct"/>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163.69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47.11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338.83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26.40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720.63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1.34 </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3.23</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418.77 </w:t>
            </w:r>
          </w:p>
        </w:tc>
      </w:tr>
      <w:tr w:rsidR="006D2155" w:rsidRPr="00C77E77" w:rsidTr="001425A3">
        <w:trPr>
          <w:gridAfter w:val="2"/>
          <w:wAfter w:w="388" w:type="pct"/>
          <w:trHeight w:val="360"/>
        </w:trPr>
        <w:tc>
          <w:tcPr>
            <w:tcW w:w="563" w:type="pct"/>
            <w:gridSpan w:val="2"/>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2004</w:t>
            </w:r>
          </w:p>
        </w:tc>
        <w:tc>
          <w:tcPr>
            <w:tcW w:w="368" w:type="pct"/>
            <w:gridSpan w:val="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68.87 </w:t>
            </w:r>
          </w:p>
        </w:tc>
        <w:tc>
          <w:tcPr>
            <w:tcW w:w="368" w:type="pct"/>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109.09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29.52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268.53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822.23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666.33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5.60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16.69 </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2.70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989.55 </w:t>
            </w:r>
          </w:p>
        </w:tc>
      </w:tr>
      <w:tr w:rsidR="006D2155" w:rsidRPr="00C77E77" w:rsidTr="001425A3">
        <w:trPr>
          <w:gridAfter w:val="2"/>
          <w:wAfter w:w="388" w:type="pct"/>
          <w:trHeight w:val="360"/>
        </w:trPr>
        <w:tc>
          <w:tcPr>
            <w:tcW w:w="563" w:type="pct"/>
            <w:gridSpan w:val="2"/>
            <w:shd w:val="clear" w:color="000000" w:fill="F2F2F2"/>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2005</w:t>
            </w:r>
          </w:p>
        </w:tc>
        <w:tc>
          <w:tcPr>
            <w:tcW w:w="368" w:type="pct"/>
            <w:gridSpan w:val="2"/>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133.39 </w:t>
            </w:r>
          </w:p>
        </w:tc>
        <w:tc>
          <w:tcPr>
            <w:tcW w:w="368" w:type="pct"/>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113.64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25.30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417.66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97.70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808.25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15.52 </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10.03</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621.48 </w:t>
            </w:r>
          </w:p>
        </w:tc>
      </w:tr>
      <w:tr w:rsidR="006D2155" w:rsidRPr="00C77E77" w:rsidTr="001425A3">
        <w:trPr>
          <w:gridAfter w:val="2"/>
          <w:wAfter w:w="388" w:type="pct"/>
          <w:trHeight w:val="360"/>
        </w:trPr>
        <w:tc>
          <w:tcPr>
            <w:tcW w:w="563" w:type="pct"/>
            <w:gridSpan w:val="2"/>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2006</w:t>
            </w:r>
          </w:p>
        </w:tc>
        <w:tc>
          <w:tcPr>
            <w:tcW w:w="368" w:type="pct"/>
            <w:gridSpan w:val="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218.62 </w:t>
            </w:r>
          </w:p>
        </w:tc>
        <w:tc>
          <w:tcPr>
            <w:tcW w:w="368" w:type="pct"/>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110.48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38.05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284.30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806.30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623.86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50.75 </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10.48</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142.84 </w:t>
            </w:r>
          </w:p>
        </w:tc>
      </w:tr>
      <w:tr w:rsidR="006D2155" w:rsidRPr="00C77E77" w:rsidTr="001425A3">
        <w:trPr>
          <w:gridAfter w:val="2"/>
          <w:wAfter w:w="388" w:type="pct"/>
          <w:trHeight w:val="360"/>
        </w:trPr>
        <w:tc>
          <w:tcPr>
            <w:tcW w:w="563" w:type="pct"/>
            <w:gridSpan w:val="2"/>
            <w:shd w:val="clear" w:color="000000" w:fill="F2F2F2"/>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2007</w:t>
            </w:r>
          </w:p>
        </w:tc>
        <w:tc>
          <w:tcPr>
            <w:tcW w:w="368" w:type="pct"/>
            <w:gridSpan w:val="2"/>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51.40 </w:t>
            </w:r>
          </w:p>
        </w:tc>
        <w:tc>
          <w:tcPr>
            <w:tcW w:w="368" w:type="pct"/>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118.79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444.84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247.75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194.11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933.81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0.41</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39.94 </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13.45</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4</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044.51 </w:t>
            </w:r>
          </w:p>
        </w:tc>
      </w:tr>
      <w:tr w:rsidR="006D2155" w:rsidRPr="00C77E77" w:rsidTr="001425A3">
        <w:trPr>
          <w:gridAfter w:val="2"/>
          <w:wAfter w:w="388" w:type="pct"/>
          <w:trHeight w:val="360"/>
        </w:trPr>
        <w:tc>
          <w:tcPr>
            <w:tcW w:w="563" w:type="pct"/>
            <w:gridSpan w:val="2"/>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2008</w:t>
            </w:r>
          </w:p>
        </w:tc>
        <w:tc>
          <w:tcPr>
            <w:tcW w:w="368" w:type="pct"/>
            <w:gridSpan w:val="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306.23 </w:t>
            </w:r>
          </w:p>
        </w:tc>
        <w:tc>
          <w:tcPr>
            <w:tcW w:w="368" w:type="pct"/>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256.07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28.95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222.81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697.63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10</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954.86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0.90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21.45 </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8.73</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499.63 </w:t>
            </w:r>
          </w:p>
        </w:tc>
      </w:tr>
      <w:tr w:rsidR="006D2155" w:rsidRPr="00C77E77" w:rsidTr="001425A3">
        <w:trPr>
          <w:gridAfter w:val="2"/>
          <w:wAfter w:w="388" w:type="pct"/>
          <w:trHeight w:val="360"/>
        </w:trPr>
        <w:tc>
          <w:tcPr>
            <w:tcW w:w="563" w:type="pct"/>
            <w:gridSpan w:val="2"/>
            <w:shd w:val="clear" w:color="000000" w:fill="F2F2F2"/>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2009</w:t>
            </w:r>
          </w:p>
        </w:tc>
        <w:tc>
          <w:tcPr>
            <w:tcW w:w="368" w:type="pct"/>
            <w:gridSpan w:val="2"/>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118.43 </w:t>
            </w:r>
          </w:p>
        </w:tc>
        <w:tc>
          <w:tcPr>
            <w:tcW w:w="368" w:type="pct"/>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209.38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4.67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155.56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36.70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544.71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27.16 </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6.95</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103.55 </w:t>
            </w:r>
          </w:p>
        </w:tc>
      </w:tr>
      <w:tr w:rsidR="006D2155" w:rsidRPr="00C77E77" w:rsidTr="001425A3">
        <w:trPr>
          <w:gridAfter w:val="2"/>
          <w:wAfter w:w="388" w:type="pct"/>
          <w:trHeight w:val="360"/>
        </w:trPr>
        <w:tc>
          <w:tcPr>
            <w:tcW w:w="563" w:type="pct"/>
            <w:gridSpan w:val="2"/>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2010</w:t>
            </w:r>
          </w:p>
        </w:tc>
        <w:tc>
          <w:tcPr>
            <w:tcW w:w="368" w:type="pct"/>
            <w:gridSpan w:val="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85.40 </w:t>
            </w:r>
          </w:p>
        </w:tc>
        <w:tc>
          <w:tcPr>
            <w:tcW w:w="368" w:type="pct"/>
            <w:vAlign w:val="bottom"/>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407.76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33.38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139.57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32.70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603.94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91.83 </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11.14</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405.72 </w:t>
            </w:r>
          </w:p>
        </w:tc>
      </w:tr>
      <w:tr w:rsidR="006D2155" w:rsidRPr="00C77E77" w:rsidTr="001425A3">
        <w:trPr>
          <w:gridAfter w:val="2"/>
          <w:wAfter w:w="388" w:type="pct"/>
          <w:trHeight w:val="360"/>
        </w:trPr>
        <w:tc>
          <w:tcPr>
            <w:tcW w:w="563" w:type="pct"/>
            <w:gridSpan w:val="2"/>
            <w:shd w:val="clear" w:color="000000" w:fill="F2F2F2"/>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2011</w:t>
            </w:r>
          </w:p>
        </w:tc>
        <w:tc>
          <w:tcPr>
            <w:tcW w:w="368" w:type="pct"/>
            <w:gridSpan w:val="2"/>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530.80 </w:t>
            </w:r>
          </w:p>
        </w:tc>
        <w:tc>
          <w:tcPr>
            <w:tcW w:w="368" w:type="pct"/>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439.87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74.10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197.94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448.59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506.15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82.09 </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1.61</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281.15 </w:t>
            </w:r>
          </w:p>
        </w:tc>
      </w:tr>
      <w:tr w:rsidR="006D2155" w:rsidRPr="00C77E77" w:rsidTr="001425A3">
        <w:trPr>
          <w:gridAfter w:val="2"/>
          <w:wAfter w:w="388" w:type="pct"/>
          <w:trHeight w:val="360"/>
        </w:trPr>
        <w:tc>
          <w:tcPr>
            <w:tcW w:w="563" w:type="pct"/>
            <w:gridSpan w:val="2"/>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2012</w:t>
            </w:r>
          </w:p>
        </w:tc>
        <w:tc>
          <w:tcPr>
            <w:tcW w:w="368" w:type="pct"/>
            <w:gridSpan w:val="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487.00 </w:t>
            </w:r>
          </w:p>
        </w:tc>
        <w:tc>
          <w:tcPr>
            <w:tcW w:w="368" w:type="pct"/>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56.08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58.54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376.20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4</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498.66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278.73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1.61</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97.23 </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0.40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5</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854.45 </w:t>
            </w:r>
          </w:p>
        </w:tc>
      </w:tr>
      <w:tr w:rsidR="006D2155" w:rsidRPr="00C77E77" w:rsidTr="001425A3">
        <w:trPr>
          <w:gridAfter w:val="2"/>
          <w:wAfter w:w="388" w:type="pct"/>
          <w:trHeight w:val="360"/>
        </w:trPr>
        <w:tc>
          <w:tcPr>
            <w:tcW w:w="563" w:type="pct"/>
            <w:gridSpan w:val="2"/>
            <w:shd w:val="clear" w:color="000000" w:fill="F2F2F2"/>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2013</w:t>
            </w:r>
          </w:p>
        </w:tc>
        <w:tc>
          <w:tcPr>
            <w:tcW w:w="368" w:type="pct"/>
            <w:gridSpan w:val="2"/>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306.53 </w:t>
            </w:r>
          </w:p>
        </w:tc>
        <w:tc>
          <w:tcPr>
            <w:tcW w:w="368" w:type="pct"/>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39.94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70.57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230.30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158.29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576.63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10.90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85.17 </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4.02</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482.35 </w:t>
            </w:r>
          </w:p>
        </w:tc>
      </w:tr>
      <w:tr w:rsidR="006D2155" w:rsidRPr="00C77E77" w:rsidTr="001425A3">
        <w:trPr>
          <w:gridAfter w:val="2"/>
          <w:wAfter w:w="388" w:type="pct"/>
          <w:trHeight w:val="360"/>
        </w:trPr>
        <w:tc>
          <w:tcPr>
            <w:tcW w:w="563" w:type="pct"/>
            <w:gridSpan w:val="2"/>
            <w:shd w:val="clear" w:color="auto" w:fill="auto"/>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2014</w:t>
            </w:r>
          </w:p>
        </w:tc>
        <w:tc>
          <w:tcPr>
            <w:tcW w:w="368" w:type="pct"/>
            <w:gridSpan w:val="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1</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565.42 </w:t>
            </w:r>
          </w:p>
        </w:tc>
        <w:tc>
          <w:tcPr>
            <w:tcW w:w="368" w:type="pct"/>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197.74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67.49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101.10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136.77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553.79 </w:t>
            </w:r>
          </w:p>
        </w:tc>
        <w:tc>
          <w:tcPr>
            <w:tcW w:w="368" w:type="pct"/>
            <w:shd w:val="clear" w:color="auto" w:fill="auto"/>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29.12 </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0.00</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0.13</w:t>
            </w:r>
          </w:p>
        </w:tc>
        <w:tc>
          <w:tcPr>
            <w:tcW w:w="368" w:type="pct"/>
            <w:shd w:val="clear" w:color="auto" w:fill="auto"/>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653.56 </w:t>
            </w:r>
          </w:p>
        </w:tc>
      </w:tr>
      <w:tr w:rsidR="006D2155" w:rsidRPr="00C77E77" w:rsidTr="001425A3">
        <w:trPr>
          <w:gridAfter w:val="2"/>
          <w:wAfter w:w="388" w:type="pct"/>
          <w:trHeight w:val="360"/>
        </w:trPr>
        <w:tc>
          <w:tcPr>
            <w:tcW w:w="563" w:type="pct"/>
            <w:gridSpan w:val="2"/>
            <w:shd w:val="clear" w:color="000000" w:fill="F2F2F2"/>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2015</w:t>
            </w:r>
          </w:p>
        </w:tc>
        <w:tc>
          <w:tcPr>
            <w:tcW w:w="368" w:type="pct"/>
            <w:gridSpan w:val="2"/>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166.68 </w:t>
            </w:r>
          </w:p>
        </w:tc>
        <w:tc>
          <w:tcPr>
            <w:tcW w:w="368" w:type="pct"/>
            <w:shd w:val="clear" w:color="000000" w:fill="F2F2F2"/>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297.00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121.28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432.00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230.03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757.00 </w:t>
            </w:r>
          </w:p>
        </w:tc>
        <w:tc>
          <w:tcPr>
            <w:tcW w:w="368" w:type="pct"/>
            <w:shd w:val="clear" w:color="000000" w:fill="F2F2F2"/>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6.73</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47.25 </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31.20</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4.95</w:t>
            </w:r>
          </w:p>
        </w:tc>
        <w:tc>
          <w:tcPr>
            <w:tcW w:w="368" w:type="pct"/>
            <w:shd w:val="clear" w:color="000000" w:fill="F2F2F2"/>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2</w:t>
            </w:r>
            <w:r w:rsidR="00EE0AA0"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094.12 </w:t>
            </w:r>
          </w:p>
        </w:tc>
      </w:tr>
      <w:tr w:rsidR="006D2155" w:rsidRPr="00C77E77" w:rsidTr="001425A3">
        <w:trPr>
          <w:gridAfter w:val="2"/>
          <w:wAfter w:w="388" w:type="pct"/>
          <w:trHeight w:val="360"/>
        </w:trPr>
        <w:tc>
          <w:tcPr>
            <w:tcW w:w="563" w:type="pct"/>
            <w:gridSpan w:val="2"/>
            <w:shd w:val="clear" w:color="000000" w:fill="A9D08E"/>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成長率</w:t>
            </w:r>
          </w:p>
        </w:tc>
        <w:tc>
          <w:tcPr>
            <w:tcW w:w="368" w:type="pct"/>
            <w:gridSpan w:val="2"/>
            <w:shd w:val="clear" w:color="000000" w:fill="A9D08E"/>
            <w:vAlign w:val="center"/>
          </w:tcPr>
          <w:p w:rsidR="006D2155" w:rsidRPr="00C77E77" w:rsidRDefault="006D2155" w:rsidP="006D2155">
            <w:pPr>
              <w:widowControl/>
              <w:spacing w:line="0" w:lineRule="atLeast"/>
              <w:jc w:val="right"/>
              <w:rPr>
                <w:rFonts w:ascii="Times New Roman" w:eastAsia="標楷體" w:hAnsi="Times New Roman" w:cs="Times New Roman"/>
                <w:b/>
                <w:bCs/>
                <w:color w:val="000000" w:themeColor="text1"/>
                <w:kern w:val="0"/>
                <w:sz w:val="20"/>
                <w:szCs w:val="20"/>
              </w:rPr>
            </w:pPr>
            <w:r w:rsidRPr="00C77E77">
              <w:rPr>
                <w:rFonts w:ascii="Times New Roman" w:eastAsia="標楷體" w:hAnsi="Times New Roman" w:cs="Times New Roman"/>
                <w:b/>
                <w:bCs/>
                <w:color w:val="000000" w:themeColor="text1"/>
                <w:kern w:val="0"/>
                <w:sz w:val="20"/>
                <w:szCs w:val="20"/>
              </w:rPr>
              <w:t xml:space="preserve">-89.35 </w:t>
            </w:r>
          </w:p>
        </w:tc>
        <w:tc>
          <w:tcPr>
            <w:tcW w:w="368" w:type="pct"/>
            <w:shd w:val="clear" w:color="000000" w:fill="A9D08E"/>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50.20 </w:t>
            </w:r>
          </w:p>
        </w:tc>
        <w:tc>
          <w:tcPr>
            <w:tcW w:w="368" w:type="pct"/>
            <w:shd w:val="clear" w:color="000000" w:fill="A9D08E"/>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79.70 </w:t>
            </w:r>
          </w:p>
        </w:tc>
        <w:tc>
          <w:tcPr>
            <w:tcW w:w="368" w:type="pct"/>
            <w:shd w:val="clear" w:color="000000" w:fill="A9D08E"/>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327.30 </w:t>
            </w:r>
          </w:p>
        </w:tc>
        <w:tc>
          <w:tcPr>
            <w:tcW w:w="368" w:type="pct"/>
            <w:shd w:val="clear" w:color="000000" w:fill="A9D08E"/>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68.19 </w:t>
            </w:r>
          </w:p>
        </w:tc>
        <w:tc>
          <w:tcPr>
            <w:tcW w:w="368" w:type="pct"/>
            <w:shd w:val="clear" w:color="000000" w:fill="A9D08E"/>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36.69 </w:t>
            </w:r>
          </w:p>
        </w:tc>
        <w:tc>
          <w:tcPr>
            <w:tcW w:w="368" w:type="pct"/>
            <w:shd w:val="clear" w:color="000000" w:fill="A9D08E"/>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236.65 </w:t>
            </w:r>
          </w:p>
        </w:tc>
        <w:tc>
          <w:tcPr>
            <w:tcW w:w="368" w:type="pct"/>
            <w:shd w:val="clear" w:color="000000" w:fill="A9D08E"/>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62.26 </w:t>
            </w:r>
          </w:p>
        </w:tc>
        <w:tc>
          <w:tcPr>
            <w:tcW w:w="368" w:type="pct"/>
            <w:shd w:val="clear" w:color="000000" w:fill="A9D08E"/>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 xml:space="preserve">　</w:t>
            </w:r>
          </w:p>
        </w:tc>
        <w:tc>
          <w:tcPr>
            <w:tcW w:w="368" w:type="pct"/>
            <w:shd w:val="clear" w:color="000000" w:fill="A9D08E"/>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3675.57 </w:t>
            </w:r>
          </w:p>
        </w:tc>
        <w:tc>
          <w:tcPr>
            <w:tcW w:w="368" w:type="pct"/>
            <w:shd w:val="clear" w:color="000000" w:fill="A9D08E"/>
            <w:noWrap/>
            <w:vAlign w:val="center"/>
            <w:hideMark/>
          </w:tcPr>
          <w:p w:rsidR="006D2155" w:rsidRPr="00C77E77" w:rsidRDefault="006D2155" w:rsidP="006D2155">
            <w:pPr>
              <w:widowControl/>
              <w:spacing w:line="0" w:lineRule="atLeast"/>
              <w:jc w:val="right"/>
              <w:rPr>
                <w:rFonts w:ascii="Times New Roman" w:eastAsia="標楷體" w:hAnsi="Times New Roman" w:cs="Times New Roman"/>
                <w:b/>
                <w:bCs/>
                <w:color w:val="000000" w:themeColor="text1"/>
                <w:kern w:val="0"/>
                <w:sz w:val="20"/>
                <w:szCs w:val="20"/>
              </w:rPr>
            </w:pPr>
            <w:r w:rsidRPr="00C77E77">
              <w:rPr>
                <w:rFonts w:ascii="Times New Roman" w:eastAsia="標楷體" w:hAnsi="Times New Roman" w:cs="Times New Roman"/>
                <w:b/>
                <w:bCs/>
                <w:color w:val="000000" w:themeColor="text1"/>
                <w:kern w:val="0"/>
                <w:sz w:val="20"/>
                <w:szCs w:val="20"/>
              </w:rPr>
              <w:t xml:space="preserve">-21.08 </w:t>
            </w:r>
          </w:p>
        </w:tc>
      </w:tr>
      <w:tr w:rsidR="006D2155" w:rsidRPr="00C77E77" w:rsidTr="001425A3">
        <w:trPr>
          <w:gridAfter w:val="2"/>
          <w:wAfter w:w="388" w:type="pct"/>
          <w:trHeight w:val="360"/>
        </w:trPr>
        <w:tc>
          <w:tcPr>
            <w:tcW w:w="563" w:type="pct"/>
            <w:gridSpan w:val="2"/>
            <w:shd w:val="clear" w:color="000000" w:fill="C9C9C9"/>
            <w:noWrap/>
            <w:vAlign w:val="center"/>
            <w:hideMark/>
          </w:tcPr>
          <w:p w:rsidR="006D2155" w:rsidRPr="00C77E77" w:rsidRDefault="006D2155" w:rsidP="006D2155">
            <w:pPr>
              <w:widowControl/>
              <w:spacing w:line="0" w:lineRule="atLeast"/>
              <w:jc w:val="center"/>
              <w:rPr>
                <w:rFonts w:ascii="Times New Roman" w:eastAsia="標楷體" w:hAnsi="Times New Roman" w:cs="Times New Roman"/>
                <w:bCs/>
                <w:color w:val="000000" w:themeColor="text1"/>
                <w:kern w:val="0"/>
                <w:szCs w:val="24"/>
              </w:rPr>
            </w:pPr>
            <w:r w:rsidRPr="00C77E77">
              <w:rPr>
                <w:rFonts w:ascii="Times New Roman" w:eastAsia="標楷體" w:hAnsi="Times New Roman" w:cs="Times New Roman"/>
                <w:bCs/>
                <w:color w:val="000000" w:themeColor="text1"/>
                <w:kern w:val="0"/>
                <w:szCs w:val="24"/>
              </w:rPr>
              <w:t>累計</w:t>
            </w:r>
          </w:p>
        </w:tc>
        <w:tc>
          <w:tcPr>
            <w:tcW w:w="368" w:type="pct"/>
            <w:gridSpan w:val="2"/>
            <w:shd w:val="clear" w:color="000000" w:fill="C9C9C9"/>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17097.49 </w:t>
            </w:r>
          </w:p>
        </w:tc>
        <w:tc>
          <w:tcPr>
            <w:tcW w:w="368" w:type="pct"/>
            <w:shd w:val="clear" w:color="000000" w:fill="C9C9C9"/>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12108.06 </w:t>
            </w:r>
          </w:p>
        </w:tc>
        <w:tc>
          <w:tcPr>
            <w:tcW w:w="368" w:type="pct"/>
            <w:shd w:val="clear" w:color="000000" w:fill="C9C9C9"/>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2274.22 </w:t>
            </w:r>
          </w:p>
        </w:tc>
        <w:tc>
          <w:tcPr>
            <w:tcW w:w="368" w:type="pct"/>
            <w:shd w:val="clear" w:color="000000" w:fill="C9C9C9"/>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13985.93 </w:t>
            </w:r>
          </w:p>
        </w:tc>
        <w:tc>
          <w:tcPr>
            <w:tcW w:w="368" w:type="pct"/>
            <w:shd w:val="clear" w:color="000000" w:fill="C9C9C9"/>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10981.17 </w:t>
            </w:r>
          </w:p>
        </w:tc>
        <w:tc>
          <w:tcPr>
            <w:tcW w:w="368" w:type="pct"/>
            <w:shd w:val="clear" w:color="000000" w:fill="C9C9C9"/>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29339.62 </w:t>
            </w:r>
          </w:p>
        </w:tc>
        <w:tc>
          <w:tcPr>
            <w:tcW w:w="368" w:type="pct"/>
            <w:shd w:val="clear" w:color="000000" w:fill="C9C9C9"/>
            <w:noWrap/>
            <w:vAlign w:val="center"/>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31.69 </w:t>
            </w:r>
          </w:p>
        </w:tc>
        <w:tc>
          <w:tcPr>
            <w:tcW w:w="368" w:type="pct"/>
            <w:shd w:val="clear" w:color="000000" w:fill="C9C9C9"/>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1096.86 </w:t>
            </w:r>
          </w:p>
        </w:tc>
        <w:tc>
          <w:tcPr>
            <w:tcW w:w="368" w:type="pct"/>
            <w:shd w:val="clear" w:color="000000" w:fill="C9C9C9"/>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33.20 </w:t>
            </w:r>
          </w:p>
        </w:tc>
        <w:tc>
          <w:tcPr>
            <w:tcW w:w="368" w:type="pct"/>
            <w:shd w:val="clear" w:color="000000" w:fill="C9C9C9"/>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81.85 </w:t>
            </w:r>
          </w:p>
        </w:tc>
        <w:tc>
          <w:tcPr>
            <w:tcW w:w="368" w:type="pct"/>
            <w:shd w:val="clear" w:color="000000" w:fill="C9C9C9"/>
            <w:noWrap/>
            <w:vAlign w:val="center"/>
            <w:hideMark/>
          </w:tcPr>
          <w:p w:rsidR="006D2155" w:rsidRPr="00C77E77" w:rsidRDefault="006D2155" w:rsidP="006D2155">
            <w:pPr>
              <w:widowControl/>
              <w:spacing w:line="0" w:lineRule="atLeast"/>
              <w:jc w:val="right"/>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 xml:space="preserve">87030.09 </w:t>
            </w:r>
          </w:p>
        </w:tc>
      </w:tr>
      <w:tr w:rsidR="006D2155" w:rsidRPr="00C77E77" w:rsidTr="001425A3">
        <w:trPr>
          <w:gridAfter w:val="1"/>
          <w:wAfter w:w="386" w:type="pct"/>
          <w:trHeight w:val="330"/>
        </w:trPr>
        <w:tc>
          <w:tcPr>
            <w:tcW w:w="4614" w:type="pct"/>
            <w:gridSpan w:val="15"/>
            <w:shd w:val="clear" w:color="auto" w:fill="auto"/>
            <w:noWrap/>
            <w:vAlign w:val="center"/>
            <w:hideMark/>
          </w:tcPr>
          <w:p w:rsidR="006D2155" w:rsidRPr="00C77E77" w:rsidRDefault="006D2155" w:rsidP="00764ED7">
            <w:pPr>
              <w:pStyle w:val="ab"/>
              <w:widowControl/>
              <w:numPr>
                <w:ilvl w:val="0"/>
                <w:numId w:val="14"/>
              </w:numPr>
              <w:spacing w:line="0" w:lineRule="atLeast"/>
              <w:ind w:leftChars="0"/>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資料來源：泰國</w:t>
            </w:r>
            <w:r w:rsidRPr="00C77E77">
              <w:rPr>
                <w:rFonts w:ascii="Times New Roman" w:eastAsia="標楷體" w:hAnsi="Times New Roman" w:cs="Times New Roman"/>
                <w:bCs/>
                <w:color w:val="000000" w:themeColor="text1"/>
                <w:kern w:val="0"/>
                <w:sz w:val="20"/>
                <w:szCs w:val="20"/>
              </w:rPr>
              <w:t>BOI</w:t>
            </w:r>
            <w:r w:rsidRPr="00C77E77">
              <w:rPr>
                <w:rFonts w:ascii="Times New Roman" w:eastAsia="標楷體" w:hAnsi="Times New Roman" w:cs="Times New Roman"/>
                <w:bCs/>
                <w:color w:val="000000" w:themeColor="text1"/>
                <w:kern w:val="0"/>
                <w:sz w:val="20"/>
                <w:szCs w:val="20"/>
              </w:rPr>
              <w:t>、馬來西亞</w:t>
            </w:r>
            <w:r w:rsidRPr="00C77E77">
              <w:rPr>
                <w:rFonts w:ascii="Times New Roman" w:eastAsia="標楷體" w:hAnsi="Times New Roman" w:cs="Times New Roman"/>
                <w:bCs/>
                <w:color w:val="000000" w:themeColor="text1"/>
                <w:kern w:val="0"/>
                <w:sz w:val="20"/>
                <w:szCs w:val="20"/>
              </w:rPr>
              <w:t>MIDA</w:t>
            </w:r>
            <w:r w:rsidRPr="00C77E77">
              <w:rPr>
                <w:rFonts w:ascii="Times New Roman" w:eastAsia="標楷體" w:hAnsi="Times New Roman" w:cs="Times New Roman"/>
                <w:bCs/>
                <w:color w:val="000000" w:themeColor="text1"/>
                <w:kern w:val="0"/>
                <w:sz w:val="20"/>
                <w:szCs w:val="20"/>
              </w:rPr>
              <w:t>、菲律賓</w:t>
            </w:r>
            <w:r w:rsidRPr="00C77E77">
              <w:rPr>
                <w:rFonts w:ascii="Times New Roman" w:eastAsia="標楷體" w:hAnsi="Times New Roman" w:cs="Times New Roman"/>
                <w:bCs/>
                <w:color w:val="000000" w:themeColor="text1"/>
                <w:kern w:val="0"/>
                <w:sz w:val="20"/>
                <w:szCs w:val="20"/>
              </w:rPr>
              <w:t>NSCB</w:t>
            </w:r>
            <w:r w:rsidRPr="00C77E77">
              <w:rPr>
                <w:rFonts w:ascii="Times New Roman" w:eastAsia="標楷體" w:hAnsi="Times New Roman" w:cs="Times New Roman"/>
                <w:bCs/>
                <w:color w:val="000000" w:themeColor="text1"/>
                <w:kern w:val="0"/>
                <w:sz w:val="20"/>
                <w:szCs w:val="20"/>
              </w:rPr>
              <w:t>、印尼</w:t>
            </w:r>
            <w:r w:rsidRPr="00C77E77">
              <w:rPr>
                <w:rFonts w:ascii="Times New Roman" w:eastAsia="標楷體" w:hAnsi="Times New Roman" w:cs="Times New Roman"/>
                <w:bCs/>
                <w:color w:val="000000" w:themeColor="text1"/>
                <w:kern w:val="0"/>
                <w:sz w:val="20"/>
                <w:szCs w:val="20"/>
              </w:rPr>
              <w:t>BKPM</w:t>
            </w:r>
            <w:r w:rsidRPr="00C77E77">
              <w:rPr>
                <w:rFonts w:ascii="Times New Roman" w:eastAsia="標楷體" w:hAnsi="Times New Roman" w:cs="Times New Roman"/>
                <w:bCs/>
                <w:color w:val="000000" w:themeColor="text1"/>
                <w:kern w:val="0"/>
                <w:sz w:val="20"/>
                <w:szCs w:val="20"/>
              </w:rPr>
              <w:t>、中華民國經濟部投資審議委員會</w:t>
            </w:r>
            <w:r w:rsidR="00AC6B58"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新加坡、緬甸、寮國、汶萊</w:t>
            </w:r>
            <w:r w:rsidR="00AC6B58"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、越南</w:t>
            </w:r>
            <w:r w:rsidRPr="00C77E77">
              <w:rPr>
                <w:rFonts w:ascii="Times New Roman" w:eastAsia="標楷體" w:hAnsi="Times New Roman" w:cs="Times New Roman"/>
                <w:bCs/>
                <w:color w:val="000000" w:themeColor="text1"/>
                <w:kern w:val="0"/>
                <w:sz w:val="20"/>
                <w:szCs w:val="20"/>
              </w:rPr>
              <w:t>MPI</w:t>
            </w:r>
            <w:r w:rsidRPr="00C77E77">
              <w:rPr>
                <w:rFonts w:ascii="Times New Roman" w:eastAsia="標楷體" w:hAnsi="Times New Roman" w:cs="Times New Roman"/>
                <w:bCs/>
                <w:color w:val="000000" w:themeColor="text1"/>
                <w:kern w:val="0"/>
                <w:sz w:val="20"/>
                <w:szCs w:val="20"/>
              </w:rPr>
              <w:t>、柬埔寨</w:t>
            </w:r>
            <w:r w:rsidRPr="00C77E77">
              <w:rPr>
                <w:rFonts w:ascii="Times New Roman" w:eastAsia="標楷體" w:hAnsi="Times New Roman" w:cs="Times New Roman"/>
                <w:bCs/>
                <w:color w:val="000000" w:themeColor="text1"/>
                <w:kern w:val="0"/>
                <w:sz w:val="20"/>
                <w:szCs w:val="20"/>
              </w:rPr>
              <w:t>CIB</w:t>
            </w:r>
            <w:r w:rsidRPr="00C77E77">
              <w:rPr>
                <w:rFonts w:ascii="Times New Roman" w:eastAsia="標楷體" w:hAnsi="Times New Roman" w:cs="Times New Roman"/>
                <w:bCs/>
                <w:color w:val="000000" w:themeColor="text1"/>
                <w:kern w:val="0"/>
                <w:sz w:val="20"/>
                <w:szCs w:val="20"/>
              </w:rPr>
              <w:t>。</w:t>
            </w:r>
            <w:r w:rsidR="001425A3" w:rsidRPr="00C77E77">
              <w:rPr>
                <w:rFonts w:ascii="Times New Roman" w:eastAsia="標楷體" w:hAnsi="Times New Roman" w:cs="Times New Roman"/>
                <w:bCs/>
                <w:color w:val="000000" w:themeColor="text1"/>
                <w:kern w:val="0"/>
                <w:sz w:val="20"/>
                <w:szCs w:val="20"/>
              </w:rPr>
              <w:t>直接聯繫投審會索取有關汶萊、寮國及緬甸之投資統計資料。</w:t>
            </w:r>
          </w:p>
          <w:p w:rsidR="006D2155" w:rsidRPr="00C77E77" w:rsidRDefault="006D2155" w:rsidP="00764ED7">
            <w:pPr>
              <w:pStyle w:val="ab"/>
              <w:widowControl/>
              <w:numPr>
                <w:ilvl w:val="0"/>
                <w:numId w:val="14"/>
              </w:numPr>
              <w:spacing w:line="0" w:lineRule="atLeast"/>
              <w:ind w:leftChars="0"/>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累計排名係指當地外資累計投資金額排名；成長率係</w:t>
            </w:r>
            <w:r w:rsidRPr="00C77E77">
              <w:rPr>
                <w:rFonts w:ascii="Times New Roman" w:eastAsia="標楷體" w:hAnsi="Times New Roman" w:cs="Times New Roman"/>
                <w:bCs/>
                <w:color w:val="000000" w:themeColor="text1"/>
                <w:kern w:val="0"/>
                <w:sz w:val="20"/>
                <w:szCs w:val="20"/>
              </w:rPr>
              <w:t>104</w:t>
            </w:r>
            <w:r w:rsidRPr="00C77E77">
              <w:rPr>
                <w:rFonts w:ascii="Times New Roman" w:eastAsia="標楷體" w:hAnsi="Times New Roman" w:cs="Times New Roman"/>
                <w:bCs/>
                <w:color w:val="000000" w:themeColor="text1"/>
                <w:kern w:val="0"/>
                <w:sz w:val="20"/>
                <w:szCs w:val="20"/>
              </w:rPr>
              <w:t>年與</w:t>
            </w:r>
            <w:r w:rsidRPr="00C77E77">
              <w:rPr>
                <w:rFonts w:ascii="Times New Roman" w:eastAsia="標楷體" w:hAnsi="Times New Roman" w:cs="Times New Roman"/>
                <w:bCs/>
                <w:color w:val="000000" w:themeColor="text1"/>
                <w:kern w:val="0"/>
                <w:sz w:val="20"/>
                <w:szCs w:val="20"/>
              </w:rPr>
              <w:t>103</w:t>
            </w:r>
            <w:r w:rsidRPr="00C77E77">
              <w:rPr>
                <w:rFonts w:ascii="Times New Roman" w:eastAsia="標楷體" w:hAnsi="Times New Roman" w:cs="Times New Roman"/>
                <w:bCs/>
                <w:color w:val="000000" w:themeColor="text1"/>
                <w:kern w:val="0"/>
                <w:sz w:val="20"/>
                <w:szCs w:val="20"/>
              </w:rPr>
              <w:t>年全年比較。</w:t>
            </w:r>
          </w:p>
          <w:p w:rsidR="006D2155" w:rsidRPr="00C77E77" w:rsidRDefault="006D2155" w:rsidP="00764ED7">
            <w:pPr>
              <w:pStyle w:val="ab"/>
              <w:widowControl/>
              <w:numPr>
                <w:ilvl w:val="0"/>
                <w:numId w:val="14"/>
              </w:numPr>
              <w:spacing w:line="0" w:lineRule="atLeast"/>
              <w:ind w:leftChars="0"/>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菲律賓投資統計件數，</w:t>
            </w:r>
            <w:r w:rsidRPr="00C77E77">
              <w:rPr>
                <w:rFonts w:ascii="Times New Roman" w:eastAsia="標楷體" w:hAnsi="Times New Roman" w:cs="Times New Roman"/>
                <w:bCs/>
                <w:color w:val="000000" w:themeColor="text1"/>
                <w:kern w:val="0"/>
                <w:sz w:val="20"/>
                <w:szCs w:val="20"/>
              </w:rPr>
              <w:t>101</w:t>
            </w:r>
            <w:r w:rsidRPr="00C77E77">
              <w:rPr>
                <w:rFonts w:ascii="Times New Roman" w:eastAsia="標楷體" w:hAnsi="Times New Roman" w:cs="Times New Roman"/>
                <w:bCs/>
                <w:color w:val="000000" w:themeColor="text1"/>
                <w:kern w:val="0"/>
                <w:sz w:val="20"/>
                <w:szCs w:val="20"/>
              </w:rPr>
              <w:t>及</w:t>
            </w:r>
            <w:r w:rsidRPr="00C77E77">
              <w:rPr>
                <w:rFonts w:ascii="Times New Roman" w:eastAsia="標楷體" w:hAnsi="Times New Roman" w:cs="Times New Roman"/>
                <w:bCs/>
                <w:color w:val="000000" w:themeColor="text1"/>
                <w:kern w:val="0"/>
                <w:sz w:val="20"/>
                <w:szCs w:val="20"/>
              </w:rPr>
              <w:t>102</w:t>
            </w:r>
            <w:r w:rsidRPr="00C77E77">
              <w:rPr>
                <w:rFonts w:ascii="Times New Roman" w:eastAsia="標楷體" w:hAnsi="Times New Roman" w:cs="Times New Roman"/>
                <w:bCs/>
                <w:color w:val="000000" w:themeColor="text1"/>
                <w:kern w:val="0"/>
                <w:sz w:val="20"/>
                <w:szCs w:val="20"/>
              </w:rPr>
              <w:t>年係採經濟部投資審議委員會資料。</w:t>
            </w:r>
          </w:p>
          <w:p w:rsidR="006D2155" w:rsidRPr="00C77E77" w:rsidRDefault="006D2155" w:rsidP="00764ED7">
            <w:pPr>
              <w:pStyle w:val="ab"/>
              <w:widowControl/>
              <w:numPr>
                <w:ilvl w:val="0"/>
                <w:numId w:val="14"/>
              </w:numPr>
              <w:spacing w:line="0" w:lineRule="atLeast"/>
              <w:ind w:leftChars="0"/>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泰國</w:t>
            </w:r>
            <w:r w:rsidR="00AC6B58"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僅次於日、美</w:t>
            </w:r>
            <w:r w:rsidR="00AC6B58"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、馬來西亞</w:t>
            </w:r>
            <w:r w:rsidR="00AC6B58"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次於日、美、新加坡</w:t>
            </w:r>
            <w:r w:rsidR="00AC6B58"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、越南</w:t>
            </w:r>
            <w:r w:rsidR="00AC6B58"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僅次於南韓、日本、新加坡</w:t>
            </w:r>
            <w:r w:rsidR="00AC6B58" w:rsidRPr="00C77E77">
              <w:rPr>
                <w:rFonts w:ascii="Times New Roman" w:eastAsia="標楷體" w:hAnsi="Times New Roman" w:cs="Times New Roman"/>
                <w:bCs/>
                <w:color w:val="000000" w:themeColor="text1"/>
                <w:kern w:val="0"/>
                <w:sz w:val="20"/>
                <w:szCs w:val="20"/>
              </w:rPr>
              <w:t>）</w:t>
            </w:r>
            <w:r w:rsidRPr="00C77E77">
              <w:rPr>
                <w:rFonts w:ascii="Times New Roman" w:eastAsia="標楷體" w:hAnsi="Times New Roman" w:cs="Times New Roman"/>
                <w:bCs/>
                <w:color w:val="000000" w:themeColor="text1"/>
                <w:kern w:val="0"/>
                <w:sz w:val="20"/>
                <w:szCs w:val="20"/>
              </w:rPr>
              <w:t>。</w:t>
            </w:r>
          </w:p>
          <w:p w:rsidR="006D2155" w:rsidRPr="00C77E77" w:rsidRDefault="006D2155" w:rsidP="00764ED7">
            <w:pPr>
              <w:pStyle w:val="ab"/>
              <w:widowControl/>
              <w:numPr>
                <w:ilvl w:val="0"/>
                <w:numId w:val="14"/>
              </w:numPr>
              <w:spacing w:line="0" w:lineRule="atLeast"/>
              <w:ind w:leftChars="0"/>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本表印尼之投資金額係以核准金額統計，印尼</w:t>
            </w:r>
            <w:r w:rsidRPr="00C77E77">
              <w:rPr>
                <w:rFonts w:ascii="Times New Roman" w:eastAsia="標楷體" w:hAnsi="Times New Roman" w:cs="Times New Roman"/>
                <w:bCs/>
                <w:color w:val="000000" w:themeColor="text1"/>
                <w:kern w:val="0"/>
                <w:sz w:val="20"/>
                <w:szCs w:val="20"/>
              </w:rPr>
              <w:t>BKPM</w:t>
            </w:r>
            <w:r w:rsidRPr="00C77E77">
              <w:rPr>
                <w:rFonts w:ascii="Times New Roman" w:eastAsia="標楷體" w:hAnsi="Times New Roman" w:cs="Times New Roman"/>
                <w:bCs/>
                <w:color w:val="000000" w:themeColor="text1"/>
                <w:kern w:val="0"/>
                <w:sz w:val="20"/>
                <w:szCs w:val="20"/>
              </w:rPr>
              <w:t>官方發布金額為投資到位金額。</w:t>
            </w:r>
          </w:p>
          <w:p w:rsidR="006D2155" w:rsidRPr="00C77E77" w:rsidRDefault="006D2155" w:rsidP="00764ED7">
            <w:pPr>
              <w:pStyle w:val="ab"/>
              <w:widowControl/>
              <w:numPr>
                <w:ilvl w:val="0"/>
                <w:numId w:val="14"/>
              </w:numPr>
              <w:spacing w:line="0" w:lineRule="atLeast"/>
              <w:ind w:leftChars="0"/>
              <w:rPr>
                <w:rFonts w:ascii="Times New Roman" w:eastAsia="標楷體" w:hAnsi="Times New Roman" w:cs="Times New Roman"/>
                <w:bCs/>
                <w:color w:val="000000" w:themeColor="text1"/>
                <w:kern w:val="0"/>
                <w:sz w:val="20"/>
                <w:szCs w:val="20"/>
              </w:rPr>
            </w:pPr>
            <w:r w:rsidRPr="00C77E77">
              <w:rPr>
                <w:rFonts w:ascii="Times New Roman" w:eastAsia="標楷體" w:hAnsi="Times New Roman" w:cs="Times New Roman"/>
                <w:bCs/>
                <w:color w:val="000000" w:themeColor="text1"/>
                <w:kern w:val="0"/>
                <w:sz w:val="20"/>
                <w:szCs w:val="20"/>
              </w:rPr>
              <w:t>緬甸</w:t>
            </w:r>
            <w:r w:rsidRPr="00C77E77">
              <w:rPr>
                <w:rFonts w:ascii="Times New Roman" w:eastAsia="標楷體" w:hAnsi="Times New Roman" w:cs="Times New Roman"/>
                <w:bCs/>
                <w:color w:val="000000" w:themeColor="text1"/>
                <w:kern w:val="0"/>
                <w:sz w:val="20"/>
                <w:szCs w:val="20"/>
              </w:rPr>
              <w:t>93</w:t>
            </w:r>
            <w:r w:rsidRPr="00C77E77">
              <w:rPr>
                <w:rFonts w:ascii="Times New Roman" w:eastAsia="標楷體" w:hAnsi="Times New Roman" w:cs="Times New Roman"/>
                <w:bCs/>
                <w:color w:val="000000" w:themeColor="text1"/>
                <w:kern w:val="0"/>
                <w:sz w:val="20"/>
                <w:szCs w:val="20"/>
              </w:rPr>
              <w:t>年、</w:t>
            </w:r>
            <w:r w:rsidRPr="00C77E77">
              <w:rPr>
                <w:rFonts w:ascii="Times New Roman" w:eastAsia="標楷體" w:hAnsi="Times New Roman" w:cs="Times New Roman"/>
                <w:bCs/>
                <w:color w:val="000000" w:themeColor="text1"/>
                <w:kern w:val="0"/>
                <w:sz w:val="20"/>
                <w:szCs w:val="20"/>
              </w:rPr>
              <w:t>96</w:t>
            </w:r>
            <w:r w:rsidRPr="00C77E77">
              <w:rPr>
                <w:rFonts w:ascii="Times New Roman" w:eastAsia="標楷體" w:hAnsi="Times New Roman" w:cs="Times New Roman"/>
                <w:bCs/>
                <w:color w:val="000000" w:themeColor="text1"/>
                <w:kern w:val="0"/>
                <w:sz w:val="20"/>
                <w:szCs w:val="20"/>
              </w:rPr>
              <w:t>年、</w:t>
            </w:r>
            <w:r w:rsidRPr="00C77E77">
              <w:rPr>
                <w:rFonts w:ascii="Times New Roman" w:eastAsia="標楷體" w:hAnsi="Times New Roman" w:cs="Times New Roman"/>
                <w:bCs/>
                <w:color w:val="000000" w:themeColor="text1"/>
                <w:kern w:val="0"/>
                <w:sz w:val="20"/>
                <w:szCs w:val="20"/>
              </w:rPr>
              <w:t>97</w:t>
            </w:r>
            <w:r w:rsidRPr="00C77E77">
              <w:rPr>
                <w:rFonts w:ascii="Times New Roman" w:eastAsia="標楷體" w:hAnsi="Times New Roman" w:cs="Times New Roman"/>
                <w:bCs/>
                <w:color w:val="000000" w:themeColor="text1"/>
                <w:kern w:val="0"/>
                <w:sz w:val="20"/>
                <w:szCs w:val="20"/>
              </w:rPr>
              <w:t>年及</w:t>
            </w:r>
            <w:r w:rsidRPr="00C77E77">
              <w:rPr>
                <w:rFonts w:ascii="Times New Roman" w:eastAsia="標楷體" w:hAnsi="Times New Roman" w:cs="Times New Roman"/>
                <w:bCs/>
                <w:color w:val="000000" w:themeColor="text1"/>
                <w:kern w:val="0"/>
                <w:sz w:val="20"/>
                <w:szCs w:val="20"/>
              </w:rPr>
              <w:t>101</w:t>
            </w:r>
            <w:r w:rsidRPr="00C77E77">
              <w:rPr>
                <w:rFonts w:ascii="Times New Roman" w:eastAsia="標楷體" w:hAnsi="Times New Roman" w:cs="Times New Roman"/>
                <w:bCs/>
                <w:color w:val="000000" w:themeColor="text1"/>
                <w:kern w:val="0"/>
                <w:sz w:val="20"/>
                <w:szCs w:val="20"/>
              </w:rPr>
              <w:t>年之投資金額係原投資案件增資。</w:t>
            </w:r>
          </w:p>
        </w:tc>
      </w:tr>
    </w:tbl>
    <w:p w:rsidR="006D2155" w:rsidRPr="00C77E77" w:rsidRDefault="006D2155" w:rsidP="006D2155">
      <w:pPr>
        <w:spacing w:beforeLines="50" w:before="180" w:afterLines="50" w:after="180" w:line="360" w:lineRule="auto"/>
        <w:jc w:val="both"/>
        <w:rPr>
          <w:rFonts w:ascii="Times New Roman" w:eastAsia="標楷體" w:hAnsi="Times New Roman" w:cs="Times New Roman"/>
          <w:b/>
          <w:kern w:val="0"/>
          <w:sz w:val="28"/>
          <w:szCs w:val="28"/>
        </w:rPr>
        <w:sectPr w:rsidR="006D2155" w:rsidRPr="00C77E77" w:rsidSect="00D70592">
          <w:pgSz w:w="16838" w:h="11906" w:orient="landscape"/>
          <w:pgMar w:top="720" w:right="720" w:bottom="720" w:left="720" w:header="851" w:footer="992" w:gutter="0"/>
          <w:cols w:space="425"/>
          <w:docGrid w:type="lines" w:linePitch="360"/>
        </w:sectPr>
      </w:pPr>
    </w:p>
    <w:p w:rsidR="006D2155" w:rsidRPr="00C77E77" w:rsidRDefault="006D2155" w:rsidP="006D2155">
      <w:pPr>
        <w:spacing w:beforeLines="50" w:before="180" w:afterLines="50" w:after="180" w:line="500" w:lineRule="exact"/>
        <w:ind w:left="36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臺商在個別國家的投資數據彙整如後：</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印尼：</w:t>
      </w:r>
      <w:r w:rsidRPr="00C77E77">
        <w:rPr>
          <w:rFonts w:ascii="Times New Roman" w:eastAsia="標楷體" w:hAnsi="Times New Roman" w:cs="Times New Roman"/>
          <w:sz w:val="28"/>
          <w:szCs w:val="28"/>
        </w:rPr>
        <w:t>根據經濟部國貿局與投資業務處資料，截至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年，我在印尼累計投資總金額近</w:t>
      </w:r>
      <w:r w:rsidRPr="00C77E77">
        <w:rPr>
          <w:rFonts w:ascii="Times New Roman" w:eastAsia="標楷體" w:hAnsi="Times New Roman" w:cs="Times New Roman"/>
          <w:sz w:val="28"/>
          <w:szCs w:val="28"/>
        </w:rPr>
        <w:t>170</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9,700</w:t>
      </w:r>
      <w:r w:rsidRPr="00C77E77">
        <w:rPr>
          <w:rFonts w:ascii="Times New Roman" w:eastAsia="標楷體" w:hAnsi="Times New Roman" w:cs="Times New Roman"/>
          <w:sz w:val="28"/>
          <w:szCs w:val="28"/>
        </w:rPr>
        <w:t>萬美元，排名第</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大印尼外人投資來源國。臺商在印尼投資之主要行業依序為：家具業、紡織業、製鞋皮革業、金屬製品業、貿易服務業及農漁業等；據估算，目前在印尼經營事業或工作之臺商及技術人員約</w:t>
      </w:r>
      <w:r w:rsidRPr="00C77E77">
        <w:rPr>
          <w:rFonts w:ascii="Times New Roman" w:eastAsia="標楷體" w:hAnsi="Times New Roman" w:cs="Times New Roman"/>
          <w:sz w:val="28"/>
          <w:szCs w:val="28"/>
        </w:rPr>
        <w:t>10,000</w:t>
      </w:r>
      <w:r w:rsidRPr="00C77E77">
        <w:rPr>
          <w:rFonts w:ascii="Times New Roman" w:eastAsia="標楷體" w:hAnsi="Times New Roman" w:cs="Times New Roman"/>
          <w:sz w:val="28"/>
          <w:szCs w:val="28"/>
        </w:rPr>
        <w:t>人，另據估計印尼臺商家數應在</w:t>
      </w:r>
      <w:r w:rsidRPr="00C77E77">
        <w:rPr>
          <w:rFonts w:ascii="Times New Roman" w:eastAsia="標楷體" w:hAnsi="Times New Roman" w:cs="Times New Roman"/>
          <w:sz w:val="28"/>
          <w:szCs w:val="28"/>
        </w:rPr>
        <w:t>2,000</w:t>
      </w:r>
      <w:r w:rsidRPr="00C77E77">
        <w:rPr>
          <w:rFonts w:ascii="Times New Roman" w:eastAsia="標楷體" w:hAnsi="Times New Roman" w:cs="Times New Roman"/>
          <w:sz w:val="28"/>
          <w:szCs w:val="28"/>
        </w:rPr>
        <w:t>家以上。臺商在雅加達、萬隆、泗水、中爪哇（三寶瓏）、井里汶、巴譚島、棉蘭及峇里島等地區均設有「臺灣工商聯誼會」。</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馬來西亞：</w:t>
      </w:r>
      <w:r w:rsidRPr="00C77E77">
        <w:rPr>
          <w:rFonts w:ascii="Times New Roman" w:eastAsia="標楷體" w:hAnsi="Times New Roman" w:cs="Times New Roman"/>
          <w:sz w:val="28"/>
          <w:szCs w:val="28"/>
        </w:rPr>
        <w:t>根據經濟部國貿局與投資業務處資料，截至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年底止，臺商對馬來西亞累計投資金額</w:t>
      </w:r>
      <w:r w:rsidRPr="00C77E77">
        <w:rPr>
          <w:rFonts w:ascii="Times New Roman" w:eastAsia="標楷體" w:hAnsi="Times New Roman" w:cs="Times New Roman"/>
          <w:sz w:val="28"/>
          <w:szCs w:val="28"/>
        </w:rPr>
        <w:t>121</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800</w:t>
      </w:r>
      <w:r w:rsidRPr="00C77E77">
        <w:rPr>
          <w:rFonts w:ascii="Times New Roman" w:eastAsia="標楷體" w:hAnsi="Times New Roman" w:cs="Times New Roman"/>
          <w:sz w:val="28"/>
          <w:szCs w:val="28"/>
        </w:rPr>
        <w:t>萬美元，共</w:t>
      </w:r>
      <w:r w:rsidRPr="00C77E77">
        <w:rPr>
          <w:rFonts w:ascii="Times New Roman" w:eastAsia="標楷體" w:hAnsi="Times New Roman" w:cs="Times New Roman"/>
          <w:sz w:val="28"/>
          <w:szCs w:val="28"/>
        </w:rPr>
        <w:t>2,444</w:t>
      </w:r>
      <w:r w:rsidRPr="00C77E77">
        <w:rPr>
          <w:rFonts w:ascii="Times New Roman" w:eastAsia="標楷體" w:hAnsi="Times New Roman" w:cs="Times New Roman"/>
          <w:sz w:val="28"/>
          <w:szCs w:val="28"/>
        </w:rPr>
        <w:t>件，為馬來西亞累計外人投資第</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大國。臺商投資之地點主要分佈在吉隆玻、雪蘭莪州、檳城、森美蘭州、柔佛州、馬六甲州、霹靂州、吉打州及沙巴州等地區。主要投資產業包括：電子電器製品、非金屬礦物質產品、紙製品、金屬鑄造產品、機械等。</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菲律賓：</w:t>
      </w:r>
      <w:r w:rsidRPr="00C77E77">
        <w:rPr>
          <w:rFonts w:ascii="Times New Roman" w:eastAsia="標楷體" w:hAnsi="Times New Roman" w:cs="Times New Roman"/>
          <w:sz w:val="28"/>
          <w:szCs w:val="28"/>
        </w:rPr>
        <w:t>因為菲國對內銷企業有外商持股不得超過</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及購買土地等限制，我商多以菲商名義登記投資，造成菲國官方統計與實際情形嚴重差異，菲國對於外國人投資件數未作統計。截至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年底止，臺商對菲律賓累計投資金額</w:t>
      </w:r>
      <w:r w:rsidRPr="00C77E77">
        <w:rPr>
          <w:rFonts w:ascii="Times New Roman" w:eastAsia="標楷體" w:hAnsi="Times New Roman" w:cs="Times New Roman"/>
          <w:sz w:val="28"/>
          <w:szCs w:val="28"/>
        </w:rPr>
        <w:t>22</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7,422</w:t>
      </w:r>
      <w:r w:rsidRPr="00C77E77">
        <w:rPr>
          <w:rFonts w:ascii="Times New Roman" w:eastAsia="標楷體" w:hAnsi="Times New Roman" w:cs="Times New Roman"/>
          <w:sz w:val="28"/>
          <w:szCs w:val="28"/>
        </w:rPr>
        <w:t>萬美元，是菲律賓的第七大外資來源。臺商在菲國投資行業廣泛，包括汽車、摩托車、衛浴設備、便利商店、紡織成衣、農漁業及水產品、電子及電器產品、房地產及營建業、金屬及非金屬產品、機械業、紙漿及紙製品、橡塑膠業、化學、食品、金融保險、海運、航空等。</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泰國：</w:t>
      </w:r>
      <w:r w:rsidRPr="00C77E77">
        <w:rPr>
          <w:rFonts w:ascii="Times New Roman" w:eastAsia="標楷體" w:hAnsi="Times New Roman" w:cs="Times New Roman"/>
          <w:sz w:val="28"/>
          <w:szCs w:val="28"/>
        </w:rPr>
        <w:t>根據經濟部國貿局與投資業務處資料，截至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年底止，臺商對泰國累計投資金額</w:t>
      </w:r>
      <w:r w:rsidRPr="00C77E77">
        <w:rPr>
          <w:rFonts w:ascii="Times New Roman" w:eastAsia="標楷體" w:hAnsi="Times New Roman" w:cs="Times New Roman"/>
          <w:sz w:val="28"/>
          <w:szCs w:val="28"/>
        </w:rPr>
        <w:t>139</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8,593</w:t>
      </w:r>
      <w:r w:rsidRPr="00C77E77">
        <w:rPr>
          <w:rFonts w:ascii="Times New Roman" w:eastAsia="標楷體" w:hAnsi="Times New Roman" w:cs="Times New Roman"/>
          <w:sz w:val="28"/>
          <w:szCs w:val="28"/>
        </w:rPr>
        <w:t>萬美元，</w:t>
      </w:r>
      <w:r w:rsidR="007F08FC"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是泰國的第三大外資來源國。統計臺商的投資核准家數為</w:t>
      </w:r>
      <w:r w:rsidRPr="00C77E77">
        <w:rPr>
          <w:rFonts w:ascii="Times New Roman" w:eastAsia="標楷體" w:hAnsi="Times New Roman" w:cs="Times New Roman"/>
          <w:sz w:val="28"/>
          <w:szCs w:val="28"/>
        </w:rPr>
        <w:t>2,222</w:t>
      </w:r>
      <w:r w:rsidRPr="00C77E77">
        <w:rPr>
          <w:rFonts w:ascii="Times New Roman" w:eastAsia="標楷體" w:hAnsi="Times New Roman" w:cs="Times New Roman"/>
          <w:sz w:val="28"/>
          <w:szCs w:val="28"/>
        </w:rPr>
        <w:t>件，但由於許多</w:t>
      </w:r>
      <w:r w:rsidRPr="00C77E77">
        <w:rPr>
          <w:rFonts w:ascii="Times New Roman" w:eastAsia="標楷體" w:hAnsi="Times New Roman" w:cs="Times New Roman"/>
          <w:sz w:val="28"/>
          <w:szCs w:val="28"/>
        </w:rPr>
        <w:lastRenderedPageBreak/>
        <w:t>臺商公司或工廠係以泰籍夥伴名義登記，或認股低於</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，而未能以臺商身份列入統計。另據向全泰國</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個臺商聯誼會調查結果，其轄下登記臺商會員總數已超過</w:t>
      </w:r>
      <w:r w:rsidRPr="00C77E77">
        <w:rPr>
          <w:rFonts w:ascii="Times New Roman" w:eastAsia="標楷體" w:hAnsi="Times New Roman" w:cs="Times New Roman"/>
          <w:sz w:val="28"/>
          <w:szCs w:val="28"/>
        </w:rPr>
        <w:t>3,000</w:t>
      </w:r>
      <w:r w:rsidRPr="00C77E77">
        <w:rPr>
          <w:rFonts w:ascii="Times New Roman" w:eastAsia="標楷體" w:hAnsi="Times New Roman" w:cs="Times New Roman"/>
          <w:sz w:val="28"/>
          <w:szCs w:val="28"/>
        </w:rPr>
        <w:t>家，且仍有相當數量之臺商未加入臺商聯誼會，故保守估計泰國臺商家數至少在</w:t>
      </w:r>
      <w:r w:rsidRPr="00C77E77">
        <w:rPr>
          <w:rFonts w:ascii="Times New Roman" w:eastAsia="標楷體" w:hAnsi="Times New Roman" w:cs="Times New Roman"/>
          <w:sz w:val="28"/>
          <w:szCs w:val="28"/>
        </w:rPr>
        <w:t>5,000</w:t>
      </w:r>
      <w:r w:rsidRPr="00C77E77">
        <w:rPr>
          <w:rFonts w:ascii="Times New Roman" w:eastAsia="標楷體" w:hAnsi="Times New Roman" w:cs="Times New Roman"/>
          <w:sz w:val="28"/>
          <w:szCs w:val="28"/>
        </w:rPr>
        <w:t>家以上。臺商在泰國投資的除了電子、橡膠、鋼鐵及石化等投資金額較大之產業外，其他大部分均為傳統中小企業之製造業，投資項目包含甚廣，從魚蝦養殖、紡織、機械、進出口、珠寶、農產品加工、運動器材、家具、到陶瓷、建材、人力仲介、房地產開發、證券、保全、珍珠奶茶、旅行社等。</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新加坡：</w:t>
      </w:r>
      <w:r w:rsidRPr="00C77E77">
        <w:rPr>
          <w:rFonts w:ascii="Times New Roman" w:eastAsia="標楷體" w:hAnsi="Times New Roman" w:cs="Times New Roman"/>
          <w:sz w:val="28"/>
          <w:szCs w:val="28"/>
        </w:rPr>
        <w:t>新加坡居東南亞金融、貿易及運輸樞紐地位，我國企業在星國投資的產業以貿易及金融保險服務業、電子製造、食品製造、化學材料製造等行業，以新加坡為區域總部，操作國際接單、融資、調撥零件、支援售後服務和蒐集國際市場最新情報等。依據我國投資審議委員會之統計，累計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年底止，臺商對新加坡累計投資金額</w:t>
      </w:r>
      <w:r w:rsidRPr="00C77E77">
        <w:rPr>
          <w:rFonts w:ascii="Times New Roman" w:eastAsia="標楷體" w:hAnsi="Times New Roman" w:cs="Times New Roman"/>
          <w:sz w:val="28"/>
          <w:szCs w:val="28"/>
        </w:rPr>
        <w:t>109</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8,117</w:t>
      </w:r>
      <w:r w:rsidRPr="00C77E77">
        <w:rPr>
          <w:rFonts w:ascii="Times New Roman" w:eastAsia="標楷體" w:hAnsi="Times New Roman" w:cs="Times New Roman"/>
          <w:sz w:val="28"/>
          <w:szCs w:val="28"/>
        </w:rPr>
        <w:t>萬美元，主要投資項目包含電腦、電子產品及光學製品製造業、化學材料製造業、批發零售業以及金融保險業等。</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越南：</w:t>
      </w:r>
      <w:r w:rsidRPr="00C77E77">
        <w:rPr>
          <w:rFonts w:ascii="Times New Roman" w:eastAsia="標楷體" w:hAnsi="Times New Roman" w:cs="Times New Roman"/>
          <w:sz w:val="28"/>
          <w:szCs w:val="28"/>
        </w:rPr>
        <w:t>累計至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年底止，臺商對越南累計投資金額</w:t>
      </w:r>
      <w:r w:rsidRPr="00C77E77">
        <w:rPr>
          <w:rFonts w:ascii="Times New Roman" w:eastAsia="標楷體" w:hAnsi="Times New Roman" w:cs="Times New Roman"/>
          <w:sz w:val="28"/>
          <w:szCs w:val="28"/>
        </w:rPr>
        <w:t>293</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3,962</w:t>
      </w:r>
      <w:r w:rsidRPr="00C77E77">
        <w:rPr>
          <w:rFonts w:ascii="Times New Roman" w:eastAsia="標楷體" w:hAnsi="Times New Roman" w:cs="Times New Roman"/>
          <w:sz w:val="28"/>
          <w:szCs w:val="28"/>
        </w:rPr>
        <w:t>萬美元，居外國人在越投資之第四位。根據越南計畫投資部資料，我商在越南投資之家數以成衣紡織業、鞋業、食品加工業、農林水產業、橡膠塑膠製品、木製家具業、機械業為最多。我商在越投資以中小規模製造業為主，大都集中在平陽省；較大型之製造業及營建業集中於胡志明市及同奈省；近年資訊電子業逐漸往越南北部地區投資；最大投資案為河靜省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塑集團一貫作業煉鋼廠。</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緬甸：</w:t>
      </w:r>
      <w:r w:rsidRPr="00C77E77">
        <w:rPr>
          <w:rFonts w:ascii="Times New Roman" w:eastAsia="標楷體" w:hAnsi="Times New Roman" w:cs="Times New Roman"/>
          <w:sz w:val="28"/>
          <w:szCs w:val="28"/>
        </w:rPr>
        <w:t>由於以往緬甸使領館不願對我文件進行驗證，使臺商無法</w:t>
      </w:r>
      <w:r w:rsidRPr="00C77E77">
        <w:rPr>
          <w:rFonts w:ascii="Times New Roman" w:eastAsia="標楷體" w:hAnsi="Times New Roman" w:cs="Times New Roman"/>
          <w:sz w:val="28"/>
          <w:szCs w:val="28"/>
        </w:rPr>
        <w:lastRenderedPageBreak/>
        <w:t>以臺灣公司名義直接進行投資，所以在緬甸投資之臺商多數經由第三國或利用當地人身分前往投資。累計至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年底止，臺商對緬甸累計投資金額</w:t>
      </w:r>
      <w:r w:rsidRPr="00C77E77">
        <w:rPr>
          <w:rFonts w:ascii="Times New Roman" w:eastAsia="標楷體" w:hAnsi="Times New Roman" w:cs="Times New Roman"/>
          <w:sz w:val="28"/>
          <w:szCs w:val="28"/>
        </w:rPr>
        <w:t>3,169</w:t>
      </w:r>
      <w:r w:rsidRPr="00C77E77">
        <w:rPr>
          <w:rFonts w:ascii="Times New Roman" w:eastAsia="標楷體" w:hAnsi="Times New Roman" w:cs="Times New Roman"/>
          <w:sz w:val="28"/>
          <w:szCs w:val="28"/>
        </w:rPr>
        <w:t>萬美元，目前我在緬甸臺商約有</w:t>
      </w:r>
      <w:r w:rsidRPr="00C77E77">
        <w:rPr>
          <w:rFonts w:ascii="Times New Roman" w:eastAsia="標楷體" w:hAnsi="Times New Roman" w:cs="Times New Roman"/>
          <w:sz w:val="28"/>
          <w:szCs w:val="28"/>
        </w:rPr>
        <w:t>200</w:t>
      </w:r>
      <w:r w:rsidRPr="00C77E77">
        <w:rPr>
          <w:rFonts w:ascii="Times New Roman" w:eastAsia="標楷體" w:hAnsi="Times New Roman" w:cs="Times New Roman"/>
          <w:sz w:val="28"/>
          <w:szCs w:val="28"/>
        </w:rPr>
        <w:t>家，投資經營行業包括：玻璃纖維水塔及漁船、紡織成衣、光學鏡片、冷氣空調、包裝膠帶、紙箱、建築、木材、農業、鞋業、繡花、汽車零件、化妝品等。近期較大型投資案件為寶成及宏全國際。</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柬埔寨：</w:t>
      </w:r>
      <w:r w:rsidRPr="00C77E77">
        <w:rPr>
          <w:rFonts w:ascii="Times New Roman" w:eastAsia="標楷體" w:hAnsi="Times New Roman" w:cs="Times New Roman"/>
          <w:sz w:val="28"/>
          <w:szCs w:val="28"/>
        </w:rPr>
        <w:t>根據經濟部國貿局與投資業務處資料，截至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年底止，臺商對柬埔寨累計投資</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9,686</w:t>
      </w:r>
      <w:r w:rsidRPr="00C77E77">
        <w:rPr>
          <w:rFonts w:ascii="Times New Roman" w:eastAsia="標楷體" w:hAnsi="Times New Roman" w:cs="Times New Roman"/>
          <w:sz w:val="28"/>
          <w:szCs w:val="28"/>
        </w:rPr>
        <w:t>萬美元，我國為柬埔寨第</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大外人投資國。我國投資柬國廠商大多以中小企業為主，計約有</w:t>
      </w:r>
      <w:r w:rsidRPr="00C77E77">
        <w:rPr>
          <w:rFonts w:ascii="Times New Roman" w:eastAsia="標楷體" w:hAnsi="Times New Roman" w:cs="Times New Roman"/>
          <w:sz w:val="28"/>
          <w:szCs w:val="28"/>
        </w:rPr>
        <w:t>200</w:t>
      </w:r>
      <w:r w:rsidRPr="00C77E77">
        <w:rPr>
          <w:rFonts w:ascii="Times New Roman" w:eastAsia="標楷體" w:hAnsi="Times New Roman" w:cs="Times New Roman"/>
          <w:sz w:val="28"/>
          <w:szCs w:val="28"/>
        </w:rPr>
        <w:t>餘家，主要投資項目有房地產及土地開發、農業開發、木材加工、紡織成衣、製鞋業、旅遊業，中以投資紡織成衣業為主。我國第一商業銀行、兆豐銀行、合作金庫行已正式在金邊設立分行。</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寮國：</w:t>
      </w:r>
      <w:r w:rsidRPr="00C77E77">
        <w:rPr>
          <w:rFonts w:ascii="Times New Roman" w:eastAsia="標楷體" w:hAnsi="Times New Roman" w:cs="Times New Roman"/>
          <w:sz w:val="28"/>
          <w:szCs w:val="28"/>
        </w:rPr>
        <w:t>寮國為</w:t>
      </w:r>
      <w:r w:rsidRPr="00C77E77">
        <w:rPr>
          <w:rFonts w:ascii="Times New Roman" w:eastAsia="標楷體" w:hAnsi="Times New Roman" w:cs="Times New Roman"/>
          <w:sz w:val="28"/>
          <w:szCs w:val="28"/>
        </w:rPr>
        <w:t>CLMV</w:t>
      </w:r>
      <w:r w:rsidRPr="00C77E77">
        <w:rPr>
          <w:rFonts w:ascii="Times New Roman" w:eastAsia="標楷體" w:hAnsi="Times New Roman" w:cs="Times New Roman"/>
          <w:sz w:val="28"/>
          <w:szCs w:val="28"/>
        </w:rPr>
        <w:t>（柬埔寨</w:t>
      </w:r>
      <w:r w:rsidRPr="00C77E77">
        <w:rPr>
          <w:rFonts w:ascii="Times New Roman" w:eastAsia="標楷體" w:hAnsi="Times New Roman" w:cs="Times New Roman"/>
          <w:sz w:val="28"/>
          <w:szCs w:val="28"/>
        </w:rPr>
        <w:t>Cambodia</w:t>
      </w:r>
      <w:r w:rsidRPr="00C77E77">
        <w:rPr>
          <w:rFonts w:ascii="Times New Roman" w:eastAsia="標楷體" w:hAnsi="Times New Roman" w:cs="Times New Roman"/>
          <w:sz w:val="28"/>
          <w:szCs w:val="28"/>
        </w:rPr>
        <w:t>、寮國</w:t>
      </w:r>
      <w:r w:rsidRPr="00C77E77">
        <w:rPr>
          <w:rFonts w:ascii="Times New Roman" w:eastAsia="標楷體" w:hAnsi="Times New Roman" w:cs="Times New Roman"/>
          <w:sz w:val="28"/>
          <w:szCs w:val="28"/>
        </w:rPr>
        <w:t>Lao</w:t>
      </w:r>
      <w:r w:rsidRPr="00C77E77">
        <w:rPr>
          <w:rFonts w:ascii="Times New Roman" w:eastAsia="標楷體" w:hAnsi="Times New Roman" w:cs="Times New Roman"/>
          <w:sz w:val="28"/>
          <w:szCs w:val="28"/>
        </w:rPr>
        <w:t>、緬甸</w:t>
      </w:r>
      <w:r w:rsidRPr="00C77E77">
        <w:rPr>
          <w:rFonts w:ascii="Times New Roman" w:eastAsia="標楷體" w:hAnsi="Times New Roman" w:cs="Times New Roman"/>
          <w:sz w:val="28"/>
          <w:szCs w:val="28"/>
        </w:rPr>
        <w:t>Myanmar</w:t>
      </w:r>
      <w:r w:rsidRPr="00C77E77">
        <w:rPr>
          <w:rFonts w:ascii="Times New Roman" w:eastAsia="標楷體" w:hAnsi="Times New Roman" w:cs="Times New Roman"/>
          <w:sz w:val="28"/>
          <w:szCs w:val="28"/>
        </w:rPr>
        <w:t>和越南</w:t>
      </w:r>
      <w:r w:rsidRPr="00C77E77">
        <w:rPr>
          <w:rFonts w:ascii="Times New Roman" w:eastAsia="標楷體" w:hAnsi="Times New Roman" w:cs="Times New Roman"/>
          <w:sz w:val="28"/>
          <w:szCs w:val="28"/>
        </w:rPr>
        <w:t>Vietnam</w:t>
      </w:r>
      <w:r w:rsidRPr="00C77E77">
        <w:rPr>
          <w:rFonts w:ascii="Times New Roman" w:eastAsia="標楷體" w:hAnsi="Times New Roman" w:cs="Times New Roman"/>
          <w:sz w:val="28"/>
          <w:szCs w:val="28"/>
        </w:rPr>
        <w:t>，俗稱的東協「新四國」）中接受外人投資金額最少之國家，自</w:t>
      </w:r>
      <w:r w:rsidRPr="00C77E77">
        <w:rPr>
          <w:rFonts w:ascii="Times New Roman" w:eastAsia="標楷體" w:hAnsi="Times New Roman" w:cs="Times New Roman"/>
          <w:sz w:val="28"/>
          <w:szCs w:val="28"/>
        </w:rPr>
        <w:t>2010</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年間，其每年</w:t>
      </w:r>
      <w:r w:rsidRPr="00C77E77">
        <w:rPr>
          <w:rFonts w:ascii="Times New Roman" w:eastAsia="標楷體" w:hAnsi="Times New Roman" w:cs="Times New Roman"/>
          <w:sz w:val="28"/>
          <w:szCs w:val="28"/>
        </w:rPr>
        <w:t>FDI</w:t>
      </w:r>
      <w:r w:rsidRPr="00C77E77">
        <w:rPr>
          <w:rFonts w:ascii="Times New Roman" w:eastAsia="標楷體" w:hAnsi="Times New Roman" w:cs="Times New Roman"/>
          <w:sz w:val="28"/>
          <w:szCs w:val="28"/>
        </w:rPr>
        <w:t>流入金額僅約介在</w:t>
      </w:r>
      <w:r w:rsidRPr="00C77E77">
        <w:rPr>
          <w:rFonts w:ascii="Times New Roman" w:eastAsia="標楷體" w:hAnsi="Times New Roman" w:cs="Times New Roman"/>
          <w:sz w:val="28"/>
          <w:szCs w:val="28"/>
        </w:rPr>
        <w:t>2.7</w:t>
      </w:r>
      <w:r w:rsidRPr="00C77E77">
        <w:rPr>
          <w:rFonts w:ascii="Times New Roman" w:eastAsia="標楷體" w:hAnsi="Times New Roman" w:cs="Times New Roman"/>
          <w:sz w:val="28"/>
          <w:szCs w:val="28"/>
        </w:rPr>
        <w:t>億美元至</w:t>
      </w:r>
      <w:r w:rsidRPr="00C77E77">
        <w:rPr>
          <w:rFonts w:ascii="Times New Roman" w:eastAsia="標楷體" w:hAnsi="Times New Roman" w:cs="Times New Roman"/>
          <w:sz w:val="28"/>
          <w:szCs w:val="28"/>
        </w:rPr>
        <w:t>7.2</w:t>
      </w:r>
      <w:r w:rsidRPr="00C77E77">
        <w:rPr>
          <w:rFonts w:ascii="Times New Roman" w:eastAsia="標楷體" w:hAnsi="Times New Roman" w:cs="Times New Roman"/>
          <w:sz w:val="28"/>
          <w:szCs w:val="28"/>
        </w:rPr>
        <w:t>億美元間。累計至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年底，我國對寮國之投資登記在案者僅</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件投資案件，投資金額僅</w:t>
      </w:r>
      <w:r w:rsidRPr="00C77E77">
        <w:rPr>
          <w:rFonts w:ascii="Times New Roman" w:eastAsia="標楷體" w:hAnsi="Times New Roman" w:cs="Times New Roman"/>
          <w:sz w:val="28"/>
          <w:szCs w:val="28"/>
        </w:rPr>
        <w:t>3,320</w:t>
      </w:r>
      <w:r w:rsidRPr="00C77E77">
        <w:rPr>
          <w:rFonts w:ascii="Times New Roman" w:eastAsia="標楷體" w:hAnsi="Times New Roman" w:cs="Times New Roman"/>
          <w:sz w:val="28"/>
          <w:szCs w:val="28"/>
        </w:rPr>
        <w:t>美元。臺商在寮國投資以中小型企業為主，主要投資項目為鋸木、傢俱、成衣等。目前在寮國從事投資或貿易臺商約</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位，大部分集中於首府永珍地區，投資業別包括紡織、木材開發、小家電、塑膠、造紙、旅館及礦產開發等。臺灣商會寮國總會於</w:t>
      </w: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月獲寮國政府同意成立，會員人數約</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人。</w:t>
      </w:r>
    </w:p>
    <w:p w:rsidR="006D2155" w:rsidRPr="00C77E77" w:rsidRDefault="006D2155" w:rsidP="00764ED7">
      <w:pPr>
        <w:pStyle w:val="ab"/>
        <w:numPr>
          <w:ilvl w:val="0"/>
          <w:numId w:val="16"/>
        </w:numPr>
        <w:spacing w:beforeLines="50" w:before="180" w:afterLines="50" w:after="180" w:line="500" w:lineRule="exact"/>
        <w:ind w:leftChars="0" w:left="127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汶萊：</w:t>
      </w:r>
      <w:r w:rsidRPr="00C77E77">
        <w:rPr>
          <w:rFonts w:ascii="Times New Roman" w:eastAsia="標楷體" w:hAnsi="Times New Roman" w:cs="Times New Roman"/>
          <w:sz w:val="28"/>
          <w:szCs w:val="28"/>
        </w:rPr>
        <w:t>汶萊曾是東南亞一個貧窮落後的農業小國，</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世紀初發現石油後，汶萊的經濟結構發生了根本性的變化，石油和天然氣開採業成為經濟的支柱產業。目前我國在汶萊約有僑民</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百餘人，多來自金門，主要從事批發、零售、貿易及建築業。截至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lastRenderedPageBreak/>
        <w:t>底，臺商在汶萊累計投資</w:t>
      </w:r>
      <w:r w:rsidRPr="00C77E77">
        <w:rPr>
          <w:rFonts w:ascii="Times New Roman" w:eastAsia="標楷體" w:hAnsi="Times New Roman" w:cs="Times New Roman"/>
          <w:sz w:val="28"/>
          <w:szCs w:val="28"/>
        </w:rPr>
        <w:t>51</w:t>
      </w:r>
      <w:r w:rsidRPr="00C77E77">
        <w:rPr>
          <w:rFonts w:ascii="Times New Roman" w:eastAsia="標楷體" w:hAnsi="Times New Roman" w:cs="Times New Roman"/>
          <w:sz w:val="28"/>
          <w:szCs w:val="28"/>
        </w:rPr>
        <w:t>件，總金額</w:t>
      </w:r>
      <w:r w:rsidRPr="00C77E77">
        <w:rPr>
          <w:rFonts w:ascii="Times New Roman" w:eastAsia="標楷體" w:hAnsi="Times New Roman" w:cs="Times New Roman"/>
          <w:sz w:val="28"/>
          <w:szCs w:val="28"/>
        </w:rPr>
        <w:t>36</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7,557</w:t>
      </w:r>
      <w:r w:rsidRPr="00C77E77">
        <w:rPr>
          <w:rFonts w:ascii="Times New Roman" w:eastAsia="標楷體" w:hAnsi="Times New Roman" w:cs="Times New Roman"/>
          <w:sz w:val="28"/>
          <w:szCs w:val="28"/>
        </w:rPr>
        <w:t>萬美元。主要從事漁業養殖、貿易、百貨、地產、製造等行業。</w:t>
      </w:r>
    </w:p>
    <w:p w:rsidR="006D2155" w:rsidRPr="00C77E77" w:rsidRDefault="006D2155" w:rsidP="00764ED7">
      <w:pPr>
        <w:pStyle w:val="ab"/>
        <w:numPr>
          <w:ilvl w:val="0"/>
          <w:numId w:val="12"/>
        </w:numPr>
        <w:spacing w:beforeLines="50" w:before="180" w:afterLines="50" w:after="180" w:line="500" w:lineRule="exact"/>
        <w:ind w:leftChars="100" w:left="1125"/>
        <w:jc w:val="both"/>
        <w:rPr>
          <w:rFonts w:ascii="Times New Roman" w:eastAsia="標楷體" w:hAnsi="Times New Roman" w:cs="Times New Roman"/>
          <w:b/>
          <w:sz w:val="28"/>
          <w:szCs w:val="28"/>
        </w:rPr>
      </w:pPr>
      <w:r w:rsidRPr="00C77E77">
        <w:rPr>
          <w:rFonts w:ascii="Times New Roman" w:eastAsia="標楷體" w:hAnsi="Times New Roman" w:cs="Times New Roman"/>
          <w:b/>
          <w:kern w:val="0"/>
          <w:sz w:val="28"/>
          <w:szCs w:val="28"/>
        </w:rPr>
        <w:t>臺灣對印度之投資</w:t>
      </w:r>
    </w:p>
    <w:p w:rsidR="008371A2" w:rsidRPr="00C77E77" w:rsidRDefault="006D2155" w:rsidP="008371A2">
      <w:pPr>
        <w:spacing w:line="500" w:lineRule="exact"/>
        <w:ind w:leftChars="100" w:left="240" w:firstLine="480"/>
        <w:jc w:val="both"/>
        <w:rPr>
          <w:rFonts w:ascii="Times New Roman" w:eastAsia="標楷體" w:hAnsi="Times New Roman" w:cs="Times New Roman"/>
          <w:bCs/>
          <w:color w:val="000000"/>
          <w:kern w:val="0"/>
          <w:sz w:val="28"/>
          <w:szCs w:val="28"/>
        </w:rPr>
      </w:pPr>
      <w:r w:rsidRPr="00C77E77">
        <w:rPr>
          <w:rFonts w:ascii="Times New Roman" w:eastAsia="標楷體" w:hAnsi="Times New Roman" w:cs="Times New Roman"/>
          <w:sz w:val="28"/>
          <w:szCs w:val="28"/>
        </w:rPr>
        <w:t>臺灣在</w:t>
      </w:r>
      <w:r w:rsidRPr="00C77E77">
        <w:rPr>
          <w:rFonts w:ascii="Times New Roman" w:eastAsia="標楷體" w:hAnsi="Times New Roman" w:cs="Times New Roman"/>
          <w:sz w:val="28"/>
          <w:szCs w:val="28"/>
        </w:rPr>
        <w:t>1990</w:t>
      </w:r>
      <w:r w:rsidRPr="00C77E77">
        <w:rPr>
          <w:rFonts w:ascii="Times New Roman" w:eastAsia="標楷體" w:hAnsi="Times New Roman" w:cs="Times New Roman"/>
          <w:sz w:val="28"/>
          <w:szCs w:val="28"/>
        </w:rPr>
        <w:t>年以前皆無赴印度之投資。據印度商工部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月統計資料顯示，臺商對印度直接投資（</w:t>
      </w:r>
      <w:r w:rsidRPr="00C77E77">
        <w:rPr>
          <w:rFonts w:ascii="Times New Roman" w:eastAsia="標楷體" w:hAnsi="Times New Roman" w:cs="Times New Roman"/>
          <w:sz w:val="28"/>
          <w:szCs w:val="28"/>
        </w:rPr>
        <w:t>FDI</w:t>
      </w:r>
      <w:r w:rsidRPr="00C77E77">
        <w:rPr>
          <w:rFonts w:ascii="Times New Roman" w:eastAsia="標楷體" w:hAnsi="Times New Roman" w:cs="Times New Roman"/>
          <w:sz w:val="28"/>
          <w:szCs w:val="28"/>
        </w:rPr>
        <w:t>）印尼累計金額為</w:t>
      </w:r>
      <w:r w:rsidRPr="00C77E77">
        <w:rPr>
          <w:rFonts w:ascii="Times New Roman" w:eastAsia="標楷體" w:hAnsi="Times New Roman" w:cs="Times New Roman"/>
          <w:sz w:val="28"/>
          <w:szCs w:val="28"/>
        </w:rPr>
        <w:t>9,712</w:t>
      </w:r>
      <w:r w:rsidRPr="00C77E77">
        <w:rPr>
          <w:rFonts w:ascii="Times New Roman" w:eastAsia="標楷體" w:hAnsi="Times New Roman" w:cs="Times New Roman"/>
          <w:sz w:val="28"/>
          <w:szCs w:val="28"/>
        </w:rPr>
        <w:t>萬美元，居外人投資第</w:t>
      </w:r>
      <w:r w:rsidRPr="00C77E77">
        <w:rPr>
          <w:rFonts w:ascii="Times New Roman" w:eastAsia="標楷體" w:hAnsi="Times New Roman" w:cs="Times New Roman"/>
          <w:sz w:val="28"/>
          <w:szCs w:val="28"/>
        </w:rPr>
        <w:t>43</w:t>
      </w:r>
      <w:r w:rsidRPr="00C77E77">
        <w:rPr>
          <w:rFonts w:ascii="Times New Roman" w:eastAsia="標楷體" w:hAnsi="Times New Roman" w:cs="Times New Roman"/>
          <w:sz w:val="28"/>
          <w:szCs w:val="28"/>
        </w:rPr>
        <w:t>位，占印度</w:t>
      </w:r>
      <w:r w:rsidRPr="00C77E77">
        <w:rPr>
          <w:rFonts w:ascii="Times New Roman" w:eastAsia="標楷體" w:hAnsi="Times New Roman" w:cs="Times New Roman"/>
          <w:sz w:val="28"/>
          <w:szCs w:val="28"/>
        </w:rPr>
        <w:t>FDI</w:t>
      </w:r>
      <w:r w:rsidRPr="00C77E77">
        <w:rPr>
          <w:rFonts w:ascii="Times New Roman" w:eastAsia="標楷體" w:hAnsi="Times New Roman" w:cs="Times New Roman"/>
          <w:sz w:val="28"/>
          <w:szCs w:val="28"/>
        </w:rPr>
        <w:t>比重</w:t>
      </w:r>
      <w:r w:rsidRPr="00C77E77">
        <w:rPr>
          <w:rFonts w:ascii="Times New Roman" w:eastAsia="標楷體" w:hAnsi="Times New Roman" w:cs="Times New Roman"/>
          <w:sz w:val="28"/>
          <w:szCs w:val="28"/>
        </w:rPr>
        <w:t>0.04%</w:t>
      </w:r>
      <w:r w:rsidRPr="00C77E77">
        <w:rPr>
          <w:rFonts w:ascii="Times New Roman" w:eastAsia="標楷體" w:hAnsi="Times New Roman" w:cs="Times New Roman"/>
          <w:sz w:val="28"/>
          <w:szCs w:val="28"/>
        </w:rPr>
        <w:t>。依據我經濟部投資審議委員會</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月統計資料顯示，我商對印度投資累計金額為</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3,947</w:t>
      </w:r>
      <w:r w:rsidRPr="00C77E77">
        <w:rPr>
          <w:rFonts w:ascii="Times New Roman" w:eastAsia="標楷體" w:hAnsi="Times New Roman" w:cs="Times New Roman"/>
          <w:sz w:val="28"/>
          <w:szCs w:val="28"/>
        </w:rPr>
        <w:t>萬美元，共</w:t>
      </w:r>
      <w:r w:rsidRPr="00C77E77">
        <w:rPr>
          <w:rFonts w:ascii="Times New Roman" w:eastAsia="標楷體" w:hAnsi="Times New Roman" w:cs="Times New Roman"/>
          <w:sz w:val="28"/>
          <w:szCs w:val="28"/>
        </w:rPr>
        <w:t>49</w:t>
      </w:r>
      <w:r w:rsidRPr="00C77E77">
        <w:rPr>
          <w:rFonts w:ascii="Times New Roman" w:eastAsia="標楷體" w:hAnsi="Times New Roman" w:cs="Times New Roman"/>
          <w:sz w:val="28"/>
          <w:szCs w:val="28"/>
        </w:rPr>
        <w:t>件投資案。以德里地區為根據地者以電機電子、車輛零組件製造、市場開發、技術研發、金融、物流服務業為主；以孟買為根據地者以資通訊、貿易、運輸及服務業為主；以清奈為根據地者多從事製造業；以阿美達巴為根據地者以製造業為主。</w:t>
      </w:r>
      <w:r w:rsidRPr="00C77E77">
        <w:rPr>
          <w:rFonts w:ascii="Times New Roman" w:eastAsia="標楷體" w:hAnsi="Times New Roman" w:cs="Times New Roman"/>
          <w:bCs/>
          <w:color w:val="000000"/>
          <w:kern w:val="0"/>
          <w:sz w:val="28"/>
          <w:szCs w:val="28"/>
        </w:rPr>
        <w:t>臺灣對印度投資統計如下表。</w:t>
      </w:r>
    </w:p>
    <w:p w:rsidR="008371A2" w:rsidRPr="00C77E77" w:rsidRDefault="008371A2">
      <w:pPr>
        <w:widowControl/>
        <w:rPr>
          <w:rFonts w:ascii="Times New Roman" w:eastAsia="標楷體" w:hAnsi="Times New Roman" w:cs="Times New Roman"/>
          <w:bCs/>
          <w:color w:val="000000"/>
          <w:kern w:val="0"/>
          <w:sz w:val="28"/>
          <w:szCs w:val="28"/>
        </w:rPr>
      </w:pPr>
      <w:r w:rsidRPr="00C77E77">
        <w:rPr>
          <w:rFonts w:ascii="Times New Roman" w:eastAsia="標楷體" w:hAnsi="Times New Roman" w:cs="Times New Roman"/>
          <w:bCs/>
          <w:color w:val="000000"/>
          <w:kern w:val="0"/>
          <w:sz w:val="28"/>
          <w:szCs w:val="28"/>
        </w:rPr>
        <w:br w:type="page"/>
      </w:r>
    </w:p>
    <w:p w:rsidR="006D2155" w:rsidRPr="00C77E77" w:rsidRDefault="006D2155" w:rsidP="008371A2">
      <w:pPr>
        <w:spacing w:line="500" w:lineRule="exact"/>
        <w:ind w:leftChars="100" w:left="240" w:firstLine="480"/>
        <w:jc w:val="both"/>
        <w:rPr>
          <w:rFonts w:ascii="Times New Roman" w:eastAsia="標楷體" w:hAnsi="Times New Roman" w:cs="Times New Roman"/>
          <w:bCs/>
          <w:color w:val="000000"/>
          <w:kern w:val="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088"/>
        <w:gridCol w:w="3090"/>
        <w:gridCol w:w="3090"/>
      </w:tblGrid>
      <w:tr w:rsidR="006D2155" w:rsidRPr="00C77E77" w:rsidTr="006D2155">
        <w:trPr>
          <w:trHeight w:val="329"/>
        </w:trPr>
        <w:tc>
          <w:tcPr>
            <w:tcW w:w="5000" w:type="pct"/>
            <w:gridSpan w:val="3"/>
            <w:tcBorders>
              <w:top w:val="nil"/>
              <w:left w:val="nil"/>
              <w:bottom w:val="single" w:sz="4" w:space="0" w:color="auto"/>
              <w:right w:val="nil"/>
            </w:tcBorders>
            <w:shd w:val="clear" w:color="auto" w:fill="auto"/>
            <w:noWrap/>
            <w:vAlign w:val="center"/>
          </w:tcPr>
          <w:p w:rsidR="006D2155" w:rsidRPr="00C77E77" w:rsidRDefault="006D2155" w:rsidP="006D2155">
            <w:pPr>
              <w:pStyle w:val="af9"/>
            </w:pPr>
            <w:bookmarkStart w:id="45" w:name="_Toc458184932"/>
            <w:bookmarkStart w:id="46" w:name="_Toc470676577"/>
            <w:r w:rsidRPr="00C77E77">
              <w:t>表</w:t>
            </w:r>
            <w:r w:rsidRPr="00C77E77">
              <w:t>2-2-6</w:t>
            </w:r>
            <w:r w:rsidRPr="00C77E77">
              <w:t>臺灣對印度投資統計</w:t>
            </w:r>
            <w:bookmarkEnd w:id="45"/>
            <w:bookmarkEnd w:id="46"/>
          </w:p>
        </w:tc>
      </w:tr>
      <w:tr w:rsidR="006D2155" w:rsidRPr="00C77E77" w:rsidTr="006D2155">
        <w:trPr>
          <w:trHeight w:val="329"/>
        </w:trPr>
        <w:tc>
          <w:tcPr>
            <w:tcW w:w="1666" w:type="pct"/>
            <w:tcBorders>
              <w:top w:val="single" w:sz="4" w:space="0" w:color="auto"/>
            </w:tcBorders>
            <w:shd w:val="clear" w:color="auto" w:fill="auto"/>
            <w:noWrap/>
            <w:vAlign w:val="center"/>
          </w:tcPr>
          <w:p w:rsidR="006D2155" w:rsidRPr="00C77E77" w:rsidRDefault="006D2155" w:rsidP="006D2155">
            <w:pPr>
              <w:widowControl/>
              <w:jc w:val="center"/>
              <w:rPr>
                <w:rFonts w:ascii="Times New Roman" w:eastAsia="標楷體" w:hAnsi="Times New Roman" w:cs="Times New Roman"/>
                <w:b/>
                <w:color w:val="000000"/>
                <w:kern w:val="0"/>
                <w:szCs w:val="24"/>
              </w:rPr>
            </w:pPr>
          </w:p>
        </w:tc>
        <w:tc>
          <w:tcPr>
            <w:tcW w:w="1667" w:type="pct"/>
            <w:tcBorders>
              <w:top w:val="single" w:sz="4" w:space="0" w:color="auto"/>
            </w:tcBorders>
            <w:shd w:val="clear" w:color="auto" w:fill="auto"/>
            <w:noWrap/>
            <w:vAlign w:val="center"/>
          </w:tcPr>
          <w:p w:rsidR="006D2155" w:rsidRPr="00C77E77" w:rsidRDefault="006D2155" w:rsidP="006D2155">
            <w:pPr>
              <w:widowControl/>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件數</w:t>
            </w:r>
          </w:p>
        </w:tc>
        <w:tc>
          <w:tcPr>
            <w:tcW w:w="1667" w:type="pct"/>
            <w:tcBorders>
              <w:top w:val="single" w:sz="4" w:space="0" w:color="auto"/>
            </w:tcBorders>
            <w:shd w:val="clear" w:color="auto" w:fill="auto"/>
            <w:noWrap/>
            <w:vAlign w:val="center"/>
          </w:tcPr>
          <w:p w:rsidR="006D2155" w:rsidRPr="00C77E77" w:rsidRDefault="006D2155" w:rsidP="006D2155">
            <w:pPr>
              <w:widowControl/>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金額（千元美金）</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1991</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200.74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1992</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1,000.00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1993</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3,810.90 </w:t>
            </w:r>
          </w:p>
        </w:tc>
      </w:tr>
      <w:tr w:rsidR="006D2155" w:rsidRPr="00C77E77" w:rsidTr="006D2155">
        <w:trPr>
          <w:trHeight w:val="329"/>
        </w:trPr>
        <w:tc>
          <w:tcPr>
            <w:tcW w:w="1666" w:type="pct"/>
            <w:shd w:val="clear" w:color="auto" w:fill="auto"/>
            <w:noWrap/>
          </w:tcPr>
          <w:p w:rsidR="006D2155" w:rsidRPr="00C77E77" w:rsidRDefault="006D2155" w:rsidP="006D2155">
            <w:pPr>
              <w:rPr>
                <w:rFonts w:ascii="Times New Roman" w:hAnsi="Times New Roman" w:cs="Times New Roman"/>
              </w:rPr>
            </w:pPr>
            <w:r w:rsidRPr="00C77E77">
              <w:rPr>
                <w:rFonts w:ascii="Times New Roman" w:hAnsi="Times New Roman" w:cs="Times New Roman"/>
              </w:rPr>
              <w:t>1994</w:t>
            </w:r>
          </w:p>
        </w:tc>
        <w:tc>
          <w:tcPr>
            <w:tcW w:w="1667" w:type="pct"/>
            <w:shd w:val="clear" w:color="auto" w:fill="auto"/>
            <w:noWrap/>
          </w:tcPr>
          <w:p w:rsidR="006D2155" w:rsidRPr="00C77E77" w:rsidRDefault="006D2155" w:rsidP="006D2155">
            <w:pPr>
              <w:jc w:val="center"/>
              <w:rPr>
                <w:rFonts w:ascii="Times New Roman" w:hAnsi="Times New Roman" w:cs="Times New Roman"/>
              </w:rPr>
            </w:pPr>
            <w:r w:rsidRPr="00C77E77">
              <w:rPr>
                <w:rFonts w:ascii="Times New Roman" w:hAnsi="Times New Roman" w:cs="Times New Roman"/>
              </w:rPr>
              <w:t>0</w:t>
            </w:r>
          </w:p>
        </w:tc>
        <w:tc>
          <w:tcPr>
            <w:tcW w:w="1667" w:type="pct"/>
            <w:shd w:val="clear" w:color="auto" w:fill="auto"/>
            <w:noWrap/>
          </w:tcPr>
          <w:p w:rsidR="006D2155" w:rsidRPr="00C77E77" w:rsidRDefault="006D2155" w:rsidP="006D2155">
            <w:pPr>
              <w:jc w:val="right"/>
              <w:rPr>
                <w:rFonts w:ascii="Times New Roman" w:hAnsi="Times New Roman" w:cs="Times New Roman"/>
              </w:rPr>
            </w:pPr>
            <w:r w:rsidRPr="00C77E77">
              <w:rPr>
                <w:rFonts w:ascii="Times New Roman" w:hAnsi="Times New Roman" w:cs="Times New Roman"/>
              </w:rPr>
              <w:t xml:space="preserve">                  80.00</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1995</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1,640.00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1996-1997</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1998</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1,072.00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1999</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437.00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2000</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115.00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2001</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3,114.00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2002</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2,520.00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2003</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923.00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2004</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880.00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2005</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1,914.00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2006</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4,296.00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2007</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5</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7,738.42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2008</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16,249.99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2009</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3,159.99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2010</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3,620.32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2011</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67,051.36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2012</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20,931.01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2013</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65,041.63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2014</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33,485.62 </w:t>
            </w:r>
          </w:p>
        </w:tc>
      </w:tr>
      <w:tr w:rsidR="006D2155" w:rsidRPr="00C77E77" w:rsidTr="006D2155">
        <w:trPr>
          <w:trHeight w:val="329"/>
        </w:trPr>
        <w:tc>
          <w:tcPr>
            <w:tcW w:w="1666" w:type="pct"/>
            <w:shd w:val="clear" w:color="auto" w:fill="auto"/>
            <w:noWrap/>
            <w:vAlign w:val="center"/>
            <w:hideMark/>
          </w:tcPr>
          <w:p w:rsidR="006D2155" w:rsidRPr="00C77E77" w:rsidRDefault="006D2155" w:rsidP="006D2155">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2015</w:t>
            </w:r>
          </w:p>
        </w:tc>
        <w:tc>
          <w:tcPr>
            <w:tcW w:w="1667" w:type="pct"/>
            <w:shd w:val="clear" w:color="auto" w:fill="auto"/>
            <w:noWrap/>
            <w:vAlign w:val="center"/>
            <w:hideMark/>
          </w:tcPr>
          <w:p w:rsidR="006D2155" w:rsidRPr="00C77E77" w:rsidRDefault="006D2155" w:rsidP="006D2155">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w:t>
            </w:r>
          </w:p>
        </w:tc>
        <w:tc>
          <w:tcPr>
            <w:tcW w:w="1667" w:type="pct"/>
            <w:shd w:val="clear" w:color="auto" w:fill="auto"/>
            <w:noWrap/>
            <w:vAlign w:val="center"/>
            <w:hideMark/>
          </w:tcPr>
          <w:p w:rsidR="006D2155" w:rsidRPr="00C77E77" w:rsidRDefault="006D2155" w:rsidP="006D2155">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72,164.25 </w:t>
            </w:r>
          </w:p>
        </w:tc>
      </w:tr>
      <w:tr w:rsidR="006D2155" w:rsidRPr="00C77E77" w:rsidTr="006D2155">
        <w:trPr>
          <w:trHeight w:val="329"/>
        </w:trPr>
        <w:tc>
          <w:tcPr>
            <w:tcW w:w="1666" w:type="pct"/>
            <w:shd w:val="clear" w:color="auto" w:fill="auto"/>
            <w:noWrap/>
            <w:vAlign w:val="center"/>
          </w:tcPr>
          <w:p w:rsidR="006D2155" w:rsidRPr="00C77E77" w:rsidRDefault="006D2155" w:rsidP="006D2155">
            <w:pPr>
              <w:widowControl/>
              <w:rPr>
                <w:rFonts w:ascii="Times New Roman" w:eastAsia="標楷體" w:hAnsi="Times New Roman" w:cs="Times New Roman"/>
                <w:bCs/>
                <w:color w:val="000000"/>
                <w:kern w:val="0"/>
                <w:szCs w:val="24"/>
              </w:rPr>
            </w:pPr>
            <w:r w:rsidRPr="00C77E77">
              <w:rPr>
                <w:rFonts w:ascii="Times New Roman" w:eastAsia="標楷體" w:hAnsi="Times New Roman" w:cs="Times New Roman"/>
                <w:bCs/>
                <w:color w:val="000000"/>
                <w:kern w:val="0"/>
                <w:szCs w:val="24"/>
              </w:rPr>
              <w:t>2016</w:t>
            </w:r>
            <w:r w:rsidRPr="00C77E77">
              <w:rPr>
                <w:rFonts w:ascii="Times New Roman" w:eastAsia="標楷體" w:hAnsi="Times New Roman" w:cs="Times New Roman"/>
                <w:bCs/>
                <w:color w:val="000000"/>
                <w:kern w:val="0"/>
                <w:szCs w:val="24"/>
              </w:rPr>
              <w:t>（</w:t>
            </w:r>
            <w:r w:rsidRPr="00C77E77">
              <w:rPr>
                <w:rFonts w:ascii="Times New Roman" w:eastAsia="標楷體" w:hAnsi="Times New Roman" w:cs="Times New Roman"/>
                <w:bCs/>
                <w:color w:val="000000"/>
                <w:kern w:val="0"/>
                <w:szCs w:val="24"/>
              </w:rPr>
              <w:t>1</w:t>
            </w:r>
            <w:r w:rsidRPr="00C77E77">
              <w:rPr>
                <w:rFonts w:ascii="Times New Roman" w:eastAsia="標楷體" w:hAnsi="Times New Roman" w:cs="Times New Roman"/>
                <w:bCs/>
                <w:color w:val="000000"/>
                <w:kern w:val="0"/>
                <w:szCs w:val="24"/>
              </w:rPr>
              <w:t>至</w:t>
            </w:r>
            <w:r w:rsidRPr="00C77E77">
              <w:rPr>
                <w:rFonts w:ascii="Times New Roman" w:eastAsia="標楷體" w:hAnsi="Times New Roman" w:cs="Times New Roman"/>
                <w:bCs/>
                <w:color w:val="000000"/>
                <w:kern w:val="0"/>
                <w:szCs w:val="24"/>
              </w:rPr>
              <w:t>6</w:t>
            </w:r>
            <w:r w:rsidRPr="00C77E77">
              <w:rPr>
                <w:rFonts w:ascii="Times New Roman" w:eastAsia="標楷體" w:hAnsi="Times New Roman" w:cs="Times New Roman"/>
                <w:bCs/>
                <w:color w:val="000000"/>
                <w:kern w:val="0"/>
                <w:szCs w:val="24"/>
              </w:rPr>
              <w:t>月）</w:t>
            </w:r>
          </w:p>
        </w:tc>
        <w:tc>
          <w:tcPr>
            <w:tcW w:w="1667" w:type="pct"/>
            <w:shd w:val="clear" w:color="auto" w:fill="auto"/>
            <w:noWrap/>
            <w:vAlign w:val="center"/>
          </w:tcPr>
          <w:p w:rsidR="006D2155" w:rsidRPr="00C77E77" w:rsidRDefault="006D2155" w:rsidP="006D2155">
            <w:pPr>
              <w:widowControl/>
              <w:jc w:val="center"/>
              <w:rPr>
                <w:rFonts w:ascii="Times New Roman" w:eastAsia="標楷體" w:hAnsi="Times New Roman" w:cs="Times New Roman"/>
                <w:bCs/>
                <w:color w:val="000000"/>
                <w:kern w:val="0"/>
                <w:szCs w:val="24"/>
              </w:rPr>
            </w:pPr>
            <w:r w:rsidRPr="00C77E77">
              <w:rPr>
                <w:rFonts w:ascii="Times New Roman" w:eastAsia="標楷體" w:hAnsi="Times New Roman" w:cs="Times New Roman"/>
                <w:bCs/>
                <w:color w:val="000000"/>
                <w:kern w:val="0"/>
                <w:szCs w:val="24"/>
              </w:rPr>
              <w:t>3</w:t>
            </w:r>
          </w:p>
        </w:tc>
        <w:tc>
          <w:tcPr>
            <w:tcW w:w="1667" w:type="pct"/>
            <w:shd w:val="clear" w:color="auto" w:fill="auto"/>
            <w:noWrap/>
            <w:vAlign w:val="center"/>
          </w:tcPr>
          <w:p w:rsidR="006D2155" w:rsidRPr="00C77E77" w:rsidRDefault="006D2155" w:rsidP="006D2155">
            <w:pPr>
              <w:widowControl/>
              <w:jc w:val="right"/>
              <w:rPr>
                <w:rFonts w:ascii="Times New Roman" w:eastAsia="標楷體" w:hAnsi="Times New Roman" w:cs="Times New Roman"/>
                <w:bCs/>
                <w:color w:val="000000"/>
                <w:kern w:val="0"/>
                <w:szCs w:val="24"/>
              </w:rPr>
            </w:pPr>
            <w:r w:rsidRPr="00C77E77">
              <w:rPr>
                <w:rFonts w:ascii="Times New Roman" w:eastAsia="標楷體" w:hAnsi="Times New Roman" w:cs="Times New Roman"/>
                <w:bCs/>
                <w:color w:val="000000"/>
                <w:kern w:val="0"/>
                <w:szCs w:val="24"/>
              </w:rPr>
              <w:t>7,530.77</w:t>
            </w:r>
          </w:p>
        </w:tc>
      </w:tr>
      <w:tr w:rsidR="006D2155" w:rsidRPr="00C77E77" w:rsidTr="006D2155">
        <w:trPr>
          <w:trHeight w:val="329"/>
        </w:trPr>
        <w:tc>
          <w:tcPr>
            <w:tcW w:w="1666" w:type="pct"/>
            <w:tcBorders>
              <w:bottom w:val="single" w:sz="4" w:space="0" w:color="auto"/>
            </w:tcBorders>
            <w:shd w:val="clear" w:color="auto" w:fill="auto"/>
            <w:noWrap/>
            <w:vAlign w:val="center"/>
            <w:hideMark/>
          </w:tcPr>
          <w:p w:rsidR="006D2155" w:rsidRPr="00C77E77" w:rsidRDefault="006D2155" w:rsidP="006D2155">
            <w:pPr>
              <w:widowControl/>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 xml:space="preserve">1952~2016.6 </w:t>
            </w:r>
            <w:r w:rsidRPr="00C77E77">
              <w:rPr>
                <w:rFonts w:ascii="Times New Roman" w:eastAsia="標楷體" w:hAnsi="Times New Roman" w:cs="Times New Roman"/>
                <w:b/>
                <w:bCs/>
                <w:color w:val="000000"/>
                <w:kern w:val="0"/>
                <w:szCs w:val="24"/>
              </w:rPr>
              <w:t>累計</w:t>
            </w:r>
          </w:p>
        </w:tc>
        <w:tc>
          <w:tcPr>
            <w:tcW w:w="1667" w:type="pct"/>
            <w:tcBorders>
              <w:bottom w:val="single" w:sz="4" w:space="0" w:color="auto"/>
            </w:tcBorders>
            <w:shd w:val="clear" w:color="auto" w:fill="auto"/>
            <w:noWrap/>
          </w:tcPr>
          <w:p w:rsidR="006D2155" w:rsidRPr="00C77E77" w:rsidRDefault="006D2155" w:rsidP="006D2155">
            <w:pPr>
              <w:jc w:val="center"/>
              <w:rPr>
                <w:rFonts w:ascii="Times New Roman" w:hAnsi="Times New Roman" w:cs="Times New Roman"/>
                <w:b/>
              </w:rPr>
            </w:pPr>
            <w:r w:rsidRPr="00C77E77">
              <w:rPr>
                <w:rFonts w:ascii="Times New Roman" w:hAnsi="Times New Roman" w:cs="Times New Roman"/>
                <w:b/>
              </w:rPr>
              <w:t>58</w:t>
            </w:r>
          </w:p>
        </w:tc>
        <w:tc>
          <w:tcPr>
            <w:tcW w:w="1667" w:type="pct"/>
            <w:tcBorders>
              <w:bottom w:val="single" w:sz="4" w:space="0" w:color="auto"/>
            </w:tcBorders>
            <w:shd w:val="clear" w:color="auto" w:fill="auto"/>
            <w:noWrap/>
          </w:tcPr>
          <w:p w:rsidR="006D2155" w:rsidRPr="00C77E77" w:rsidRDefault="006D2155" w:rsidP="006D2155">
            <w:pPr>
              <w:jc w:val="right"/>
              <w:rPr>
                <w:rFonts w:ascii="Times New Roman" w:hAnsi="Times New Roman" w:cs="Times New Roman"/>
                <w:b/>
              </w:rPr>
            </w:pPr>
            <w:r w:rsidRPr="00C77E77">
              <w:rPr>
                <w:rFonts w:ascii="Times New Roman" w:hAnsi="Times New Roman" w:cs="Times New Roman"/>
                <w:b/>
              </w:rPr>
              <w:t xml:space="preserve"> 318,976.00 </w:t>
            </w:r>
          </w:p>
        </w:tc>
      </w:tr>
      <w:tr w:rsidR="006D2155" w:rsidRPr="00C77E77" w:rsidTr="009B3E64">
        <w:trPr>
          <w:trHeight w:val="329"/>
        </w:trPr>
        <w:tc>
          <w:tcPr>
            <w:tcW w:w="5000" w:type="pct"/>
            <w:gridSpan w:val="3"/>
            <w:tcBorders>
              <w:top w:val="single" w:sz="4" w:space="0" w:color="FFFFFF" w:themeColor="background1"/>
              <w:left w:val="nil"/>
              <w:bottom w:val="nil"/>
              <w:right w:val="nil"/>
            </w:tcBorders>
            <w:shd w:val="clear" w:color="auto" w:fill="auto"/>
            <w:noWrap/>
            <w:vAlign w:val="center"/>
          </w:tcPr>
          <w:p w:rsidR="006D2155" w:rsidRPr="00C77E77" w:rsidRDefault="006D2155" w:rsidP="006D2155">
            <w:pPr>
              <w:rPr>
                <w:rFonts w:ascii="Times New Roman" w:eastAsia="標楷體" w:hAnsi="Times New Roman" w:cs="Times New Roman"/>
              </w:rPr>
            </w:pPr>
            <w:r w:rsidRPr="00C77E77">
              <w:rPr>
                <w:rFonts w:ascii="Times New Roman" w:eastAsia="標楷體" w:hAnsi="Times New Roman" w:cs="Times New Roman"/>
              </w:rPr>
              <w:t>資料來源：經濟部投資業務處。</w:t>
            </w:r>
          </w:p>
          <w:p w:rsidR="006D2155" w:rsidRPr="00C77E77" w:rsidRDefault="006D2155" w:rsidP="006D2155">
            <w:pPr>
              <w:rPr>
                <w:rFonts w:ascii="Times New Roman" w:eastAsia="標楷體" w:hAnsi="Times New Roman" w:cs="Times New Roman"/>
              </w:rPr>
            </w:pPr>
          </w:p>
          <w:p w:rsidR="006D2155" w:rsidRPr="00C77E77" w:rsidRDefault="006D2155" w:rsidP="006D2155">
            <w:pPr>
              <w:rPr>
                <w:rFonts w:ascii="Times New Roman" w:eastAsia="標楷體" w:hAnsi="Times New Roman" w:cs="Times New Roman"/>
              </w:rPr>
            </w:pPr>
          </w:p>
        </w:tc>
      </w:tr>
    </w:tbl>
    <w:p w:rsidR="006D2155" w:rsidRPr="00C77E77" w:rsidRDefault="006D2155" w:rsidP="006D2155">
      <w:pPr>
        <w:rPr>
          <w:rFonts w:ascii="Times New Roman" w:hAnsi="Times New Roman" w:cs="Times New Roman"/>
        </w:rPr>
      </w:pPr>
      <w:r w:rsidRPr="00C77E77">
        <w:rPr>
          <w:rFonts w:ascii="Times New Roman" w:hAnsi="Times New Roman" w:cs="Times New Roman"/>
          <w:noProof/>
        </w:rPr>
        <w:lastRenderedPageBreak/>
        <w:drawing>
          <wp:inline distT="0" distB="0" distL="0" distR="0" wp14:anchorId="68632B61" wp14:editId="3F84278B">
            <wp:extent cx="5029200" cy="2999232"/>
            <wp:effectExtent l="0" t="0" r="0" b="10795"/>
            <wp:docPr id="4" name="圖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D2155" w:rsidRPr="00C77E77" w:rsidRDefault="006D2155" w:rsidP="006D2155">
      <w:pPr>
        <w:pStyle w:val="af7"/>
      </w:pPr>
      <w:bookmarkStart w:id="47" w:name="_Toc458185145"/>
      <w:bookmarkStart w:id="48" w:name="_Toc470676631"/>
      <w:r w:rsidRPr="00C77E77">
        <w:t>圖</w:t>
      </w:r>
      <w:r w:rsidRPr="00C77E77">
        <w:t xml:space="preserve">2-2-4 </w:t>
      </w:r>
      <w:r w:rsidRPr="00C77E77">
        <w:t>臺灣赴印度投資件數</w:t>
      </w:r>
      <w:bookmarkEnd w:id="47"/>
      <w:bookmarkEnd w:id="48"/>
    </w:p>
    <w:p w:rsidR="006D2155" w:rsidRPr="00C77E77" w:rsidRDefault="006D2155" w:rsidP="006D2155">
      <w:pPr>
        <w:jc w:val="center"/>
        <w:rPr>
          <w:rFonts w:ascii="Times New Roman" w:eastAsia="標楷體" w:hAnsi="Times New Roman" w:cs="Times New Roman"/>
        </w:rPr>
      </w:pPr>
      <w:r w:rsidRPr="00C77E77">
        <w:rPr>
          <w:rFonts w:ascii="Times New Roman" w:eastAsia="標楷體" w:hAnsi="Times New Roman" w:cs="Times New Roman"/>
        </w:rPr>
        <w:t>資料來源：本研究整理</w:t>
      </w:r>
      <w:r w:rsidR="000C1684" w:rsidRPr="00C77E77">
        <w:rPr>
          <w:rFonts w:ascii="Times New Roman" w:eastAsia="標楷體" w:hAnsi="Times New Roman" w:cs="Times New Roman"/>
        </w:rPr>
        <w:t>。</w:t>
      </w:r>
    </w:p>
    <w:p w:rsidR="006D2155" w:rsidRPr="00C77E77" w:rsidRDefault="006D2155" w:rsidP="006D2155">
      <w:pPr>
        <w:rPr>
          <w:rFonts w:ascii="Times New Roman" w:hAnsi="Times New Roman" w:cs="Times New Roman"/>
        </w:rPr>
      </w:pPr>
    </w:p>
    <w:p w:rsidR="006D2155" w:rsidRPr="00C77E77" w:rsidRDefault="006D2155" w:rsidP="006D2155">
      <w:pPr>
        <w:rPr>
          <w:rFonts w:ascii="Times New Roman" w:hAnsi="Times New Roman" w:cs="Times New Roman"/>
        </w:rPr>
      </w:pPr>
      <w:r w:rsidRPr="00C77E77">
        <w:rPr>
          <w:rFonts w:ascii="Times New Roman" w:hAnsi="Times New Roman" w:cs="Times New Roman"/>
          <w:noProof/>
        </w:rPr>
        <w:drawing>
          <wp:inline distT="0" distB="0" distL="0" distR="0" wp14:anchorId="4BEDCA46" wp14:editId="7C75C3E8">
            <wp:extent cx="5010912" cy="2948026"/>
            <wp:effectExtent l="0" t="0" r="18415" b="5080"/>
            <wp:docPr id="5" name="圖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D2155" w:rsidRPr="00C77E77" w:rsidRDefault="006D2155" w:rsidP="006D2155">
      <w:pPr>
        <w:pStyle w:val="af7"/>
      </w:pPr>
      <w:bookmarkStart w:id="49" w:name="_Toc458185146"/>
      <w:bookmarkStart w:id="50" w:name="_Toc470676632"/>
      <w:r w:rsidRPr="00C77E77">
        <w:t>圖</w:t>
      </w:r>
      <w:r w:rsidRPr="00C77E77">
        <w:t xml:space="preserve">2-2-5 </w:t>
      </w:r>
      <w:r w:rsidRPr="00C77E77">
        <w:t>臺灣赴印度投資金額（單位：美金千元）</w:t>
      </w:r>
      <w:bookmarkEnd w:id="49"/>
      <w:bookmarkEnd w:id="50"/>
    </w:p>
    <w:p w:rsidR="006D2155" w:rsidRPr="00C77E77" w:rsidRDefault="006D2155" w:rsidP="006D2155">
      <w:pPr>
        <w:jc w:val="center"/>
        <w:rPr>
          <w:rFonts w:ascii="Times New Roman" w:eastAsia="標楷體" w:hAnsi="Times New Roman" w:cs="Times New Roman"/>
        </w:rPr>
      </w:pPr>
      <w:r w:rsidRPr="00C77E77">
        <w:rPr>
          <w:rFonts w:ascii="Times New Roman" w:eastAsia="標楷體" w:hAnsi="Times New Roman" w:cs="Times New Roman"/>
        </w:rPr>
        <w:t>資料來源：本研究整理</w:t>
      </w:r>
      <w:r w:rsidR="000C1684" w:rsidRPr="00C77E77">
        <w:rPr>
          <w:rFonts w:ascii="Times New Roman" w:eastAsia="標楷體" w:hAnsi="Times New Roman" w:cs="Times New Roman"/>
        </w:rPr>
        <w:t>。</w:t>
      </w:r>
    </w:p>
    <w:p w:rsidR="006D2155" w:rsidRPr="00C77E77" w:rsidRDefault="006D2155" w:rsidP="006D2155">
      <w:pPr>
        <w:jc w:val="center"/>
        <w:rPr>
          <w:rFonts w:ascii="Times New Roman" w:eastAsia="標楷體" w:hAnsi="Times New Roman" w:cs="Times New Roman"/>
        </w:rPr>
      </w:pPr>
    </w:p>
    <w:p w:rsidR="006D2155" w:rsidRPr="00C77E77" w:rsidRDefault="006D2155" w:rsidP="006D2155">
      <w:pPr>
        <w:jc w:val="center"/>
        <w:rPr>
          <w:rFonts w:ascii="Times New Roman" w:eastAsia="標楷體" w:hAnsi="Times New Roman" w:cs="Times New Roman"/>
        </w:rPr>
      </w:pPr>
    </w:p>
    <w:p w:rsidR="008371A2" w:rsidRPr="00C77E77" w:rsidRDefault="008371A2" w:rsidP="006D2155">
      <w:pPr>
        <w:jc w:val="center"/>
        <w:rPr>
          <w:rFonts w:ascii="Times New Roman" w:eastAsia="標楷體" w:hAnsi="Times New Roman" w:cs="Times New Roman"/>
        </w:rPr>
      </w:pPr>
    </w:p>
    <w:p w:rsidR="006D2155" w:rsidRPr="00C77E77" w:rsidRDefault="006D2155" w:rsidP="00764ED7">
      <w:pPr>
        <w:pStyle w:val="ab"/>
        <w:numPr>
          <w:ilvl w:val="0"/>
          <w:numId w:val="17"/>
        </w:numPr>
        <w:spacing w:beforeLines="50" w:before="180" w:afterLines="50" w:after="180" w:line="360" w:lineRule="auto"/>
        <w:ind w:leftChars="0"/>
        <w:jc w:val="both"/>
        <w:rPr>
          <w:rFonts w:ascii="Times New Roman" w:eastAsia="標楷體" w:hAnsi="Times New Roman" w:cs="Times New Roman"/>
          <w:vanish/>
          <w:sz w:val="32"/>
          <w:szCs w:val="32"/>
        </w:rPr>
      </w:pPr>
    </w:p>
    <w:p w:rsidR="006D2155" w:rsidRPr="00C77E77" w:rsidRDefault="006D2155" w:rsidP="00764ED7">
      <w:pPr>
        <w:pStyle w:val="ab"/>
        <w:numPr>
          <w:ilvl w:val="0"/>
          <w:numId w:val="17"/>
        </w:numPr>
        <w:spacing w:beforeLines="50" w:before="180" w:afterLines="50" w:after="180" w:line="360" w:lineRule="auto"/>
        <w:ind w:leftChars="0"/>
        <w:jc w:val="both"/>
        <w:rPr>
          <w:rFonts w:ascii="Times New Roman" w:eastAsia="標楷體" w:hAnsi="Times New Roman" w:cs="Times New Roman"/>
          <w:vanish/>
          <w:sz w:val="32"/>
          <w:szCs w:val="32"/>
        </w:rPr>
      </w:pPr>
    </w:p>
    <w:p w:rsidR="006D2155" w:rsidRPr="00C77E77" w:rsidRDefault="006D2155" w:rsidP="00764ED7">
      <w:pPr>
        <w:pStyle w:val="ab"/>
        <w:numPr>
          <w:ilvl w:val="0"/>
          <w:numId w:val="17"/>
        </w:numPr>
        <w:spacing w:beforeLines="50" w:before="180" w:afterLines="50" w:after="180" w:line="500" w:lineRule="exact"/>
        <w:ind w:leftChars="0"/>
        <w:jc w:val="both"/>
        <w:outlineLvl w:val="1"/>
        <w:rPr>
          <w:rFonts w:ascii="Times New Roman" w:eastAsia="標楷體" w:hAnsi="Times New Roman" w:cs="Times New Roman"/>
          <w:b/>
          <w:sz w:val="32"/>
          <w:szCs w:val="32"/>
        </w:rPr>
      </w:pPr>
      <w:bookmarkStart w:id="51" w:name="_Toc458184861"/>
      <w:bookmarkStart w:id="52" w:name="_Toc470676312"/>
      <w:r w:rsidRPr="00C77E77">
        <w:rPr>
          <w:rFonts w:ascii="Times New Roman" w:eastAsia="標楷體" w:hAnsi="Times New Roman" w:cs="Times New Roman"/>
          <w:b/>
          <w:sz w:val="32"/>
          <w:szCs w:val="32"/>
        </w:rPr>
        <w:t>我國產業在東南亞及印度的機會與挑戰</w:t>
      </w:r>
      <w:bookmarkEnd w:id="51"/>
      <w:bookmarkEnd w:id="52"/>
    </w:p>
    <w:p w:rsidR="006D2155" w:rsidRPr="00C77E77" w:rsidRDefault="006D2155" w:rsidP="006D2155">
      <w:pPr>
        <w:pStyle w:val="afe"/>
        <w:spacing w:beforeLines="50" w:before="180" w:afterLines="50" w:after="180" w:line="500" w:lineRule="exact"/>
        <w:ind w:firstLineChars="0" w:firstLine="0"/>
        <w:rPr>
          <w:sz w:val="28"/>
          <w:szCs w:val="28"/>
        </w:rPr>
      </w:pPr>
      <w:r w:rsidRPr="00C77E77">
        <w:rPr>
          <w:sz w:val="28"/>
          <w:szCs w:val="28"/>
        </w:rPr>
        <w:tab/>
      </w:r>
      <w:r w:rsidRPr="00C77E77">
        <w:rPr>
          <w:sz w:val="28"/>
          <w:szCs w:val="28"/>
        </w:rPr>
        <w:t>東南亞國家與印度的經濟發展有所差異，</w:t>
      </w:r>
      <w:r w:rsidR="002B6C97" w:rsidRPr="00C77E77">
        <w:rPr>
          <w:sz w:val="28"/>
          <w:szCs w:val="28"/>
        </w:rPr>
        <w:t>據國際貨幣基金組織（</w:t>
      </w:r>
      <w:r w:rsidR="002B6C97" w:rsidRPr="00C77E77">
        <w:rPr>
          <w:sz w:val="28"/>
          <w:szCs w:val="28"/>
        </w:rPr>
        <w:t>International Monetary Fund, IMF</w:t>
      </w:r>
      <w:r w:rsidR="002B6C97" w:rsidRPr="00C77E77">
        <w:rPr>
          <w:sz w:val="28"/>
          <w:szCs w:val="28"/>
        </w:rPr>
        <w:t>）資料，</w:t>
      </w:r>
      <w:r w:rsidR="00550D8E" w:rsidRPr="00C77E77">
        <w:rPr>
          <w:sz w:val="28"/>
          <w:szCs w:val="28"/>
        </w:rPr>
        <w:t>2015</w:t>
      </w:r>
      <w:r w:rsidR="00550D8E" w:rsidRPr="00C77E77">
        <w:rPr>
          <w:sz w:val="28"/>
          <w:szCs w:val="28"/>
        </w:rPr>
        <w:t>年</w:t>
      </w:r>
      <w:r w:rsidRPr="00C77E77">
        <w:rPr>
          <w:sz w:val="28"/>
          <w:szCs w:val="28"/>
        </w:rPr>
        <w:t>印度的國內生產總值（</w:t>
      </w:r>
      <w:r w:rsidRPr="00C77E77">
        <w:rPr>
          <w:sz w:val="28"/>
          <w:szCs w:val="28"/>
        </w:rPr>
        <w:t>GDP</w:t>
      </w:r>
      <w:r w:rsidRPr="00C77E77">
        <w:rPr>
          <w:sz w:val="28"/>
          <w:szCs w:val="28"/>
        </w:rPr>
        <w:t>）升至全球第七，名義</w:t>
      </w:r>
      <w:r w:rsidRPr="00C77E77">
        <w:rPr>
          <w:sz w:val="28"/>
          <w:szCs w:val="28"/>
        </w:rPr>
        <w:t>GDP</w:t>
      </w:r>
      <w:r w:rsidR="00550D8E" w:rsidRPr="00C77E77">
        <w:rPr>
          <w:sz w:val="28"/>
          <w:szCs w:val="28"/>
        </w:rPr>
        <w:t>超過</w:t>
      </w:r>
      <w:r w:rsidRPr="00C77E77">
        <w:rPr>
          <w:sz w:val="28"/>
          <w:szCs w:val="28"/>
        </w:rPr>
        <w:t>2</w:t>
      </w:r>
      <w:r w:rsidRPr="00C77E77">
        <w:rPr>
          <w:sz w:val="28"/>
          <w:szCs w:val="28"/>
        </w:rPr>
        <w:t>兆億美元。而在東協各國中，印尼為最大經濟體，</w:t>
      </w:r>
      <w:r w:rsidRPr="00C77E77">
        <w:rPr>
          <w:sz w:val="28"/>
          <w:szCs w:val="28"/>
        </w:rPr>
        <w:t>2015</w:t>
      </w:r>
      <w:r w:rsidRPr="00C77E77">
        <w:rPr>
          <w:sz w:val="28"/>
          <w:szCs w:val="28"/>
        </w:rPr>
        <w:t>年</w:t>
      </w:r>
      <w:r w:rsidRPr="00C77E77">
        <w:rPr>
          <w:sz w:val="28"/>
          <w:szCs w:val="28"/>
        </w:rPr>
        <w:t>GDP</w:t>
      </w:r>
      <w:r w:rsidRPr="00C77E77">
        <w:rPr>
          <w:sz w:val="28"/>
          <w:szCs w:val="28"/>
        </w:rPr>
        <w:t>達</w:t>
      </w:r>
      <w:r w:rsidRPr="00C77E77">
        <w:rPr>
          <w:sz w:val="28"/>
          <w:szCs w:val="28"/>
        </w:rPr>
        <w:t>8,</w:t>
      </w:r>
      <w:r w:rsidR="00550D8E" w:rsidRPr="00C77E77">
        <w:rPr>
          <w:sz w:val="28"/>
          <w:szCs w:val="28"/>
        </w:rPr>
        <w:t>589</w:t>
      </w:r>
      <w:r w:rsidRPr="00C77E77">
        <w:rPr>
          <w:sz w:val="28"/>
          <w:szCs w:val="28"/>
        </w:rPr>
        <w:t>億美元，次為泰國約</w:t>
      </w:r>
      <w:r w:rsidR="00550D8E" w:rsidRPr="00C77E77">
        <w:rPr>
          <w:sz w:val="28"/>
          <w:szCs w:val="28"/>
        </w:rPr>
        <w:t>3,952</w:t>
      </w:r>
      <w:r w:rsidRPr="00C77E77">
        <w:rPr>
          <w:sz w:val="28"/>
          <w:szCs w:val="28"/>
        </w:rPr>
        <w:t>億美元，馬來西亞</w:t>
      </w:r>
      <w:r w:rsidR="00550D8E" w:rsidRPr="00C77E77">
        <w:rPr>
          <w:sz w:val="28"/>
          <w:szCs w:val="28"/>
        </w:rPr>
        <w:t>（</w:t>
      </w:r>
      <w:r w:rsidR="00550D8E" w:rsidRPr="00C77E77">
        <w:rPr>
          <w:sz w:val="28"/>
          <w:szCs w:val="28"/>
        </w:rPr>
        <w:t>2,962</w:t>
      </w:r>
      <w:r w:rsidR="00550D8E" w:rsidRPr="00C77E77">
        <w:rPr>
          <w:sz w:val="28"/>
          <w:szCs w:val="28"/>
        </w:rPr>
        <w:t>億美元）</w:t>
      </w:r>
      <w:r w:rsidRPr="00C77E77">
        <w:rPr>
          <w:sz w:val="28"/>
          <w:szCs w:val="28"/>
        </w:rPr>
        <w:t>、新加坡</w:t>
      </w:r>
      <w:r w:rsidR="00550D8E" w:rsidRPr="00C77E77">
        <w:rPr>
          <w:sz w:val="28"/>
          <w:szCs w:val="28"/>
        </w:rPr>
        <w:t>（</w:t>
      </w:r>
      <w:r w:rsidR="00550D8E" w:rsidRPr="00C77E77">
        <w:rPr>
          <w:sz w:val="28"/>
          <w:szCs w:val="28"/>
        </w:rPr>
        <w:t>2,927</w:t>
      </w:r>
      <w:r w:rsidR="00550D8E" w:rsidRPr="00C77E77">
        <w:rPr>
          <w:sz w:val="28"/>
          <w:szCs w:val="28"/>
        </w:rPr>
        <w:t>億美元）</w:t>
      </w:r>
      <w:r w:rsidRPr="00C77E77">
        <w:rPr>
          <w:sz w:val="28"/>
          <w:szCs w:val="28"/>
        </w:rPr>
        <w:t>、菲律賓</w:t>
      </w:r>
      <w:r w:rsidR="00550D8E" w:rsidRPr="00C77E77">
        <w:rPr>
          <w:sz w:val="28"/>
          <w:szCs w:val="28"/>
        </w:rPr>
        <w:t>（</w:t>
      </w:r>
      <w:r w:rsidR="00550D8E" w:rsidRPr="00C77E77">
        <w:rPr>
          <w:sz w:val="28"/>
          <w:szCs w:val="28"/>
        </w:rPr>
        <w:t>2,919</w:t>
      </w:r>
      <w:r w:rsidR="00550D8E" w:rsidRPr="00C77E77">
        <w:rPr>
          <w:sz w:val="28"/>
          <w:szCs w:val="28"/>
        </w:rPr>
        <w:t>億美元）、</w:t>
      </w:r>
      <w:r w:rsidRPr="00C77E77">
        <w:rPr>
          <w:sz w:val="28"/>
          <w:szCs w:val="28"/>
        </w:rPr>
        <w:t>越南</w:t>
      </w:r>
      <w:r w:rsidR="00550D8E" w:rsidRPr="00C77E77">
        <w:rPr>
          <w:sz w:val="28"/>
          <w:szCs w:val="28"/>
        </w:rPr>
        <w:t>（</w:t>
      </w:r>
      <w:r w:rsidR="00550D8E" w:rsidRPr="00C77E77">
        <w:rPr>
          <w:sz w:val="28"/>
          <w:szCs w:val="28"/>
        </w:rPr>
        <w:t>1,914</w:t>
      </w:r>
      <w:r w:rsidR="00550D8E" w:rsidRPr="00C77E77">
        <w:rPr>
          <w:sz w:val="28"/>
          <w:szCs w:val="28"/>
        </w:rPr>
        <w:t>億美元）</w:t>
      </w:r>
      <w:r w:rsidRPr="00C77E77">
        <w:rPr>
          <w:sz w:val="28"/>
          <w:szCs w:val="28"/>
        </w:rPr>
        <w:t>屬中型，緬甸、柬埔寨、寮國與汶萊經濟規模小，</w:t>
      </w:r>
      <w:r w:rsidRPr="00C77E77">
        <w:rPr>
          <w:sz w:val="28"/>
          <w:szCs w:val="28"/>
        </w:rPr>
        <w:t>GDP</w:t>
      </w:r>
      <w:r w:rsidRPr="00C77E77">
        <w:rPr>
          <w:sz w:val="28"/>
          <w:szCs w:val="28"/>
        </w:rPr>
        <w:t>不及</w:t>
      </w:r>
      <w:r w:rsidRPr="00C77E77">
        <w:rPr>
          <w:sz w:val="28"/>
          <w:szCs w:val="28"/>
        </w:rPr>
        <w:t>700</w:t>
      </w:r>
      <w:r w:rsidRPr="00C77E77">
        <w:rPr>
          <w:sz w:val="28"/>
          <w:szCs w:val="28"/>
        </w:rPr>
        <w:t>億美元。</w:t>
      </w:r>
      <w:r w:rsidR="00550D8E" w:rsidRPr="00C77E77">
        <w:rPr>
          <w:rStyle w:val="a9"/>
          <w:sz w:val="28"/>
          <w:szCs w:val="28"/>
        </w:rPr>
        <w:footnoteReference w:id="25"/>
      </w:r>
    </w:p>
    <w:p w:rsidR="006D2155" w:rsidRPr="00C77E77" w:rsidRDefault="006D2155" w:rsidP="006D2155">
      <w:pPr>
        <w:pStyle w:val="afe"/>
        <w:tabs>
          <w:tab w:val="clear" w:pos="567"/>
          <w:tab w:val="left" w:pos="465"/>
        </w:tabs>
        <w:spacing w:beforeLines="50" w:before="180" w:afterLines="50" w:after="180" w:line="500" w:lineRule="exact"/>
        <w:ind w:leftChars="118" w:left="283" w:firstLine="560"/>
        <w:rPr>
          <w:sz w:val="28"/>
          <w:szCs w:val="28"/>
        </w:rPr>
      </w:pPr>
      <w:r w:rsidRPr="00C77E77">
        <w:rPr>
          <w:sz w:val="28"/>
          <w:szCs w:val="28"/>
        </w:rPr>
        <w:t>針對我國產業在個別國家發展的機會與挑戰，僅依序說明如下：</w:t>
      </w:r>
    </w:p>
    <w:p w:rsidR="006D2155" w:rsidRPr="00C77E77" w:rsidRDefault="006D2155"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6"/>
        </w:rPr>
      </w:pPr>
      <w:r w:rsidRPr="00C77E77">
        <w:rPr>
          <w:rFonts w:ascii="Times New Roman" w:eastAsia="標楷體" w:hAnsi="Times New Roman" w:cs="Times New Roman"/>
          <w:b/>
          <w:sz w:val="28"/>
          <w:szCs w:val="28"/>
        </w:rPr>
        <w:t>新加坡：</w:t>
      </w:r>
      <w:r w:rsidRPr="00C77E77">
        <w:rPr>
          <w:rFonts w:ascii="Times New Roman" w:eastAsia="標楷體" w:hAnsi="Times New Roman" w:cs="Times New Roman"/>
          <w:sz w:val="28"/>
          <w:szCs w:val="28"/>
        </w:rPr>
        <w:t>東南亞十國中，新加坡長期維持其外人投資最佳據點，</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年吸引外人投資淨流入約</w:t>
      </w:r>
      <w:r w:rsidRPr="00C77E77">
        <w:rPr>
          <w:rFonts w:ascii="Times New Roman" w:eastAsia="標楷體" w:hAnsi="Times New Roman" w:cs="Times New Roman"/>
          <w:sz w:val="28"/>
          <w:szCs w:val="28"/>
        </w:rPr>
        <w:t>720</w:t>
      </w:r>
      <w:r w:rsidRPr="00C77E77">
        <w:rPr>
          <w:rFonts w:ascii="Times New Roman" w:eastAsia="標楷體" w:hAnsi="Times New Roman" w:cs="Times New Roman"/>
          <w:sz w:val="28"/>
          <w:szCs w:val="28"/>
        </w:rPr>
        <w:t>億美元；同時，新加坡也是東南亞十國中相對倚重外來投資的國家，</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年外人直接投資金額占該國</w:t>
      </w:r>
      <w:r w:rsidRPr="00C77E77">
        <w:rPr>
          <w:rFonts w:ascii="Times New Roman" w:eastAsia="標楷體" w:hAnsi="Times New Roman" w:cs="Times New Roman"/>
          <w:sz w:val="28"/>
          <w:szCs w:val="28"/>
        </w:rPr>
        <w:t>GDP</w:t>
      </w:r>
      <w:r w:rsidRPr="00C77E77">
        <w:rPr>
          <w:rFonts w:ascii="Times New Roman" w:eastAsia="標楷體" w:hAnsi="Times New Roman" w:cs="Times New Roman"/>
          <w:sz w:val="28"/>
          <w:szCs w:val="28"/>
        </w:rPr>
        <w:t>近四分之一（</w:t>
      </w:r>
      <w:r w:rsidRPr="00C77E77">
        <w:rPr>
          <w:rFonts w:ascii="Times New Roman" w:eastAsia="標楷體" w:hAnsi="Times New Roman" w:cs="Times New Roman"/>
          <w:sz w:val="28"/>
          <w:szCs w:val="28"/>
        </w:rPr>
        <w:t>23.4</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。臺灣與新加坡於</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月正式簽署「臺星經濟夥伴協定」，為我國與東南亞國家所簽署的第</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個經濟合作協定。</w:t>
      </w:r>
      <w:r w:rsidRPr="00C77E77">
        <w:rPr>
          <w:rFonts w:ascii="Times New Roman" w:eastAsia="標楷體" w:hAnsi="Times New Roman" w:cs="Times New Roman"/>
          <w:sz w:val="28"/>
          <w:szCs w:val="28"/>
        </w:rPr>
        <w:t>ASTEP</w:t>
      </w:r>
      <w:r w:rsidRPr="00C77E77">
        <w:rPr>
          <w:rFonts w:ascii="Times New Roman" w:eastAsia="標楷體" w:hAnsi="Times New Roman" w:cs="Times New Roman"/>
          <w:sz w:val="28"/>
          <w:szCs w:val="28"/>
        </w:rPr>
        <w:t>生效之後，我酒類產品可望以更具競爭力之價格與國際及當地品牌搶攻新加坡市場。此外，新加坡政府相當注重穆斯林飲食標準，對清真食品的推動不遺餘力，因此在新加坡清真為餐飲業的主流之一。另一方面，新加坡的電機設備及零件的最終財有拓銷潛力，可成為我國電子零組件、半導體的次區域集散中心。我國可與新加坡於電子、電機、生物科技、醫藥與水資源科技等產業進行合作。</w:t>
      </w:r>
    </w:p>
    <w:p w:rsidR="00907084" w:rsidRPr="00C77E77" w:rsidRDefault="00907084"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6"/>
        </w:rPr>
      </w:pPr>
      <w:r w:rsidRPr="00C77E77">
        <w:rPr>
          <w:rFonts w:ascii="Times New Roman" w:eastAsia="標楷體" w:hAnsi="Times New Roman" w:cs="Times New Roman"/>
          <w:b/>
          <w:sz w:val="28"/>
          <w:szCs w:val="28"/>
        </w:rPr>
        <w:t>印尼：</w:t>
      </w:r>
      <w:r w:rsidRPr="00C77E77">
        <w:rPr>
          <w:rFonts w:ascii="Times New Roman" w:eastAsia="標楷體" w:hAnsi="Times New Roman" w:cs="Times New Roman"/>
          <w:sz w:val="28"/>
          <w:szCs w:val="28"/>
        </w:rPr>
        <w:t>印尼的石油、天然氣、木材等相當豐富，加上農業種植容易，可加強農業、食品加工、魚產養殖與資源開採技術上的合作，而臺灣的優勢產業如電子、機械等也是可以合作的方向。此外，印尼為全球回教信仰人口最大的國家，內需市場充滿機會，應改善食品安全規範，探索回教社會的行為模式和行銷機會，及</w:t>
      </w:r>
      <w:r w:rsidR="00D039C1" w:rsidRPr="00C77E77">
        <w:rPr>
          <w:rFonts w:ascii="Times New Roman" w:eastAsia="標楷體" w:hAnsi="Times New Roman" w:cs="Times New Roman"/>
          <w:sz w:val="28"/>
          <w:szCs w:val="28"/>
        </w:rPr>
        <w:t>該</w:t>
      </w:r>
      <w:r w:rsidRPr="00C77E77">
        <w:rPr>
          <w:rFonts w:ascii="Times New Roman" w:eastAsia="標楷體" w:hAnsi="Times New Roman" w:cs="Times New Roman"/>
          <w:sz w:val="28"/>
          <w:szCs w:val="28"/>
        </w:rPr>
        <w:t>國華人社會的餐飲服務商</w:t>
      </w:r>
      <w:r w:rsidRPr="00C77E77">
        <w:rPr>
          <w:rFonts w:ascii="Times New Roman" w:eastAsia="標楷體" w:hAnsi="Times New Roman" w:cs="Times New Roman"/>
          <w:sz w:val="28"/>
          <w:szCs w:val="28"/>
        </w:rPr>
        <w:lastRenderedPageBreak/>
        <w:t>機，並拓展當地以及中東國家的市場。我政府可透過駐印尼經貿機構提供可靠之合作廠商名單；透過資金提供與貸款補助鼓勵農企彼此合作進軍印尼特殊產業投資；結合國內綠能發電設備廠商進入印尼改善其發電不足；進行政府間技術合作；鼓勵臺灣金融機構與印尼臺商合作提供消費信貸。</w:t>
      </w:r>
    </w:p>
    <w:p w:rsidR="00907084" w:rsidRPr="00C77E77" w:rsidRDefault="00907084" w:rsidP="00764ED7">
      <w:pPr>
        <w:pStyle w:val="ab"/>
        <w:numPr>
          <w:ilvl w:val="0"/>
          <w:numId w:val="15"/>
        </w:numPr>
        <w:spacing w:beforeLines="50" w:before="180" w:afterLines="50" w:after="180" w:line="500" w:lineRule="exact"/>
        <w:ind w:leftChars="0"/>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泰國</w:t>
      </w:r>
      <w:r w:rsidRPr="00C77E77">
        <w:rPr>
          <w:rFonts w:ascii="Times New Roman" w:eastAsia="標楷體" w:hAnsi="Times New Roman" w:cs="Times New Roman"/>
          <w:sz w:val="28"/>
          <w:szCs w:val="28"/>
        </w:rPr>
        <w:t>：內需市場充滿機會，應改善食品安全規範，探索</w:t>
      </w:r>
      <w:r w:rsidR="00D039C1" w:rsidRPr="00C77E77">
        <w:rPr>
          <w:rFonts w:ascii="Times New Roman" w:eastAsia="標楷體" w:hAnsi="Times New Roman" w:cs="Times New Roman"/>
          <w:sz w:val="28"/>
          <w:szCs w:val="28"/>
        </w:rPr>
        <w:t>泰</w:t>
      </w:r>
      <w:r w:rsidRPr="00C77E77">
        <w:rPr>
          <w:rFonts w:ascii="Times New Roman" w:eastAsia="標楷體" w:hAnsi="Times New Roman" w:cs="Times New Roman"/>
          <w:sz w:val="28"/>
          <w:szCs w:val="28"/>
        </w:rPr>
        <w:t>國文化的行為模式和行銷機會，及</w:t>
      </w:r>
      <w:r w:rsidR="00D039C1" w:rsidRPr="00C77E77">
        <w:rPr>
          <w:rFonts w:ascii="Times New Roman" w:eastAsia="標楷體" w:hAnsi="Times New Roman" w:cs="Times New Roman"/>
          <w:sz w:val="28"/>
          <w:szCs w:val="28"/>
        </w:rPr>
        <w:t>該</w:t>
      </w:r>
      <w:r w:rsidRPr="00C77E77">
        <w:rPr>
          <w:rFonts w:ascii="Times New Roman" w:eastAsia="標楷體" w:hAnsi="Times New Roman" w:cs="Times New Roman"/>
          <w:sz w:val="28"/>
          <w:szCs w:val="28"/>
        </w:rPr>
        <w:t>國華人社會的餐飲服務商機。我可與泰國合作電子業、汽車及零配件業、食品及紡織業等，泰國的機器及機械用具的最終財有拓銷潛力。建議泰國的資訊服務業，可結合製造業與資訊服務業者建立跨國創新設計中心，如臺灣進行技術輸出提升泰國軟體技術；或輸出泰國臺商亟需之工程人才，協助提升臺灣科技品牌如</w:t>
      </w:r>
      <w:r w:rsidRPr="00C77E77">
        <w:rPr>
          <w:rFonts w:ascii="Times New Roman" w:eastAsia="標楷體" w:hAnsi="Times New Roman" w:cs="Times New Roman"/>
          <w:sz w:val="28"/>
          <w:szCs w:val="28"/>
        </w:rPr>
        <w:t>BenQ</w:t>
      </w:r>
      <w:r w:rsidRPr="00C77E77">
        <w:rPr>
          <w:rFonts w:ascii="Times New Roman" w:eastAsia="標楷體" w:hAnsi="Times New Roman" w:cs="Times New Roman"/>
          <w:sz w:val="28"/>
          <w:szCs w:val="28"/>
        </w:rPr>
        <w:t>等的消費性電子產品。</w:t>
      </w:r>
    </w:p>
    <w:p w:rsidR="005929FC" w:rsidRPr="00C77E77" w:rsidRDefault="005929FC"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馬來西亞：</w:t>
      </w:r>
      <w:r w:rsidRPr="00C77E77">
        <w:rPr>
          <w:rFonts w:ascii="Times New Roman" w:eastAsia="標楷體" w:hAnsi="Times New Roman" w:cs="Times New Roman"/>
          <w:sz w:val="28"/>
          <w:szCs w:val="28"/>
        </w:rPr>
        <w:t>馬國正積極促進電子業升級，但上游產業鏈仍有缺乏，故我國能利用產業缺口進行垂直分工合作。馬來西亞一年四季如夏，是一個常年太陽高照的國度，對於發展太陽能產業擁有絕對的優勢。我國綠能技術先進且具價格優勢，可與馬國共同開發太陽能等綠能產業。而透過臺、馬合作，可促進服務業整合物流解決方案，提供商貿與物流整合服務、支援餐飲與連鎖百貨之物流，健全物流與港埠設備系統服務、國際運輸物流服務、通路零售點物流服務、宅配服務。同時我國可利用馬來西亞眾多的印度裔居民，作為開拓南亞市場的中介者的角色。</w:t>
      </w:r>
    </w:p>
    <w:p w:rsidR="00907084" w:rsidRPr="00C77E77" w:rsidRDefault="005929FC"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6"/>
        </w:rPr>
      </w:pPr>
      <w:r w:rsidRPr="00C77E77">
        <w:rPr>
          <w:rFonts w:ascii="Times New Roman" w:eastAsia="標楷體" w:hAnsi="Times New Roman" w:cs="Times New Roman"/>
          <w:b/>
          <w:sz w:val="28"/>
          <w:szCs w:val="28"/>
        </w:rPr>
        <w:t>菲律賓：</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月菲國政府核准公布「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年投資優先計畫（</w:t>
      </w:r>
      <w:r w:rsidRPr="00C77E77">
        <w:rPr>
          <w:rFonts w:ascii="Times New Roman" w:eastAsia="標楷體" w:hAnsi="Times New Roman" w:cs="Times New Roman"/>
          <w:sz w:val="28"/>
          <w:szCs w:val="28"/>
        </w:rPr>
        <w:t>Investments Priorities Plan</w:t>
      </w:r>
      <w:r w:rsidRPr="00C77E77">
        <w:rPr>
          <w:rFonts w:ascii="Times New Roman" w:eastAsia="標楷體" w:hAnsi="Times New Roman" w:cs="Times New Roman"/>
          <w:sz w:val="28"/>
          <w:szCs w:val="28"/>
        </w:rPr>
        <w:t>）」，獎勵製造業、農產加工及漁業、服務業、公共建設及流通業</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個產業領域和</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個特定活動（能源、住宅、醫院及公共－私人夥伴關係、出口業），另法律規定的特殊產業及民答那峨穆斯林自治地區同樣享受投資財稅優惠。同時，菲國的電機設</w:t>
      </w:r>
      <w:r w:rsidRPr="00C77E77">
        <w:rPr>
          <w:rFonts w:ascii="Times New Roman" w:eastAsia="標楷體" w:hAnsi="Times New Roman" w:cs="Times New Roman"/>
          <w:sz w:val="28"/>
          <w:szCs w:val="28"/>
        </w:rPr>
        <w:lastRenderedPageBreak/>
        <w:t>備及零件的最終財有拓銷潛力，可被建為電子業的生產據點。另一方面，菲律賓天災頻繁，我國建築抗風與抗震技術優良，可爭取當地基礎建設計畫。同時，菲國有意延伸紡織上游產業發展，且美國給予紡織成衣商品免稅優惠，我國能以產業垂直分工方式與當地廠商合作。</w:t>
      </w:r>
    </w:p>
    <w:p w:rsidR="005929FC" w:rsidRPr="00C77E77" w:rsidRDefault="005929FC"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越南：</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塑越鋼被越南政府重罰</w:t>
      </w:r>
      <w:r w:rsidRPr="00C77E77">
        <w:rPr>
          <w:rFonts w:ascii="Times New Roman" w:eastAsia="標楷體" w:hAnsi="Times New Roman" w:cs="Times New Roman"/>
          <w:sz w:val="28"/>
          <w:szCs w:val="28"/>
        </w:rPr>
        <w:t>162</w:t>
      </w:r>
      <w:r w:rsidRPr="00C77E77">
        <w:rPr>
          <w:rFonts w:ascii="Times New Roman" w:eastAsia="標楷體" w:hAnsi="Times New Roman" w:cs="Times New Roman"/>
          <w:sz w:val="28"/>
          <w:szCs w:val="28"/>
        </w:rPr>
        <w:t>億元，突顯越南重人治、輕法治以及政治領導經濟等高風險的投資弊處，已在國際商界掀起寒蟬效應。加上越南有產業衰退或通膨風險，需強化產業觀察與風險控管、掌握最新經貿資訊，慎防經濟風暴的連鎖效益。我國應加強與越南工業合作和爭取公共工程的標案，與當地政府談判爭取較好的優惠，以交通便利及公共設施好的工業區為投資優先，整合上下游供應鏈一起投資，深入瞭解罷工問題等的解決之道。</w:t>
      </w:r>
    </w:p>
    <w:p w:rsidR="00185333" w:rsidRPr="00C77E77" w:rsidRDefault="00185333"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緬甸：</w:t>
      </w:r>
      <w:r w:rsidRPr="00C77E77">
        <w:rPr>
          <w:rFonts w:ascii="Times New Roman" w:eastAsia="標楷體" w:hAnsi="Times New Roman" w:cs="Times New Roman"/>
          <w:sz w:val="28"/>
          <w:szCs w:val="28"/>
        </w:rPr>
        <w:t>經濟產業仍未具明顯雛形，其政府策略主要以導入國際資源與推進國內產業經濟制度現代化為手段。我國可透過與</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友好的他國廠商，經由第三國爭取大型合作機會，以合資方式共同投資緬甸。輔導中國大陸臺商遷廠移轉至緬甸投資。此外，目前緬甸禁止原木出口。這種情況下，外資企業可以通過合作方式在當地建木材加工業企業，帶動當地實現雙贏。由於緬甸快速的發展和城鎮化進程，能源、製造、建築和酒店業等四大關鍵產業成為外國投資商取得發展的領域。</w:t>
      </w:r>
    </w:p>
    <w:p w:rsidR="00185333" w:rsidRPr="00C77E77" w:rsidRDefault="00185333"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柬埔寨：</w:t>
      </w:r>
      <w:r w:rsidRPr="00C77E77">
        <w:rPr>
          <w:rFonts w:ascii="Times New Roman" w:eastAsia="標楷體" w:hAnsi="Times New Roman" w:cs="Times New Roman"/>
          <w:sz w:val="28"/>
          <w:szCs w:val="28"/>
        </w:rPr>
        <w:t>產業發展趨於單一集中化，但在民主改革開放下，透過</w:t>
      </w:r>
      <w:r w:rsidRPr="00C77E77">
        <w:rPr>
          <w:rFonts w:ascii="Times New Roman" w:eastAsia="標楷體" w:hAnsi="Times New Roman" w:cs="Times New Roman"/>
          <w:sz w:val="28"/>
          <w:szCs w:val="28"/>
        </w:rPr>
        <w:t xml:space="preserve"> ODA </w:t>
      </w:r>
      <w:r w:rsidRPr="00C77E77">
        <w:rPr>
          <w:rFonts w:ascii="Times New Roman" w:eastAsia="標楷體" w:hAnsi="Times New Roman" w:cs="Times New Roman"/>
          <w:sz w:val="28"/>
          <w:szCs w:val="28"/>
        </w:rPr>
        <w:t>和外資力量來促進整體發展。目前農業仍是柬國主要產業，我國可推出平價耐用、功能性較不複雜之農業機械，亦可協助當地農村基礎建設。觀光業是柬國主要產業之一，建議協助連鎖加盟開拓柬國市場，並促進海外臺商善用臺灣服務輸出，建立海內外服務業者互動網絡，強化柬國市場與我國服務業之聯結。在具體作法上，可根據當地投資法，先布局免進口關稅之相關產業，再以堆積木方式，逐步擴大雙方免關稅產品範圍。</w:t>
      </w:r>
    </w:p>
    <w:p w:rsidR="00185333" w:rsidRPr="00C77E77" w:rsidRDefault="00185333"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lastRenderedPageBreak/>
        <w:t>寮國：</w:t>
      </w:r>
      <w:r w:rsidRPr="00C77E77">
        <w:rPr>
          <w:rFonts w:ascii="Times New Roman" w:eastAsia="標楷體" w:hAnsi="Times New Roman" w:cs="Times New Roman"/>
          <w:sz w:val="28"/>
          <w:szCs w:val="28"/>
        </w:rPr>
        <w:t>位於東南亞心臟地帶，極富交通優勢，與中國大陸、越南、柬埔寨、泰國、緬甸五國交界。政治穩定、社會安寧，佛教為寮國國教。寮國政府是人民革命黨一黨專政國家，自</w:t>
      </w:r>
      <w:r w:rsidRPr="00C77E77">
        <w:rPr>
          <w:rFonts w:ascii="Times New Roman" w:eastAsia="標楷體" w:hAnsi="Times New Roman" w:cs="Times New Roman"/>
          <w:sz w:val="28"/>
          <w:szCs w:val="28"/>
        </w:rPr>
        <w:t>1986</w:t>
      </w:r>
      <w:r w:rsidRPr="00C77E77">
        <w:rPr>
          <w:rFonts w:ascii="Times New Roman" w:eastAsia="標楷體" w:hAnsi="Times New Roman" w:cs="Times New Roman"/>
          <w:sz w:val="28"/>
          <w:szCs w:val="28"/>
        </w:rPr>
        <w:t>年開始改革開放，調整經濟結構，將農林業、工業和服務業相結合，並調整經濟管理作法，逐步完善市場經濟機制。然而，寮國是中南半島唯一內陸國，因無港口，故無論進口或是外銷，均須付出龐大運費，且原物料也得靠進口，經商成本變高。此外，寮國人口僅六百多萬，是東協最小經濟體，內需市場亦不夠大。</w:t>
      </w:r>
    </w:p>
    <w:p w:rsidR="00C87563" w:rsidRPr="00C77E77" w:rsidRDefault="00C87563" w:rsidP="00764ED7">
      <w:pPr>
        <w:pStyle w:val="ab"/>
        <w:numPr>
          <w:ilvl w:val="0"/>
          <w:numId w:val="1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汶萊</w:t>
      </w:r>
      <w:r w:rsidRPr="00C77E77">
        <w:rPr>
          <w:rFonts w:ascii="Times New Roman" w:eastAsia="標楷體" w:hAnsi="Times New Roman" w:cs="Times New Roman"/>
          <w:sz w:val="28"/>
          <w:szCs w:val="28"/>
        </w:rPr>
        <w:t>：汶萊擁有豐富的石油與天然氣資源，是令人稱羨富裕國家。但是過度依賴終將枯竭的油氣開採，使其政治與經濟風險逐年升高。汶萊政府於</w:t>
      </w:r>
      <w:r w:rsidRPr="00C77E77">
        <w:rPr>
          <w:rFonts w:ascii="Times New Roman" w:eastAsia="標楷體" w:hAnsi="Times New Roman" w:cs="Times New Roman"/>
          <w:sz w:val="28"/>
          <w:szCs w:val="28"/>
        </w:rPr>
        <w:t>1990</w:t>
      </w:r>
      <w:r w:rsidRPr="00C77E77">
        <w:rPr>
          <w:rFonts w:ascii="Times New Roman" w:eastAsia="標楷體" w:hAnsi="Times New Roman" w:cs="Times New Roman"/>
          <w:sz w:val="28"/>
          <w:szCs w:val="28"/>
        </w:rPr>
        <w:t>年代開始推動「經濟多元化」政策，希望發展出口導向的製造業和服務業。除了發展石化工業，以增加油氣開採之附加價值外，並推動伊斯蘭金融、清真食品、物流、通訊科技以及觀光產業等吸引外人投資的項目，加速住房、公路、港口、橋梁、水壩等基礎建設，同時也提高對農業、漁業的投資，希望糧食能自給自足。但是汶萊也有其保守之一面，例如堅持嚴謹的雨林保護政策、針對汶萊的穆斯林推行嚴格的伊斯蘭刑法等。此外，汶萊商業圈不大，商務人士彼此經常往來且熟識。臺灣廠商欲進入汶萊市場，務須傾聽當地臺商與華僑通路廠商的建議，才能掌握最新的經濟脈動與商機。</w:t>
      </w:r>
    </w:p>
    <w:p w:rsidR="005929FC" w:rsidRPr="00C77E77" w:rsidRDefault="00BC7949" w:rsidP="00764ED7">
      <w:pPr>
        <w:pStyle w:val="ab"/>
        <w:numPr>
          <w:ilvl w:val="0"/>
          <w:numId w:val="15"/>
        </w:numPr>
        <w:spacing w:beforeLines="50" w:before="180" w:afterLines="50" w:after="180" w:line="500" w:lineRule="exact"/>
        <w:ind w:leftChars="0" w:left="839" w:hanging="357"/>
        <w:jc w:val="both"/>
        <w:rPr>
          <w:rFonts w:ascii="Times New Roman" w:eastAsia="標楷體" w:hAnsi="Times New Roman" w:cs="Times New Roman"/>
          <w:sz w:val="28"/>
          <w:szCs w:val="26"/>
        </w:rPr>
      </w:pPr>
      <w:r w:rsidRPr="00C77E77">
        <w:rPr>
          <w:rFonts w:ascii="Times New Roman" w:eastAsia="標楷體" w:hAnsi="Times New Roman" w:cs="Times New Roman"/>
          <w:b/>
          <w:sz w:val="28"/>
          <w:szCs w:val="28"/>
        </w:rPr>
        <w:t>印度：</w:t>
      </w:r>
      <w:r w:rsidRPr="00C77E77">
        <w:rPr>
          <w:rFonts w:ascii="Times New Roman" w:eastAsia="標楷體" w:hAnsi="Times New Roman" w:cs="Times New Roman"/>
          <w:sz w:val="28"/>
          <w:szCs w:val="28"/>
        </w:rPr>
        <w:t>印度自</w:t>
      </w:r>
      <w:r w:rsidRPr="00C77E77">
        <w:rPr>
          <w:rFonts w:ascii="Times New Roman" w:eastAsia="標楷體" w:hAnsi="Times New Roman" w:cs="Times New Roman"/>
          <w:sz w:val="28"/>
          <w:szCs w:val="28"/>
        </w:rPr>
        <w:t>1991</w:t>
      </w:r>
      <w:r w:rsidRPr="00C77E77">
        <w:rPr>
          <w:rFonts w:ascii="Times New Roman" w:eastAsia="標楷體" w:hAnsi="Times New Roman" w:cs="Times New Roman"/>
          <w:sz w:val="28"/>
          <w:szCs w:val="28"/>
        </w:rPr>
        <w:t>年開始進行經濟改革，推動經濟自由化措施，包括工業鬆綁、國營企業自由化、降低外貿及投資管控。在市場取向的經濟改革下，印度許多領域都逐漸對外資開放。但印度的經濟仍包含傳統的鄉村耕作、現代農業、手工藝品、現代工業、服務業等。約有一半的人口從事農業，但服務業約佔</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的</w:t>
      </w:r>
      <w:r w:rsidRPr="00C77E77">
        <w:rPr>
          <w:rFonts w:ascii="Times New Roman" w:eastAsia="標楷體" w:hAnsi="Times New Roman" w:cs="Times New Roman"/>
          <w:sz w:val="28"/>
          <w:szCs w:val="28"/>
        </w:rPr>
        <w:t>GDP</w:t>
      </w:r>
      <w:r w:rsidRPr="00C77E77">
        <w:rPr>
          <w:rFonts w:ascii="Times New Roman" w:eastAsia="標楷體" w:hAnsi="Times New Roman" w:cs="Times New Roman"/>
          <w:sz w:val="28"/>
          <w:szCs w:val="28"/>
        </w:rPr>
        <w:t>產出。印度也善用它的英語人力資源，成為資訊科技服務業、外包服務及軟體人力的主要出口國。印度經常帳赤字在</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年有所改善，加上對於大選後新政府的期望，資金開始回流，盧比也趨於穩定。印度經濟在</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年及</w:t>
      </w:r>
      <w:r w:rsidRPr="00C77E77">
        <w:rPr>
          <w:rFonts w:ascii="Times New Roman" w:eastAsia="標楷體" w:hAnsi="Times New Roman" w:cs="Times New Roman"/>
          <w:sz w:val="28"/>
          <w:szCs w:val="28"/>
        </w:rPr>
        <w:lastRenderedPageBreak/>
        <w:t>2015</w:t>
      </w:r>
      <w:r w:rsidRPr="00C77E77">
        <w:rPr>
          <w:rFonts w:ascii="Times New Roman" w:eastAsia="標楷體" w:hAnsi="Times New Roman" w:cs="Times New Roman"/>
          <w:sz w:val="28"/>
          <w:szCs w:val="28"/>
        </w:rPr>
        <w:t>年反彈，成長率達</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vertAlign w:val="superscript"/>
        </w:rPr>
        <w:footnoteReference w:id="26"/>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雖然季風的雨量不佳，農業在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年會計年度得力於畜牧業的成長，整體成長</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％。工業在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年會計年度成長</w:t>
      </w:r>
      <w:r w:rsidRPr="00C77E77">
        <w:rPr>
          <w:rFonts w:ascii="Times New Roman" w:eastAsia="標楷體" w:hAnsi="Times New Roman" w:cs="Times New Roman"/>
          <w:sz w:val="28"/>
          <w:szCs w:val="28"/>
        </w:rPr>
        <w:t>7.3</w:t>
      </w:r>
      <w:r w:rsidRPr="00C77E77">
        <w:rPr>
          <w:rFonts w:ascii="Times New Roman" w:eastAsia="標楷體" w:hAnsi="Times New Roman" w:cs="Times New Roman"/>
          <w:sz w:val="28"/>
          <w:szCs w:val="28"/>
        </w:rPr>
        <w:t>％，其中製造業因為進口成本減低而獲益，成長達</w:t>
      </w:r>
      <w:r w:rsidRPr="00C77E77">
        <w:rPr>
          <w:rFonts w:ascii="Times New Roman" w:eastAsia="標楷體" w:hAnsi="Times New Roman" w:cs="Times New Roman"/>
          <w:sz w:val="28"/>
          <w:szCs w:val="28"/>
        </w:rPr>
        <w:t>9.5</w:t>
      </w:r>
      <w:r w:rsidRPr="00C77E77">
        <w:rPr>
          <w:rFonts w:ascii="Times New Roman" w:eastAsia="標楷體" w:hAnsi="Times New Roman" w:cs="Times New Roman"/>
          <w:sz w:val="28"/>
          <w:szCs w:val="28"/>
        </w:rPr>
        <w:t>％。服務業則成長</w:t>
      </w:r>
      <w:r w:rsidRPr="00C77E77">
        <w:rPr>
          <w:rFonts w:ascii="Times New Roman" w:eastAsia="標楷體" w:hAnsi="Times New Roman" w:cs="Times New Roman"/>
          <w:sz w:val="28"/>
          <w:szCs w:val="28"/>
        </w:rPr>
        <w:t>9.2</w:t>
      </w:r>
      <w:r w:rsidRPr="00C77E77">
        <w:rPr>
          <w:rFonts w:ascii="Times New Roman" w:eastAsia="標楷體" w:hAnsi="Times New Roman" w:cs="Times New Roman"/>
          <w:sz w:val="28"/>
          <w:szCs w:val="28"/>
        </w:rPr>
        <w:t>％，銀行存款及信貸成長有助金融業、房地產、專業服務等達到</w:t>
      </w:r>
      <w:r w:rsidRPr="00C77E77">
        <w:rPr>
          <w:rFonts w:ascii="Times New Roman" w:eastAsia="標楷體" w:hAnsi="Times New Roman" w:cs="Times New Roman"/>
          <w:sz w:val="28"/>
          <w:szCs w:val="28"/>
        </w:rPr>
        <w:t>10.3</w:t>
      </w:r>
      <w:r w:rsidRPr="00C77E77">
        <w:rPr>
          <w:rFonts w:ascii="Times New Roman" w:eastAsia="標楷體" w:hAnsi="Times New Roman" w:cs="Times New Roman"/>
          <w:sz w:val="28"/>
          <w:szCs w:val="28"/>
        </w:rPr>
        <w:t>％的成長。航空乘客數及商用車銷售增加，則讓貿易、旅館、交通及通訊業成長達</w:t>
      </w:r>
      <w:r w:rsidRPr="00C77E77">
        <w:rPr>
          <w:rFonts w:ascii="Times New Roman" w:eastAsia="標楷體" w:hAnsi="Times New Roman" w:cs="Times New Roman"/>
          <w:sz w:val="28"/>
          <w:szCs w:val="28"/>
        </w:rPr>
        <w:t>9.5</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vertAlign w:val="superscript"/>
        </w:rPr>
        <w:footnoteReference w:id="27"/>
      </w:r>
    </w:p>
    <w:p w:rsidR="009B3E64" w:rsidRPr="00C77E77" w:rsidRDefault="009B3E64">
      <w:pPr>
        <w:rPr>
          <w:rFonts w:ascii="Times New Roman" w:hAnsi="Times New Roman" w:cs="Times New Roman"/>
        </w:rPr>
      </w:pPr>
      <w:r w:rsidRPr="00C77E77">
        <w:rPr>
          <w:rFonts w:ascii="Times New Roman" w:hAnsi="Times New Roman" w:cs="Times New Roman"/>
          <w:b/>
        </w:rPr>
        <w:br w:type="page"/>
      </w:r>
    </w:p>
    <w:tbl>
      <w:tblPr>
        <w:tblStyle w:val="af4"/>
        <w:tblW w:w="0" w:type="auto"/>
        <w:jc w:val="center"/>
        <w:tblLook w:val="04A0" w:firstRow="1" w:lastRow="0" w:firstColumn="1" w:lastColumn="0" w:noHBand="0" w:noVBand="1"/>
      </w:tblPr>
      <w:tblGrid>
        <w:gridCol w:w="813"/>
        <w:gridCol w:w="1592"/>
        <w:gridCol w:w="5891"/>
      </w:tblGrid>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676357">
            <w:pPr>
              <w:pStyle w:val="af9"/>
            </w:pPr>
            <w:r w:rsidRPr="00C77E77">
              <w:rPr>
                <w:szCs w:val="26"/>
              </w:rPr>
              <w:lastRenderedPageBreak/>
              <w:br w:type="page"/>
            </w:r>
            <w:bookmarkStart w:id="53" w:name="_Toc458184933"/>
            <w:bookmarkStart w:id="54" w:name="_Toc470676578"/>
            <w:r w:rsidRPr="00C77E77">
              <w:t>表</w:t>
            </w:r>
            <w:r w:rsidRPr="00C77E77">
              <w:t xml:space="preserve">2-3-1 </w:t>
            </w:r>
            <w:r w:rsidRPr="00C77E77">
              <w:t>新加坡產業發展、外人投資與貿易政策</w:t>
            </w:r>
            <w:bookmarkEnd w:id="53"/>
            <w:bookmarkEnd w:id="54"/>
          </w:p>
        </w:tc>
      </w:tr>
      <w:tr w:rsidR="006D2155" w:rsidRPr="00C77E77" w:rsidTr="006D2155">
        <w:trPr>
          <w:jc w:val="center"/>
        </w:trPr>
        <w:tc>
          <w:tcPr>
            <w:tcW w:w="813"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592"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5891"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服務業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70</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、金屬工業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29</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、農業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1</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金融保險、零售批發與商業服務為主要經濟成長來源</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szCs w:val="28"/>
              </w:rPr>
            </w:pPr>
          </w:p>
        </w:tc>
        <w:tc>
          <w:tcPr>
            <w:tcW w:w="1592"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5891"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電子、生物醫藥、石油石化</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szCs w:val="28"/>
              </w:rPr>
            </w:pPr>
          </w:p>
        </w:tc>
        <w:tc>
          <w:tcPr>
            <w:tcW w:w="1592"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5891"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•2016</w:t>
            </w:r>
            <w:r w:rsidRPr="00C77E77">
              <w:rPr>
                <w:rFonts w:ascii="Times New Roman" w:eastAsia="標楷體" w:hAnsi="Times New Roman" w:cs="Times New Roman"/>
                <w:szCs w:val="28"/>
              </w:rPr>
              <w:t>工業轉型計畫，以引進科技和創新為重點</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推廣會議、展覽、旅遊業</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592"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開放範圍</w:t>
            </w:r>
          </w:p>
        </w:tc>
        <w:tc>
          <w:tcPr>
            <w:tcW w:w="5891"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00E92074" w:rsidRPr="00C77E77">
              <w:rPr>
                <w:rFonts w:ascii="Times New Roman" w:eastAsia="標楷體" w:hAnsi="Times New Roman" w:cs="Times New Roman"/>
                <w:szCs w:val="28"/>
              </w:rPr>
              <w:t>歡</w:t>
            </w:r>
            <w:r w:rsidRPr="00C77E77">
              <w:rPr>
                <w:rFonts w:ascii="Times New Roman" w:eastAsia="標楷體" w:hAnsi="Times New Roman" w:cs="Times New Roman"/>
                <w:szCs w:val="28"/>
              </w:rPr>
              <w:t>迎各企業運用新加坡為策略性發展之跳板</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592"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政策優惠</w:t>
            </w:r>
          </w:p>
        </w:tc>
        <w:tc>
          <w:tcPr>
            <w:tcW w:w="5891"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開發及費用列支優惠、企業所得稅減免</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592"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5891"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新加坡經濟發展局網站</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貿易</w:t>
            </w:r>
          </w:p>
        </w:tc>
        <w:tc>
          <w:tcPr>
            <w:tcW w:w="1592"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開放項目</w:t>
            </w:r>
          </w:p>
        </w:tc>
        <w:tc>
          <w:tcPr>
            <w:tcW w:w="5891"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進口藥品、有害化學品、電影、武器軍火等需申請許可，其他大部分產品可自由進口</w:t>
            </w:r>
          </w:p>
        </w:tc>
      </w:tr>
      <w:tr w:rsidR="006D2155" w:rsidRPr="00C77E77" w:rsidTr="006D2155">
        <w:trPr>
          <w:jc w:val="center"/>
        </w:trPr>
        <w:tc>
          <w:tcPr>
            <w:tcW w:w="813" w:type="dxa"/>
            <w:vMerge/>
          </w:tcPr>
          <w:p w:rsidR="006D2155" w:rsidRPr="00C77E77" w:rsidRDefault="006D2155" w:rsidP="006D2155">
            <w:pPr>
              <w:spacing w:line="500" w:lineRule="exact"/>
              <w:rPr>
                <w:rFonts w:ascii="Times New Roman" w:eastAsia="標楷體" w:hAnsi="Times New Roman" w:cs="Times New Roman"/>
                <w:szCs w:val="28"/>
              </w:rPr>
            </w:pPr>
          </w:p>
        </w:tc>
        <w:tc>
          <w:tcPr>
            <w:tcW w:w="1592"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關稅</w:t>
            </w:r>
          </w:p>
        </w:tc>
        <w:tc>
          <w:tcPr>
            <w:tcW w:w="5891"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對酒類、菸草、石油產品和汽車徵收高額關稅</w:t>
            </w:r>
          </w:p>
        </w:tc>
      </w:tr>
      <w:tr w:rsidR="0068643A" w:rsidRPr="00C77E77" w:rsidTr="006D2155">
        <w:trPr>
          <w:jc w:val="center"/>
        </w:trPr>
        <w:tc>
          <w:tcPr>
            <w:tcW w:w="813" w:type="dxa"/>
            <w:vMerge/>
          </w:tcPr>
          <w:p w:rsidR="0068643A" w:rsidRPr="00C77E77" w:rsidRDefault="0068643A" w:rsidP="0068643A">
            <w:pPr>
              <w:spacing w:line="500" w:lineRule="exact"/>
              <w:rPr>
                <w:rFonts w:ascii="Times New Roman" w:eastAsia="標楷體" w:hAnsi="Times New Roman" w:cs="Times New Roman"/>
                <w:szCs w:val="28"/>
              </w:rPr>
            </w:pPr>
          </w:p>
        </w:tc>
        <w:tc>
          <w:tcPr>
            <w:tcW w:w="1592" w:type="dxa"/>
          </w:tcPr>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5891" w:type="dxa"/>
          </w:tcPr>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印度、澳洲、紐西蘭、日本、中國大陸、韓國、巴拿馬、秘魯、哥斯大黎加、約旦、美國、臺灣、歐洲自由貿易聯盟</w:t>
            </w:r>
            <w:r w:rsidR="00F9218F"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EFTA</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、阿拉伯國家合作委員會</w:t>
            </w:r>
            <w:r w:rsidR="00F9218F"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GCC</w:t>
            </w:r>
            <w:r w:rsidR="00F9218F" w:rsidRPr="00C77E77">
              <w:rPr>
                <w:rFonts w:ascii="Times New Roman" w:eastAsia="標楷體" w:hAnsi="Times New Roman" w:cs="Times New Roman"/>
                <w:szCs w:val="28"/>
              </w:rPr>
              <w:t>）</w:t>
            </w:r>
          </w:p>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已簽署</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土耳其、歐盟</w:t>
            </w:r>
          </w:p>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談判中</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加拿大、墨西哥、巴基斯坦、烏克蘭</w:t>
            </w:r>
          </w:p>
        </w:tc>
      </w:tr>
      <w:tr w:rsidR="0068643A" w:rsidRPr="00C77E77" w:rsidTr="006D2155">
        <w:trPr>
          <w:jc w:val="center"/>
        </w:trPr>
        <w:tc>
          <w:tcPr>
            <w:tcW w:w="813" w:type="dxa"/>
            <w:vMerge/>
            <w:tcBorders>
              <w:bottom w:val="single" w:sz="4" w:space="0" w:color="auto"/>
            </w:tcBorders>
          </w:tcPr>
          <w:p w:rsidR="0068643A" w:rsidRPr="00C77E77" w:rsidRDefault="0068643A" w:rsidP="0068643A">
            <w:pPr>
              <w:spacing w:line="500" w:lineRule="exact"/>
              <w:rPr>
                <w:rFonts w:ascii="Times New Roman" w:eastAsia="標楷體" w:hAnsi="Times New Roman" w:cs="Times New Roman"/>
                <w:szCs w:val="28"/>
              </w:rPr>
            </w:pPr>
          </w:p>
        </w:tc>
        <w:tc>
          <w:tcPr>
            <w:tcW w:w="1592" w:type="dxa"/>
            <w:tcBorders>
              <w:bottom w:val="single" w:sz="4" w:space="0" w:color="auto"/>
            </w:tcBorders>
          </w:tcPr>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5891" w:type="dxa"/>
            <w:tcBorders>
              <w:bottom w:val="single" w:sz="4" w:space="0" w:color="auto"/>
            </w:tcBorders>
          </w:tcPr>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東協自由貿易協定</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AFTA</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8"/>
              </w:rPr>
              <w:t>、東協成員與區域外國家之多邊協定，包含日本</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韓國</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中國大陸</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紐西蘭</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澳洲</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印度</w:t>
            </w:r>
          </w:p>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已簽署</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跨太平洋夥伴關係協定</w:t>
            </w:r>
            <w:r w:rsidR="00F9218F"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TPP</w:t>
            </w:r>
            <w:r w:rsidR="00F9218F" w:rsidRPr="00C77E77">
              <w:rPr>
                <w:rFonts w:ascii="Times New Roman" w:eastAsia="標楷體" w:hAnsi="Times New Roman" w:cs="Times New Roman"/>
                <w:szCs w:val="28"/>
              </w:rPr>
              <w:t>）</w:t>
            </w:r>
          </w:p>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談判中</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區域全面經濟夥伴協定</w:t>
            </w:r>
          </w:p>
        </w:tc>
      </w:tr>
      <w:tr w:rsidR="006D2155" w:rsidRPr="00C77E77" w:rsidTr="006D2155">
        <w:trPr>
          <w:jc w:val="center"/>
        </w:trPr>
        <w:tc>
          <w:tcPr>
            <w:tcW w:w="8296" w:type="dxa"/>
            <w:gridSpan w:val="3"/>
            <w:tcBorders>
              <w:top w:val="single" w:sz="4" w:space="0" w:color="auto"/>
              <w:left w:val="nil"/>
              <w:bottom w:val="nil"/>
              <w:right w:val="nil"/>
            </w:tcBorders>
          </w:tcPr>
          <w:p w:rsidR="006D2155" w:rsidRPr="00C77E77" w:rsidRDefault="006D2155" w:rsidP="00CF6371">
            <w:pPr>
              <w:spacing w:line="500" w:lineRule="exact"/>
              <w:ind w:left="1166" w:hangingChars="507" w:hanging="1166"/>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68643A" w:rsidRPr="00C77E77">
              <w:rPr>
                <w:rFonts w:ascii="Times New Roman" w:eastAsia="標楷體" w:hAnsi="Times New Roman" w:cs="Times New Roman"/>
                <w:sz w:val="23"/>
                <w:szCs w:val="23"/>
              </w:rPr>
              <w:t>經濟部國貿局，</w:t>
            </w:r>
            <w:r w:rsidR="0068643A" w:rsidRPr="00C77E77">
              <w:rPr>
                <w:rFonts w:ascii="Times New Roman" w:eastAsia="標楷體" w:hAnsi="Times New Roman" w:cs="Times New Roman"/>
                <w:sz w:val="23"/>
                <w:szCs w:val="23"/>
              </w:rPr>
              <w:t>2016</w:t>
            </w:r>
            <w:r w:rsidR="0068643A"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，新加坡投資環境簡介；香港貿易發展局，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，新加坡市場概況。</w:t>
            </w:r>
          </w:p>
        </w:tc>
      </w:tr>
    </w:tbl>
    <w:p w:rsidR="009B3E64" w:rsidRPr="00C77E77" w:rsidRDefault="006D2155" w:rsidP="006D2155">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sz w:val="28"/>
          <w:szCs w:val="28"/>
        </w:rPr>
        <w:tab/>
      </w:r>
    </w:p>
    <w:p w:rsidR="009B3E64" w:rsidRPr="00C77E77" w:rsidRDefault="009B3E64">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tbl>
      <w:tblPr>
        <w:tblStyle w:val="af4"/>
        <w:tblW w:w="0" w:type="auto"/>
        <w:jc w:val="center"/>
        <w:tblLook w:val="04A0" w:firstRow="1" w:lastRow="0" w:firstColumn="1" w:lastColumn="0" w:noHBand="0" w:noVBand="1"/>
      </w:tblPr>
      <w:tblGrid>
        <w:gridCol w:w="814"/>
        <w:gridCol w:w="1449"/>
        <w:gridCol w:w="6033"/>
      </w:tblGrid>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6D2155">
            <w:pPr>
              <w:pStyle w:val="af9"/>
            </w:pPr>
            <w:r w:rsidRPr="00C77E77">
              <w:lastRenderedPageBreak/>
              <w:br w:type="page"/>
            </w:r>
            <w:bookmarkStart w:id="55" w:name="_Toc458184934"/>
            <w:bookmarkStart w:id="56" w:name="_Toc470676579"/>
            <w:r w:rsidRPr="00C77E77">
              <w:t>表</w:t>
            </w:r>
            <w:r w:rsidRPr="00C77E77">
              <w:t xml:space="preserve">2-3-2 </w:t>
            </w:r>
            <w:r w:rsidRPr="00C77E77">
              <w:t>印尼產業發展、外人投資與貿易政策</w:t>
            </w:r>
            <w:bookmarkEnd w:id="55"/>
            <w:bookmarkEnd w:id="56"/>
          </w:p>
        </w:tc>
      </w:tr>
      <w:tr w:rsidR="006D2155" w:rsidRPr="00C77E77" w:rsidTr="006D2155">
        <w:trPr>
          <w:jc w:val="center"/>
        </w:trPr>
        <w:tc>
          <w:tcPr>
            <w:tcW w:w="814"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產業發展</w:t>
            </w:r>
          </w:p>
        </w:tc>
        <w:tc>
          <w:tcPr>
            <w:tcW w:w="1449"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6033"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服務業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44</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、工業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43</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、農業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13</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p>
        </w:tc>
      </w:tr>
      <w:tr w:rsidR="006D2155" w:rsidRPr="00C77E77" w:rsidTr="006D2155">
        <w:trPr>
          <w:jc w:val="center"/>
        </w:trPr>
        <w:tc>
          <w:tcPr>
            <w:tcW w:w="814" w:type="dxa"/>
            <w:vMerge/>
            <w:vAlign w:val="center"/>
          </w:tcPr>
          <w:p w:rsidR="006D2155" w:rsidRPr="00C77E77" w:rsidRDefault="006D2155" w:rsidP="006D2155">
            <w:pPr>
              <w:spacing w:line="500" w:lineRule="exact"/>
              <w:jc w:val="center"/>
              <w:rPr>
                <w:rFonts w:ascii="Times New Roman" w:eastAsia="標楷體" w:hAnsi="Times New Roman" w:cs="Times New Roman"/>
                <w:szCs w:val="28"/>
              </w:rPr>
            </w:pPr>
          </w:p>
        </w:tc>
        <w:tc>
          <w:tcPr>
            <w:tcW w:w="1449"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製造業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菸草、食品飲料、交通運輸設備及機械</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、採礦、建築、交通及通訊、金融和房地產</w:t>
            </w:r>
          </w:p>
        </w:tc>
      </w:tr>
      <w:tr w:rsidR="006D2155" w:rsidRPr="00C77E77" w:rsidTr="006D2155">
        <w:trPr>
          <w:jc w:val="center"/>
        </w:trPr>
        <w:tc>
          <w:tcPr>
            <w:tcW w:w="814" w:type="dxa"/>
            <w:vMerge/>
            <w:vAlign w:val="center"/>
          </w:tcPr>
          <w:p w:rsidR="006D2155" w:rsidRPr="00C77E77" w:rsidRDefault="006D2155" w:rsidP="006D2155">
            <w:pPr>
              <w:spacing w:line="500" w:lineRule="exact"/>
              <w:jc w:val="center"/>
              <w:rPr>
                <w:rFonts w:ascii="Times New Roman" w:eastAsia="標楷體" w:hAnsi="Times New Roman" w:cs="Times New Roman"/>
                <w:szCs w:val="28"/>
              </w:rPr>
            </w:pPr>
          </w:p>
        </w:tc>
        <w:tc>
          <w:tcPr>
            <w:tcW w:w="1449"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9</w:t>
            </w:r>
            <w:r w:rsidRPr="00C77E77">
              <w:rPr>
                <w:rFonts w:ascii="Times New Roman" w:eastAsia="標楷體" w:hAnsi="Times New Roman" w:cs="Times New Roman"/>
                <w:szCs w:val="28"/>
              </w:rPr>
              <w:t>月提出促進經濟方案</w:t>
            </w:r>
            <w:r w:rsidRPr="00C77E77">
              <w:rPr>
                <w:rFonts w:ascii="Times New Roman" w:eastAsia="標楷體" w:hAnsi="Times New Roman" w:cs="Times New Roman"/>
                <w:szCs w:val="28"/>
              </w:rPr>
              <w:t>:</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 xml:space="preserve"> </w:t>
            </w:r>
            <w:r w:rsidRPr="00C77E77">
              <w:rPr>
                <w:rFonts w:ascii="Times New Roman" w:eastAsia="標楷體" w:hAnsi="Times New Roman" w:cs="Times New Roman"/>
                <w:szCs w:val="28"/>
              </w:rPr>
              <w:t>簡化基礎建設項目的審核與採購程序、調降能源價格</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•2016</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4</w:t>
            </w:r>
            <w:r w:rsidRPr="00C77E77">
              <w:rPr>
                <w:rFonts w:ascii="Times New Roman" w:eastAsia="標楷體" w:hAnsi="Times New Roman" w:cs="Times New Roman"/>
                <w:szCs w:val="28"/>
              </w:rPr>
              <w:t>月提出有利中小企業營商之措施</w:t>
            </w:r>
          </w:p>
        </w:tc>
      </w:tr>
      <w:tr w:rsidR="006D2155" w:rsidRPr="00C77E77" w:rsidTr="006D2155">
        <w:trPr>
          <w:jc w:val="center"/>
        </w:trPr>
        <w:tc>
          <w:tcPr>
            <w:tcW w:w="814"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49"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開放範圍及優惠</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印尼投資統籌局所列負面清單以外之項目</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•2014</w:t>
            </w:r>
            <w:r w:rsidRPr="00C77E77">
              <w:rPr>
                <w:rFonts w:ascii="Times New Roman" w:eastAsia="標楷體" w:hAnsi="Times New Roman" w:cs="Times New Roman"/>
                <w:szCs w:val="28"/>
              </w:rPr>
              <w:t>年修訂負面清單，降低倉儲及配送業務之外資持股上限至</w:t>
            </w:r>
            <w:r w:rsidRPr="00C77E77">
              <w:rPr>
                <w:rFonts w:ascii="Times New Roman" w:eastAsia="標楷體" w:hAnsi="Times New Roman" w:cs="Times New Roman"/>
                <w:szCs w:val="28"/>
              </w:rPr>
              <w:t>33</w:t>
            </w:r>
            <w:r w:rsidRPr="00C77E77">
              <w:rPr>
                <w:rFonts w:ascii="Times New Roman" w:eastAsia="標楷體" w:hAnsi="Times New Roman" w:cs="Times New Roman"/>
                <w:szCs w:val="28"/>
              </w:rPr>
              <w:t>％，同時開放製藥電訊服務建設公路運輸設施和貨運站</w:t>
            </w:r>
          </w:p>
        </w:tc>
      </w:tr>
      <w:tr w:rsidR="006D2155" w:rsidRPr="00C77E77" w:rsidTr="006D2155">
        <w:trPr>
          <w:jc w:val="center"/>
        </w:trPr>
        <w:tc>
          <w:tcPr>
            <w:tcW w:w="814"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49"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印尼投資統籌局網站</w:t>
            </w:r>
          </w:p>
        </w:tc>
      </w:tr>
      <w:tr w:rsidR="006D2155" w:rsidRPr="00C77E77" w:rsidTr="006D2155">
        <w:trPr>
          <w:jc w:val="center"/>
        </w:trPr>
        <w:tc>
          <w:tcPr>
            <w:tcW w:w="814"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貿易</w:t>
            </w:r>
          </w:p>
        </w:tc>
        <w:tc>
          <w:tcPr>
            <w:tcW w:w="1449"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關稅</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大部分產品之進口關稅為</w:t>
            </w:r>
            <w:r w:rsidRPr="00C77E77">
              <w:rPr>
                <w:rFonts w:ascii="Times New Roman" w:eastAsia="標楷體" w:hAnsi="Times New Roman" w:cs="Times New Roman"/>
                <w:szCs w:val="28"/>
              </w:rPr>
              <w:t>0</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~20</w:t>
            </w:r>
            <w:r w:rsidRPr="00C77E77">
              <w:rPr>
                <w:rFonts w:ascii="Times New Roman" w:eastAsia="標楷體" w:hAnsi="Times New Roman" w:cs="Times New Roman"/>
                <w:szCs w:val="28"/>
              </w:rPr>
              <w:t>％</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某些食品、菸草及汽車之關稅為</w:t>
            </w:r>
            <w:r w:rsidRPr="00C77E77">
              <w:rPr>
                <w:rFonts w:ascii="Times New Roman" w:eastAsia="標楷體" w:hAnsi="Times New Roman" w:cs="Times New Roman"/>
                <w:szCs w:val="28"/>
              </w:rPr>
              <w:t>30</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~150</w:t>
            </w:r>
            <w:r w:rsidRPr="00C77E77">
              <w:rPr>
                <w:rFonts w:ascii="Times New Roman" w:eastAsia="標楷體" w:hAnsi="Times New Roman" w:cs="Times New Roman"/>
                <w:szCs w:val="28"/>
              </w:rPr>
              <w:t>％</w:t>
            </w:r>
          </w:p>
        </w:tc>
      </w:tr>
      <w:tr w:rsidR="006D2155" w:rsidRPr="00C77E77" w:rsidTr="006D2155">
        <w:trPr>
          <w:jc w:val="center"/>
        </w:trPr>
        <w:tc>
          <w:tcPr>
            <w:tcW w:w="814" w:type="dxa"/>
            <w:vMerge/>
          </w:tcPr>
          <w:p w:rsidR="006D2155" w:rsidRPr="00C77E77" w:rsidRDefault="006D2155" w:rsidP="006D2155">
            <w:pPr>
              <w:spacing w:line="500" w:lineRule="exact"/>
              <w:rPr>
                <w:rFonts w:ascii="Times New Roman" w:eastAsia="標楷體" w:hAnsi="Times New Roman" w:cs="Times New Roman"/>
                <w:szCs w:val="28"/>
              </w:rPr>
            </w:pPr>
          </w:p>
        </w:tc>
        <w:tc>
          <w:tcPr>
            <w:tcW w:w="1449"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其他稅制</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大部分進口貨品需繳增值稅</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目前為</w:t>
            </w:r>
            <w:r w:rsidRPr="00C77E77">
              <w:rPr>
                <w:rFonts w:ascii="Times New Roman" w:eastAsia="標楷體" w:hAnsi="Times New Roman" w:cs="Times New Roman"/>
                <w:szCs w:val="28"/>
              </w:rPr>
              <w:t>10</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汽車、遊艇、飛機、房地產等需繳奢侈品銷售稅</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10</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-75</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p>
        </w:tc>
      </w:tr>
      <w:tr w:rsidR="0068643A" w:rsidRPr="00C77E77" w:rsidTr="006D2155">
        <w:trPr>
          <w:jc w:val="center"/>
        </w:trPr>
        <w:tc>
          <w:tcPr>
            <w:tcW w:w="814" w:type="dxa"/>
            <w:vMerge/>
          </w:tcPr>
          <w:p w:rsidR="0068643A" w:rsidRPr="00C77E77" w:rsidRDefault="0068643A" w:rsidP="0068643A">
            <w:pPr>
              <w:spacing w:line="500" w:lineRule="exact"/>
              <w:rPr>
                <w:rFonts w:ascii="Times New Roman" w:eastAsia="標楷體" w:hAnsi="Times New Roman" w:cs="Times New Roman"/>
                <w:szCs w:val="28"/>
              </w:rPr>
            </w:pPr>
          </w:p>
        </w:tc>
        <w:tc>
          <w:tcPr>
            <w:tcW w:w="1449" w:type="dxa"/>
          </w:tcPr>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033" w:type="dxa"/>
          </w:tcPr>
          <w:p w:rsidR="0068643A" w:rsidRPr="00C77E77" w:rsidRDefault="0068643A" w:rsidP="0068643A">
            <w:pPr>
              <w:spacing w:afterLines="50" w:after="180"/>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已簽署</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日本、巴基斯坦</w:t>
            </w:r>
          </w:p>
          <w:p w:rsidR="0068643A" w:rsidRPr="00C77E77" w:rsidRDefault="0068643A" w:rsidP="0068643A">
            <w:pPr>
              <w:spacing w:afterLines="50" w:after="180"/>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進行中</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印度、韓國、澳洲、智利、歐盟及歐洲自由貿易聯盟</w:t>
            </w:r>
            <w:r w:rsidR="00F9218F" w:rsidRPr="00C77E77">
              <w:rPr>
                <w:rFonts w:ascii="Times New Roman" w:eastAsia="標楷體" w:hAnsi="Times New Roman" w:cs="Times New Roman"/>
                <w:szCs w:val="24"/>
              </w:rPr>
              <w:t>（</w:t>
            </w:r>
            <w:r w:rsidR="00F9218F" w:rsidRPr="00C77E77">
              <w:rPr>
                <w:rFonts w:ascii="Times New Roman" w:eastAsia="標楷體" w:hAnsi="Times New Roman" w:cs="Times New Roman"/>
                <w:szCs w:val="24"/>
              </w:rPr>
              <w:t>EFTA</w:t>
            </w:r>
            <w:r w:rsidR="00F9218F" w:rsidRPr="00C77E77">
              <w:rPr>
                <w:rFonts w:ascii="Times New Roman" w:eastAsia="標楷體" w:hAnsi="Times New Roman" w:cs="Times New Roman"/>
                <w:szCs w:val="24"/>
              </w:rPr>
              <w:t>）</w:t>
            </w:r>
          </w:p>
          <w:p w:rsidR="0068643A" w:rsidRPr="00C77E77" w:rsidRDefault="0068643A" w:rsidP="0068643A">
            <w:pPr>
              <w:spacing w:afterLines="50" w:after="180"/>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已和</w:t>
            </w:r>
            <w:r w:rsidRPr="00C77E77">
              <w:rPr>
                <w:rFonts w:ascii="Times New Roman" w:eastAsia="標楷體" w:hAnsi="Times New Roman" w:cs="Times New Roman"/>
                <w:szCs w:val="28"/>
              </w:rPr>
              <w:t>60</w:t>
            </w:r>
            <w:r w:rsidRPr="00C77E77">
              <w:rPr>
                <w:rFonts w:ascii="Times New Roman" w:eastAsia="標楷體" w:hAnsi="Times New Roman" w:cs="Times New Roman"/>
                <w:szCs w:val="28"/>
              </w:rPr>
              <w:t>多個國家</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地區簽訂避免雙重徵稅協定，包含美國、日本、新加坡及中國大陸</w:t>
            </w:r>
          </w:p>
        </w:tc>
      </w:tr>
      <w:tr w:rsidR="0068643A" w:rsidRPr="00C77E77" w:rsidTr="006D2155">
        <w:trPr>
          <w:jc w:val="center"/>
        </w:trPr>
        <w:tc>
          <w:tcPr>
            <w:tcW w:w="814" w:type="dxa"/>
            <w:vMerge/>
            <w:tcBorders>
              <w:bottom w:val="single" w:sz="4" w:space="0" w:color="auto"/>
            </w:tcBorders>
          </w:tcPr>
          <w:p w:rsidR="0068643A" w:rsidRPr="00C77E77" w:rsidRDefault="0068643A" w:rsidP="0068643A">
            <w:pPr>
              <w:spacing w:line="500" w:lineRule="exact"/>
              <w:rPr>
                <w:rFonts w:ascii="Times New Roman" w:eastAsia="標楷體" w:hAnsi="Times New Roman" w:cs="Times New Roman"/>
                <w:szCs w:val="28"/>
              </w:rPr>
            </w:pPr>
          </w:p>
        </w:tc>
        <w:tc>
          <w:tcPr>
            <w:tcW w:w="1449" w:type="dxa"/>
            <w:tcBorders>
              <w:bottom w:val="single" w:sz="4" w:space="0" w:color="auto"/>
            </w:tcBorders>
          </w:tcPr>
          <w:p w:rsidR="0068643A" w:rsidRPr="00C77E77" w:rsidRDefault="0068643A" w:rsidP="0068643A">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033" w:type="dxa"/>
            <w:tcBorders>
              <w:bottom w:val="single" w:sz="4" w:space="0" w:color="auto"/>
            </w:tcBorders>
          </w:tcPr>
          <w:p w:rsidR="0068643A" w:rsidRPr="00C77E77" w:rsidRDefault="0068643A" w:rsidP="0068643A">
            <w:pPr>
              <w:spacing w:afterLines="50" w:after="180"/>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4"/>
              </w:rPr>
              <w:t>已簽署</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東協成員與區域外國家之多邊協定，包含中國大陸</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韓國</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日本</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澳洲</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紐西蘭及印度，另簽署「開發中八國集團優惠關稅協定」</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D</w:t>
            </w:r>
            <w:r w:rsidR="00F9218F" w:rsidRPr="00C77E77">
              <w:rPr>
                <w:rFonts w:ascii="Times New Roman" w:eastAsia="標楷體" w:hAnsi="Times New Roman" w:cs="Times New Roman"/>
                <w:szCs w:val="28"/>
              </w:rPr>
              <w:t>8-PTA</w:t>
            </w:r>
            <w:r w:rsidR="00F9218F" w:rsidRPr="00C77E77">
              <w:rPr>
                <w:rFonts w:ascii="Times New Roman" w:eastAsia="標楷體" w:hAnsi="Times New Roman" w:cs="Times New Roman"/>
                <w:szCs w:val="28"/>
              </w:rPr>
              <w:t>）</w:t>
            </w:r>
          </w:p>
          <w:p w:rsidR="0068643A" w:rsidRPr="00C77E77" w:rsidRDefault="0068643A" w:rsidP="0068643A">
            <w:pPr>
              <w:spacing w:afterLines="50" w:after="180"/>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進行中</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 xml:space="preserve"> </w:t>
            </w:r>
            <w:r w:rsidRPr="00C77E77">
              <w:rPr>
                <w:rFonts w:ascii="Times New Roman" w:eastAsia="標楷體" w:hAnsi="Times New Roman" w:cs="Times New Roman"/>
                <w:szCs w:val="28"/>
              </w:rPr>
              <w:t>東協成員與香港</w:t>
            </w:r>
            <w:r w:rsidRPr="00C77E77">
              <w:rPr>
                <w:rFonts w:ascii="Times New Roman" w:eastAsia="標楷體" w:hAnsi="Times New Roman" w:cs="Times New Roman"/>
                <w:szCs w:val="24"/>
              </w:rPr>
              <w:t>、區域全面經濟夥伴協定</w:t>
            </w:r>
          </w:p>
        </w:tc>
      </w:tr>
      <w:tr w:rsidR="006D2155" w:rsidRPr="00C77E77" w:rsidTr="006D2155">
        <w:trPr>
          <w:jc w:val="center"/>
        </w:trPr>
        <w:tc>
          <w:tcPr>
            <w:tcW w:w="8296" w:type="dxa"/>
            <w:gridSpan w:val="3"/>
            <w:tcBorders>
              <w:top w:val="single" w:sz="4" w:space="0" w:color="auto"/>
              <w:left w:val="nil"/>
              <w:bottom w:val="nil"/>
              <w:right w:val="nil"/>
            </w:tcBorders>
          </w:tcPr>
          <w:p w:rsidR="006D2155" w:rsidRPr="00C77E77" w:rsidRDefault="006D2155" w:rsidP="00CF6371">
            <w:pPr>
              <w:spacing w:line="500" w:lineRule="exact"/>
              <w:ind w:left="1166" w:hangingChars="507" w:hanging="1166"/>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68643A" w:rsidRPr="00C77E77">
              <w:rPr>
                <w:rFonts w:ascii="Times New Roman" w:eastAsia="標楷體" w:hAnsi="Times New Roman" w:cs="Times New Roman"/>
                <w:sz w:val="23"/>
                <w:szCs w:val="23"/>
              </w:rPr>
              <w:t>經濟部國貿局，</w:t>
            </w:r>
            <w:r w:rsidR="0068643A" w:rsidRPr="00C77E77">
              <w:rPr>
                <w:rFonts w:ascii="Times New Roman" w:eastAsia="標楷體" w:hAnsi="Times New Roman" w:cs="Times New Roman"/>
                <w:sz w:val="23"/>
                <w:szCs w:val="23"/>
              </w:rPr>
              <w:t>2016</w:t>
            </w:r>
            <w:r w:rsidR="0068643A"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，印尼投資環境簡介；香港貿易發展局，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，印尼市場概況。</w:t>
            </w:r>
          </w:p>
        </w:tc>
      </w:tr>
    </w:tbl>
    <w:p w:rsidR="00BC7949" w:rsidRPr="00C77E77" w:rsidRDefault="00BC7949">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tbl>
      <w:tblPr>
        <w:tblStyle w:val="af4"/>
        <w:tblW w:w="0" w:type="auto"/>
        <w:jc w:val="center"/>
        <w:tblLook w:val="04A0" w:firstRow="1" w:lastRow="0" w:firstColumn="1" w:lastColumn="0" w:noHBand="0" w:noVBand="1"/>
      </w:tblPr>
      <w:tblGrid>
        <w:gridCol w:w="802"/>
        <w:gridCol w:w="1325"/>
        <w:gridCol w:w="6378"/>
      </w:tblGrid>
      <w:tr w:rsidR="006D2155" w:rsidRPr="00C77E77" w:rsidTr="00BC7949">
        <w:trPr>
          <w:jc w:val="center"/>
        </w:trPr>
        <w:tc>
          <w:tcPr>
            <w:tcW w:w="8505" w:type="dxa"/>
            <w:gridSpan w:val="3"/>
            <w:tcBorders>
              <w:top w:val="nil"/>
              <w:left w:val="nil"/>
              <w:bottom w:val="single" w:sz="4" w:space="0" w:color="auto"/>
              <w:right w:val="nil"/>
            </w:tcBorders>
            <w:vAlign w:val="center"/>
          </w:tcPr>
          <w:p w:rsidR="006D2155" w:rsidRPr="00C77E77" w:rsidRDefault="006D2155" w:rsidP="00CB1B6D">
            <w:pPr>
              <w:pStyle w:val="af9"/>
              <w:spacing w:line="240" w:lineRule="auto"/>
            </w:pPr>
            <w:bookmarkStart w:id="57" w:name="_Toc458184935"/>
            <w:bookmarkStart w:id="58" w:name="_Toc470676580"/>
            <w:r w:rsidRPr="00C77E77">
              <w:lastRenderedPageBreak/>
              <w:t>表</w:t>
            </w:r>
            <w:r w:rsidRPr="00C77E77">
              <w:t xml:space="preserve">2-3-3 </w:t>
            </w:r>
            <w:r w:rsidRPr="00C77E77">
              <w:t>泰國產業發展、外人投資與貿易政策</w:t>
            </w:r>
            <w:bookmarkEnd w:id="57"/>
            <w:bookmarkEnd w:id="58"/>
          </w:p>
        </w:tc>
      </w:tr>
      <w:tr w:rsidR="006D2155" w:rsidRPr="00C77E77" w:rsidTr="00F9218F">
        <w:trPr>
          <w:jc w:val="center"/>
        </w:trPr>
        <w:tc>
          <w:tcPr>
            <w:tcW w:w="802" w:type="dxa"/>
            <w:vMerge w:val="restart"/>
            <w:tcBorders>
              <w:top w:val="single" w:sz="4" w:space="0" w:color="auto"/>
            </w:tcBorders>
            <w:vAlign w:val="center"/>
          </w:tcPr>
          <w:p w:rsidR="006D2155" w:rsidRPr="00C77E77" w:rsidRDefault="006D2155" w:rsidP="00CB1B6D">
            <w:pPr>
              <w:jc w:val="center"/>
              <w:rPr>
                <w:rFonts w:ascii="Times New Roman" w:eastAsia="標楷體" w:hAnsi="Times New Roman" w:cs="Times New Roman"/>
                <w:b/>
                <w:szCs w:val="24"/>
              </w:rPr>
            </w:pPr>
            <w:r w:rsidRPr="00C77E77">
              <w:rPr>
                <w:rFonts w:ascii="Times New Roman" w:eastAsia="標楷體" w:hAnsi="Times New Roman" w:cs="Times New Roman"/>
                <w:b/>
                <w:szCs w:val="24"/>
              </w:rPr>
              <w:t>產業發展</w:t>
            </w:r>
          </w:p>
        </w:tc>
        <w:tc>
          <w:tcPr>
            <w:tcW w:w="1325" w:type="dxa"/>
            <w:tcBorders>
              <w:top w:val="single" w:sz="4" w:space="0" w:color="auto"/>
            </w:tcBorders>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產業分布</w:t>
            </w:r>
          </w:p>
        </w:tc>
        <w:tc>
          <w:tcPr>
            <w:tcW w:w="6378" w:type="dxa"/>
            <w:tcBorders>
              <w:top w:val="single" w:sz="4" w:space="0" w:color="auto"/>
            </w:tcBorders>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服務業</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52</w:t>
            </w:r>
            <w:r w:rsidRPr="00C77E77">
              <w:rPr>
                <w:rFonts w:ascii="Times New Roman" w:eastAsia="標楷體" w:hAnsi="Times New Roman" w:cs="Times New Roman"/>
                <w:szCs w:val="24"/>
              </w:rPr>
              <w:t>％</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、工業</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38</w:t>
            </w:r>
            <w:r w:rsidRPr="00C77E77">
              <w:rPr>
                <w:rFonts w:ascii="Times New Roman" w:eastAsia="標楷體" w:hAnsi="Times New Roman" w:cs="Times New Roman"/>
                <w:szCs w:val="24"/>
              </w:rPr>
              <w:t>％</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、農業</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10</w:t>
            </w:r>
            <w:r w:rsidRPr="00C77E77">
              <w:rPr>
                <w:rFonts w:ascii="Times New Roman" w:eastAsia="標楷體" w:hAnsi="Times New Roman" w:cs="Times New Roman"/>
                <w:szCs w:val="24"/>
              </w:rPr>
              <w:t>％</w:t>
            </w:r>
            <w:r w:rsidR="00F9218F" w:rsidRPr="00C77E77">
              <w:rPr>
                <w:rFonts w:ascii="Times New Roman" w:eastAsia="標楷體" w:hAnsi="Times New Roman" w:cs="Times New Roman"/>
                <w:szCs w:val="24"/>
              </w:rPr>
              <w:t>）</w:t>
            </w:r>
          </w:p>
        </w:tc>
      </w:tr>
      <w:tr w:rsidR="006D2155" w:rsidRPr="00C77E77" w:rsidTr="00F9218F">
        <w:trPr>
          <w:jc w:val="center"/>
        </w:trPr>
        <w:tc>
          <w:tcPr>
            <w:tcW w:w="802" w:type="dxa"/>
            <w:vMerge/>
            <w:vAlign w:val="center"/>
          </w:tcPr>
          <w:p w:rsidR="006D2155" w:rsidRPr="00C77E77" w:rsidRDefault="006D2155" w:rsidP="00CB1B6D">
            <w:pPr>
              <w:jc w:val="center"/>
              <w:rPr>
                <w:rFonts w:ascii="Times New Roman" w:eastAsia="標楷體" w:hAnsi="Times New Roman" w:cs="Times New Roman"/>
                <w:b/>
                <w:szCs w:val="24"/>
              </w:rPr>
            </w:pPr>
          </w:p>
        </w:tc>
        <w:tc>
          <w:tcPr>
            <w:tcW w:w="1325"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主要行業</w:t>
            </w:r>
          </w:p>
        </w:tc>
        <w:tc>
          <w:tcPr>
            <w:tcW w:w="6378"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電子產品、汽車製造、運輸倉儲、通訊、金融和房地產</w:t>
            </w:r>
          </w:p>
        </w:tc>
      </w:tr>
      <w:tr w:rsidR="006D2155" w:rsidRPr="00C77E77" w:rsidTr="00F9218F">
        <w:trPr>
          <w:jc w:val="center"/>
        </w:trPr>
        <w:tc>
          <w:tcPr>
            <w:tcW w:w="802" w:type="dxa"/>
            <w:vMerge/>
            <w:vAlign w:val="center"/>
          </w:tcPr>
          <w:p w:rsidR="006D2155" w:rsidRPr="00C77E77" w:rsidRDefault="006D2155" w:rsidP="00CB1B6D">
            <w:pPr>
              <w:jc w:val="center"/>
              <w:rPr>
                <w:rFonts w:ascii="Times New Roman" w:eastAsia="標楷體" w:hAnsi="Times New Roman" w:cs="Times New Roman"/>
                <w:b/>
                <w:szCs w:val="24"/>
              </w:rPr>
            </w:pPr>
          </w:p>
        </w:tc>
        <w:tc>
          <w:tcPr>
            <w:tcW w:w="1325"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政策推動</w:t>
            </w:r>
          </w:p>
        </w:tc>
        <w:tc>
          <w:tcPr>
            <w:tcW w:w="6378"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逐步降低企業所得稅，自</w:t>
            </w:r>
            <w:r w:rsidRPr="00C77E77">
              <w:rPr>
                <w:rFonts w:ascii="Times New Roman" w:eastAsia="標楷體" w:hAnsi="Times New Roman" w:cs="Times New Roman"/>
                <w:szCs w:val="24"/>
              </w:rPr>
              <w:t>2016</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1</w:t>
            </w:r>
            <w:r w:rsidRPr="00C77E77">
              <w:rPr>
                <w:rFonts w:ascii="Times New Roman" w:eastAsia="標楷體" w:hAnsi="Times New Roman" w:cs="Times New Roman"/>
                <w:szCs w:val="24"/>
              </w:rPr>
              <w:t>月</w:t>
            </w:r>
            <w:r w:rsidRPr="00C77E77">
              <w:rPr>
                <w:rFonts w:ascii="Times New Roman" w:eastAsia="標楷體" w:hAnsi="Times New Roman" w:cs="Times New Roman"/>
                <w:szCs w:val="24"/>
              </w:rPr>
              <w:t>1</w:t>
            </w:r>
            <w:r w:rsidRPr="00C77E77">
              <w:rPr>
                <w:rFonts w:ascii="Times New Roman" w:eastAsia="標楷體" w:hAnsi="Times New Roman" w:cs="Times New Roman"/>
                <w:szCs w:val="24"/>
              </w:rPr>
              <w:t>日起維持在</w:t>
            </w:r>
            <w:r w:rsidRPr="00C77E77">
              <w:rPr>
                <w:rFonts w:ascii="Times New Roman" w:eastAsia="標楷體" w:hAnsi="Times New Roman" w:cs="Times New Roman"/>
                <w:szCs w:val="24"/>
              </w:rPr>
              <w:t>20</w:t>
            </w:r>
            <w:r w:rsidRPr="00C77E77">
              <w:rPr>
                <w:rFonts w:ascii="Times New Roman" w:eastAsia="標楷體" w:hAnsi="Times New Roman" w:cs="Times New Roman"/>
                <w:szCs w:val="24"/>
              </w:rPr>
              <w:t>％</w:t>
            </w:r>
          </w:p>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•2015</w:t>
            </w:r>
            <w:r w:rsidRPr="00C77E77">
              <w:rPr>
                <w:rFonts w:ascii="Times New Roman" w:eastAsia="標楷體" w:hAnsi="Times New Roman" w:cs="Times New Roman"/>
                <w:szCs w:val="24"/>
              </w:rPr>
              <w:t>年底取消原本每日</w:t>
            </w:r>
            <w:r w:rsidRPr="00C77E77">
              <w:rPr>
                <w:rFonts w:ascii="Times New Roman" w:eastAsia="標楷體" w:hAnsi="Times New Roman" w:cs="Times New Roman"/>
                <w:szCs w:val="24"/>
              </w:rPr>
              <w:t>300</w:t>
            </w:r>
            <w:r w:rsidRPr="00C77E77">
              <w:rPr>
                <w:rFonts w:ascii="Times New Roman" w:eastAsia="標楷體" w:hAnsi="Times New Roman" w:cs="Times New Roman"/>
                <w:szCs w:val="24"/>
              </w:rPr>
              <w:t>泰銖之最低工資規定</w:t>
            </w:r>
          </w:p>
        </w:tc>
      </w:tr>
      <w:tr w:rsidR="006D2155" w:rsidRPr="00C77E77" w:rsidTr="00F9218F">
        <w:trPr>
          <w:jc w:val="center"/>
        </w:trPr>
        <w:tc>
          <w:tcPr>
            <w:tcW w:w="802" w:type="dxa"/>
            <w:vMerge w:val="restart"/>
            <w:vAlign w:val="center"/>
          </w:tcPr>
          <w:p w:rsidR="006D2155" w:rsidRPr="00C77E77" w:rsidRDefault="006D2155" w:rsidP="00CB1B6D">
            <w:pPr>
              <w:jc w:val="center"/>
              <w:rPr>
                <w:rFonts w:ascii="Times New Roman" w:eastAsia="標楷體" w:hAnsi="Times New Roman" w:cs="Times New Roman"/>
                <w:b/>
                <w:szCs w:val="24"/>
              </w:rPr>
            </w:pPr>
            <w:r w:rsidRPr="00C77E77">
              <w:rPr>
                <w:rFonts w:ascii="Times New Roman" w:eastAsia="標楷體" w:hAnsi="Times New Roman" w:cs="Times New Roman"/>
                <w:b/>
                <w:szCs w:val="24"/>
              </w:rPr>
              <w:t>外人投資</w:t>
            </w:r>
          </w:p>
        </w:tc>
        <w:tc>
          <w:tcPr>
            <w:tcW w:w="1325"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開放範圍</w:t>
            </w:r>
          </w:p>
        </w:tc>
        <w:tc>
          <w:tcPr>
            <w:tcW w:w="6378"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除涉及國家安全、農業和大眾傳播外，皆開放外資直接投資，惟電信、銀行或保險支持股比例有所限制</w:t>
            </w:r>
          </w:p>
        </w:tc>
      </w:tr>
      <w:tr w:rsidR="006D2155" w:rsidRPr="00C77E77" w:rsidTr="00F9218F">
        <w:trPr>
          <w:jc w:val="center"/>
        </w:trPr>
        <w:tc>
          <w:tcPr>
            <w:tcW w:w="802" w:type="dxa"/>
            <w:vMerge/>
            <w:vAlign w:val="center"/>
          </w:tcPr>
          <w:p w:rsidR="006D2155" w:rsidRPr="00C77E77" w:rsidRDefault="006D2155" w:rsidP="00CB1B6D">
            <w:pPr>
              <w:jc w:val="center"/>
              <w:rPr>
                <w:rFonts w:ascii="Times New Roman" w:eastAsia="標楷體" w:hAnsi="Times New Roman" w:cs="Times New Roman"/>
                <w:b/>
                <w:szCs w:val="24"/>
              </w:rPr>
            </w:pPr>
          </w:p>
        </w:tc>
        <w:tc>
          <w:tcPr>
            <w:tcW w:w="1325"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政策優惠</w:t>
            </w:r>
          </w:p>
        </w:tc>
        <w:tc>
          <w:tcPr>
            <w:tcW w:w="6378"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00AA0D29" w:rsidRPr="00C77E77">
              <w:rPr>
                <w:rFonts w:ascii="Times New Roman" w:eastAsia="標楷體" w:hAnsi="Times New Roman" w:cs="Times New Roman"/>
                <w:szCs w:val="24"/>
              </w:rPr>
              <w:t>農業、礦冶業、輕工業、金屬加工及機械製造、電子業、化學及塑膠業、服務及能源業等七大產業享有稅務優惠</w:t>
            </w:r>
            <w:r w:rsidR="00AA0D29" w:rsidRPr="00C77E77">
              <w:rPr>
                <w:rFonts w:ascii="Times New Roman" w:eastAsia="標楷體" w:hAnsi="Times New Roman" w:cs="Times New Roman"/>
                <w:szCs w:val="24"/>
              </w:rPr>
              <w:t xml:space="preserve">: </w:t>
            </w:r>
            <w:r w:rsidR="00AA0D29" w:rsidRPr="00C77E77">
              <w:rPr>
                <w:rFonts w:ascii="Times New Roman" w:eastAsia="標楷體" w:hAnsi="Times New Roman" w:cs="Times New Roman"/>
                <w:szCs w:val="24"/>
              </w:rPr>
              <w:t>企業所得稅減免</w:t>
            </w:r>
            <w:r w:rsidR="00AA0D29" w:rsidRPr="00C77E77">
              <w:rPr>
                <w:rFonts w:ascii="Times New Roman" w:eastAsia="標楷體" w:hAnsi="Times New Roman" w:cs="Times New Roman"/>
                <w:szCs w:val="24"/>
              </w:rPr>
              <w:t>13</w:t>
            </w:r>
            <w:r w:rsidR="00AA0D29" w:rsidRPr="00C77E77">
              <w:rPr>
                <w:rFonts w:ascii="Times New Roman" w:eastAsia="標楷體" w:hAnsi="Times New Roman" w:cs="Times New Roman"/>
                <w:szCs w:val="24"/>
              </w:rPr>
              <w:t>年且免稅期後享</w:t>
            </w:r>
            <w:r w:rsidR="00AA0D29" w:rsidRPr="00C77E77">
              <w:rPr>
                <w:rFonts w:ascii="Times New Roman" w:eastAsia="標楷體" w:hAnsi="Times New Roman" w:cs="Times New Roman"/>
                <w:szCs w:val="24"/>
              </w:rPr>
              <w:t>90</w:t>
            </w:r>
            <w:r w:rsidR="00AA0D29" w:rsidRPr="00C77E77">
              <w:rPr>
                <w:rFonts w:ascii="Times New Roman" w:eastAsia="標楷體" w:hAnsi="Times New Roman" w:cs="Times New Roman"/>
                <w:szCs w:val="24"/>
              </w:rPr>
              <w:t>％免稅</w:t>
            </w:r>
            <w:r w:rsidR="00F9218F" w:rsidRPr="00C77E77">
              <w:rPr>
                <w:rFonts w:ascii="Times New Roman" w:eastAsia="標楷體" w:hAnsi="Times New Roman" w:cs="Times New Roman"/>
                <w:szCs w:val="24"/>
              </w:rPr>
              <w:t>（</w:t>
            </w:r>
            <w:r w:rsidR="00AA0D29" w:rsidRPr="00C77E77">
              <w:rPr>
                <w:rFonts w:ascii="Times New Roman" w:eastAsia="標楷體" w:hAnsi="Times New Roman" w:cs="Times New Roman"/>
                <w:szCs w:val="24"/>
              </w:rPr>
              <w:t>為期</w:t>
            </w:r>
            <w:r w:rsidR="00AA0D29" w:rsidRPr="00C77E77">
              <w:rPr>
                <w:rFonts w:ascii="Times New Roman" w:eastAsia="標楷體" w:hAnsi="Times New Roman" w:cs="Times New Roman"/>
                <w:szCs w:val="24"/>
              </w:rPr>
              <w:t>10</w:t>
            </w:r>
            <w:r w:rsidR="00AA0D29" w:rsidRPr="00C77E77">
              <w:rPr>
                <w:rFonts w:ascii="Times New Roman" w:eastAsia="標楷體" w:hAnsi="Times New Roman" w:cs="Times New Roman"/>
                <w:szCs w:val="24"/>
              </w:rPr>
              <w:t>年</w:t>
            </w:r>
            <w:r w:rsidR="00F9218F" w:rsidRPr="00C77E77">
              <w:rPr>
                <w:rFonts w:ascii="Times New Roman" w:eastAsia="標楷體" w:hAnsi="Times New Roman" w:cs="Times New Roman"/>
                <w:szCs w:val="24"/>
              </w:rPr>
              <w:t>）</w:t>
            </w:r>
            <w:r w:rsidR="00AA0D29" w:rsidRPr="00C77E77">
              <w:rPr>
                <w:rFonts w:ascii="Times New Roman" w:eastAsia="標楷體" w:hAnsi="Times New Roman" w:cs="Times New Roman"/>
                <w:szCs w:val="24"/>
              </w:rPr>
              <w:t>、設施安裝或建造成本減免</w:t>
            </w:r>
            <w:r w:rsidR="00AA0D29" w:rsidRPr="00C77E77">
              <w:rPr>
                <w:rFonts w:ascii="Times New Roman" w:eastAsia="標楷體" w:hAnsi="Times New Roman" w:cs="Times New Roman"/>
                <w:szCs w:val="24"/>
              </w:rPr>
              <w:t>25</w:t>
            </w:r>
            <w:r w:rsidR="00AA0D29" w:rsidRPr="00C77E77">
              <w:rPr>
                <w:rFonts w:ascii="Times New Roman" w:eastAsia="標楷體" w:hAnsi="Times New Roman" w:cs="Times New Roman"/>
                <w:szCs w:val="24"/>
              </w:rPr>
              <w:t>％、進口物料用以製造出口貨品可享進口免關稅等。</w:t>
            </w:r>
          </w:p>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00AA0D29" w:rsidRPr="00C77E77">
              <w:rPr>
                <w:rFonts w:ascii="Times New Roman" w:eastAsia="標楷體" w:hAnsi="Times New Roman" w:cs="Times New Roman"/>
                <w:szCs w:val="24"/>
              </w:rPr>
              <w:t>除了產業項目，投資地點也是獲得租稅獎勵的重要因子，泰國政府推出的「專案價值」租稅優惠，距曼谷越遠或越貧窮的地方獎勵越高。若在其劃定的經濟特區（</w:t>
            </w:r>
            <w:r w:rsidR="00AA0D29" w:rsidRPr="00C77E77">
              <w:rPr>
                <w:rFonts w:ascii="Times New Roman" w:eastAsia="標楷體" w:hAnsi="Times New Roman" w:cs="Times New Roman"/>
                <w:szCs w:val="24"/>
              </w:rPr>
              <w:t>Special Economic Development Zones</w:t>
            </w:r>
            <w:r w:rsidR="00AA0D29" w:rsidRPr="00C77E77">
              <w:rPr>
                <w:rFonts w:ascii="Times New Roman" w:eastAsia="標楷體" w:hAnsi="Times New Roman" w:cs="Times New Roman"/>
                <w:szCs w:val="24"/>
              </w:rPr>
              <w:t>）或南方省份（指深入馬來半島省份）投資，最高可達</w:t>
            </w:r>
            <w:r w:rsidR="00AA0D29" w:rsidRPr="00C77E77">
              <w:rPr>
                <w:rFonts w:ascii="Times New Roman" w:eastAsia="標楷體" w:hAnsi="Times New Roman" w:cs="Times New Roman"/>
                <w:szCs w:val="24"/>
              </w:rPr>
              <w:t>5</w:t>
            </w:r>
            <w:r w:rsidR="00AA0D29" w:rsidRPr="00C77E77">
              <w:rPr>
                <w:rFonts w:ascii="Times New Roman" w:eastAsia="標楷體" w:hAnsi="Times New Roman" w:cs="Times New Roman"/>
                <w:szCs w:val="24"/>
              </w:rPr>
              <w:t>年所得稅減半優惠，且「專案價值」投資案可同時與「行業類別」優惠一起申請，享有雙重優惠。</w:t>
            </w:r>
          </w:p>
          <w:p w:rsidR="00AA0D29" w:rsidRPr="00C77E77" w:rsidRDefault="00AA0D29" w:rsidP="00CB1B6D">
            <w:pPr>
              <w:rPr>
                <w:rFonts w:ascii="Times New Roman" w:eastAsia="標楷體" w:hAnsi="Times New Roman" w:cs="Times New Roman"/>
                <w:szCs w:val="24"/>
              </w:rPr>
            </w:pPr>
            <w:r w:rsidRPr="00C77E77">
              <w:rPr>
                <w:rFonts w:ascii="Times New Roman" w:eastAsia="標楷體" w:hAnsi="Times New Roman" w:cs="Times New Roman"/>
                <w:szCs w:val="24"/>
              </w:rPr>
              <w:t>•2015</w:t>
            </w:r>
            <w:r w:rsidRPr="00C77E77">
              <w:rPr>
                <w:rFonts w:ascii="Times New Roman" w:eastAsia="標楷體" w:hAnsi="Times New Roman" w:cs="Times New Roman"/>
                <w:szCs w:val="24"/>
              </w:rPr>
              <w:t>年「七年投資促進戰略</w:t>
            </w:r>
            <w:r w:rsidR="00F9218F" w:rsidRPr="00C77E77">
              <w:rPr>
                <w:rFonts w:ascii="Times New Roman" w:eastAsia="標楷體" w:hAnsi="Times New Roman" w:cs="Times New Roman"/>
                <w:szCs w:val="24"/>
              </w:rPr>
              <w:t>（</w:t>
            </w:r>
            <w:r w:rsidR="00F9218F" w:rsidRPr="00C77E77">
              <w:rPr>
                <w:rFonts w:ascii="Times New Roman" w:eastAsia="標楷體" w:hAnsi="Times New Roman" w:cs="Times New Roman"/>
                <w:szCs w:val="24"/>
              </w:rPr>
              <w:t>2015-2021</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」對投資者提供稅務優惠及非稅務優惠，優先考慮投資於高科技和創意產業、數位服務業、善用本地資源之行業。</w:t>
            </w:r>
          </w:p>
        </w:tc>
      </w:tr>
      <w:tr w:rsidR="006D2155" w:rsidRPr="00C77E77" w:rsidTr="00F9218F">
        <w:trPr>
          <w:jc w:val="center"/>
        </w:trPr>
        <w:tc>
          <w:tcPr>
            <w:tcW w:w="802" w:type="dxa"/>
            <w:vMerge/>
            <w:vAlign w:val="center"/>
          </w:tcPr>
          <w:p w:rsidR="006D2155" w:rsidRPr="00C77E77" w:rsidRDefault="006D2155" w:rsidP="00CB1B6D">
            <w:pPr>
              <w:jc w:val="center"/>
              <w:rPr>
                <w:rFonts w:ascii="Times New Roman" w:eastAsia="標楷體" w:hAnsi="Times New Roman" w:cs="Times New Roman"/>
                <w:b/>
                <w:szCs w:val="24"/>
              </w:rPr>
            </w:pPr>
          </w:p>
        </w:tc>
        <w:tc>
          <w:tcPr>
            <w:tcW w:w="1325"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官方資訊</w:t>
            </w:r>
          </w:p>
        </w:tc>
        <w:tc>
          <w:tcPr>
            <w:tcW w:w="6378"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泰國投資促進委員會網站</w:t>
            </w:r>
          </w:p>
        </w:tc>
      </w:tr>
      <w:tr w:rsidR="006D2155" w:rsidRPr="00C77E77" w:rsidTr="00F9218F">
        <w:trPr>
          <w:jc w:val="center"/>
        </w:trPr>
        <w:tc>
          <w:tcPr>
            <w:tcW w:w="802" w:type="dxa"/>
            <w:vMerge w:val="restart"/>
            <w:vAlign w:val="center"/>
          </w:tcPr>
          <w:p w:rsidR="006D2155" w:rsidRPr="00C77E77" w:rsidRDefault="006D2155" w:rsidP="00CB1B6D">
            <w:pPr>
              <w:jc w:val="center"/>
              <w:rPr>
                <w:rFonts w:ascii="Times New Roman" w:eastAsia="標楷體" w:hAnsi="Times New Roman" w:cs="Times New Roman"/>
                <w:b/>
                <w:szCs w:val="24"/>
              </w:rPr>
            </w:pPr>
            <w:r w:rsidRPr="00C77E77">
              <w:rPr>
                <w:rFonts w:ascii="Times New Roman" w:eastAsia="標楷體" w:hAnsi="Times New Roman" w:cs="Times New Roman"/>
                <w:b/>
                <w:szCs w:val="24"/>
              </w:rPr>
              <w:t>關稅貿易</w:t>
            </w:r>
          </w:p>
        </w:tc>
        <w:tc>
          <w:tcPr>
            <w:tcW w:w="1325"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開放項目</w:t>
            </w:r>
          </w:p>
        </w:tc>
        <w:tc>
          <w:tcPr>
            <w:tcW w:w="6378"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履行加入世界貿易組織之承諾，持續調降關稅稅率及減少徵收關稅之進口產品項目</w:t>
            </w:r>
          </w:p>
        </w:tc>
      </w:tr>
      <w:tr w:rsidR="006D2155" w:rsidRPr="00C77E77" w:rsidTr="00F9218F">
        <w:trPr>
          <w:jc w:val="center"/>
        </w:trPr>
        <w:tc>
          <w:tcPr>
            <w:tcW w:w="802" w:type="dxa"/>
            <w:vMerge/>
          </w:tcPr>
          <w:p w:rsidR="006D2155" w:rsidRPr="00C77E77" w:rsidRDefault="006D2155" w:rsidP="00CB1B6D">
            <w:pPr>
              <w:rPr>
                <w:rFonts w:ascii="Times New Roman" w:eastAsia="標楷體" w:hAnsi="Times New Roman" w:cs="Times New Roman"/>
                <w:szCs w:val="24"/>
              </w:rPr>
            </w:pPr>
          </w:p>
        </w:tc>
        <w:tc>
          <w:tcPr>
            <w:tcW w:w="1325"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關稅</w:t>
            </w:r>
          </w:p>
        </w:tc>
        <w:tc>
          <w:tcPr>
            <w:tcW w:w="6378" w:type="dxa"/>
          </w:tcPr>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原物料</w:t>
            </w:r>
            <w:r w:rsidRPr="00C77E77">
              <w:rPr>
                <w:rFonts w:ascii="Times New Roman" w:eastAsia="標楷體" w:hAnsi="Times New Roman" w:cs="Times New Roman"/>
                <w:szCs w:val="24"/>
              </w:rPr>
              <w:t>1</w:t>
            </w:r>
            <w:r w:rsidRPr="00C77E77">
              <w:rPr>
                <w:rFonts w:ascii="Times New Roman" w:eastAsia="標楷體" w:hAnsi="Times New Roman" w:cs="Times New Roman"/>
                <w:szCs w:val="24"/>
              </w:rPr>
              <w:t>％、半製成品</w:t>
            </w:r>
            <w:r w:rsidRPr="00C77E77">
              <w:rPr>
                <w:rFonts w:ascii="Times New Roman" w:eastAsia="標楷體" w:hAnsi="Times New Roman" w:cs="Times New Roman"/>
                <w:szCs w:val="24"/>
              </w:rPr>
              <w:t>5</w:t>
            </w:r>
            <w:r w:rsidRPr="00C77E77">
              <w:rPr>
                <w:rFonts w:ascii="Times New Roman" w:eastAsia="標楷體" w:hAnsi="Times New Roman" w:cs="Times New Roman"/>
                <w:szCs w:val="24"/>
              </w:rPr>
              <w:t>％、製成品</w:t>
            </w:r>
            <w:r w:rsidRPr="00C77E77">
              <w:rPr>
                <w:rFonts w:ascii="Times New Roman" w:eastAsia="標楷體" w:hAnsi="Times New Roman" w:cs="Times New Roman"/>
                <w:szCs w:val="24"/>
              </w:rPr>
              <w:t>10</w:t>
            </w:r>
            <w:r w:rsidRPr="00C77E77">
              <w:rPr>
                <w:rFonts w:ascii="Times New Roman" w:eastAsia="標楷體" w:hAnsi="Times New Roman" w:cs="Times New Roman"/>
                <w:szCs w:val="24"/>
              </w:rPr>
              <w:t>％</w:t>
            </w:r>
          </w:p>
          <w:p w:rsidR="006D2155" w:rsidRPr="00C77E77" w:rsidRDefault="006D2155"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農產品及非農產品之最惠國關稅率平均為</w:t>
            </w:r>
            <w:r w:rsidRPr="00C77E77">
              <w:rPr>
                <w:rFonts w:ascii="Times New Roman" w:eastAsia="標楷體" w:hAnsi="Times New Roman" w:cs="Times New Roman"/>
                <w:szCs w:val="24"/>
              </w:rPr>
              <w:t>29.9</w:t>
            </w:r>
            <w:r w:rsidRPr="00C77E77">
              <w:rPr>
                <w:rFonts w:ascii="Times New Roman" w:eastAsia="標楷體" w:hAnsi="Times New Roman" w:cs="Times New Roman"/>
                <w:szCs w:val="24"/>
              </w:rPr>
              <w:t>％及</w:t>
            </w:r>
            <w:r w:rsidRPr="00C77E77">
              <w:rPr>
                <w:rFonts w:ascii="Times New Roman" w:eastAsia="標楷體" w:hAnsi="Times New Roman" w:cs="Times New Roman"/>
                <w:szCs w:val="24"/>
              </w:rPr>
              <w:t>8.3</w:t>
            </w:r>
            <w:r w:rsidRPr="00C77E77">
              <w:rPr>
                <w:rFonts w:ascii="Times New Roman" w:eastAsia="標楷體" w:hAnsi="Times New Roman" w:cs="Times New Roman"/>
                <w:szCs w:val="24"/>
              </w:rPr>
              <w:t>％</w:t>
            </w:r>
          </w:p>
        </w:tc>
      </w:tr>
      <w:tr w:rsidR="00CB1B6D" w:rsidRPr="00C77E77" w:rsidTr="00F9218F">
        <w:trPr>
          <w:jc w:val="center"/>
        </w:trPr>
        <w:tc>
          <w:tcPr>
            <w:tcW w:w="802" w:type="dxa"/>
            <w:vMerge/>
          </w:tcPr>
          <w:p w:rsidR="00CB1B6D" w:rsidRPr="00C77E77" w:rsidRDefault="00CB1B6D" w:rsidP="00CB1B6D">
            <w:pPr>
              <w:rPr>
                <w:rFonts w:ascii="Times New Roman" w:eastAsia="標楷體" w:hAnsi="Times New Roman" w:cs="Times New Roman"/>
                <w:szCs w:val="24"/>
              </w:rPr>
            </w:pPr>
          </w:p>
        </w:tc>
        <w:tc>
          <w:tcPr>
            <w:tcW w:w="1325" w:type="dxa"/>
          </w:tcPr>
          <w:p w:rsidR="00CB1B6D" w:rsidRPr="00C77E77" w:rsidRDefault="00CB1B6D" w:rsidP="00CB1B6D">
            <w:pPr>
              <w:rPr>
                <w:rFonts w:ascii="Times New Roman" w:eastAsia="標楷體" w:hAnsi="Times New Roman" w:cs="Times New Roman"/>
                <w:szCs w:val="24"/>
              </w:rPr>
            </w:pPr>
            <w:r w:rsidRPr="00C77E77">
              <w:rPr>
                <w:rFonts w:ascii="Times New Roman" w:eastAsia="標楷體" w:hAnsi="Times New Roman" w:cs="Times New Roman"/>
                <w:szCs w:val="24"/>
              </w:rPr>
              <w:t>雙邊協定</w:t>
            </w:r>
          </w:p>
        </w:tc>
        <w:tc>
          <w:tcPr>
            <w:tcW w:w="6378" w:type="dxa"/>
          </w:tcPr>
          <w:p w:rsidR="00CB1B6D" w:rsidRPr="00C77E77" w:rsidRDefault="00CB1B6D"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已生效</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日本、澳洲、紐西蘭、智利、秘魯</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早期收獲</w:t>
            </w:r>
            <w:r w:rsidR="00F9218F" w:rsidRPr="00C77E77">
              <w:rPr>
                <w:rFonts w:ascii="Times New Roman" w:eastAsia="標楷體" w:hAnsi="Times New Roman" w:cs="Times New Roman"/>
                <w:szCs w:val="24"/>
              </w:rPr>
              <w:t>）</w:t>
            </w:r>
          </w:p>
          <w:p w:rsidR="00CB1B6D" w:rsidRPr="00C77E77" w:rsidRDefault="00CB1B6D"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已簽署</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巴林、印度</w:t>
            </w:r>
          </w:p>
          <w:p w:rsidR="00CB1B6D" w:rsidRPr="00C77E77" w:rsidRDefault="00CB1B6D"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談判中</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歐盟、歐洲自由貿易聯盟</w:t>
            </w:r>
            <w:r w:rsidR="00F9218F" w:rsidRPr="00C77E77">
              <w:rPr>
                <w:rFonts w:ascii="Times New Roman" w:eastAsia="標楷體" w:hAnsi="Times New Roman" w:cs="Times New Roman"/>
                <w:szCs w:val="24"/>
              </w:rPr>
              <w:t>（</w:t>
            </w:r>
            <w:r w:rsidR="00F9218F" w:rsidRPr="00C77E77">
              <w:rPr>
                <w:rFonts w:ascii="Times New Roman" w:eastAsia="標楷體" w:hAnsi="Times New Roman" w:cs="Times New Roman"/>
                <w:szCs w:val="24"/>
              </w:rPr>
              <w:t>EFTA</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、瑞士、土耳其、巴基斯坦</w:t>
            </w:r>
          </w:p>
        </w:tc>
      </w:tr>
      <w:tr w:rsidR="00CB1B6D" w:rsidRPr="00C77E77" w:rsidTr="00F9218F">
        <w:trPr>
          <w:jc w:val="center"/>
        </w:trPr>
        <w:tc>
          <w:tcPr>
            <w:tcW w:w="802" w:type="dxa"/>
            <w:vMerge/>
            <w:tcBorders>
              <w:bottom w:val="single" w:sz="4" w:space="0" w:color="auto"/>
            </w:tcBorders>
          </w:tcPr>
          <w:p w:rsidR="00CB1B6D" w:rsidRPr="00C77E77" w:rsidRDefault="00CB1B6D" w:rsidP="00CB1B6D">
            <w:pPr>
              <w:rPr>
                <w:rFonts w:ascii="Times New Roman" w:eastAsia="標楷體" w:hAnsi="Times New Roman" w:cs="Times New Roman"/>
                <w:szCs w:val="24"/>
              </w:rPr>
            </w:pPr>
          </w:p>
        </w:tc>
        <w:tc>
          <w:tcPr>
            <w:tcW w:w="1325" w:type="dxa"/>
            <w:tcBorders>
              <w:bottom w:val="single" w:sz="4" w:space="0" w:color="auto"/>
            </w:tcBorders>
          </w:tcPr>
          <w:p w:rsidR="00CB1B6D" w:rsidRPr="00C77E77" w:rsidRDefault="00CB1B6D" w:rsidP="00CB1B6D">
            <w:pPr>
              <w:rPr>
                <w:rFonts w:ascii="Times New Roman" w:eastAsia="標楷體" w:hAnsi="Times New Roman" w:cs="Times New Roman"/>
                <w:szCs w:val="24"/>
              </w:rPr>
            </w:pPr>
            <w:r w:rsidRPr="00C77E77">
              <w:rPr>
                <w:rFonts w:ascii="Times New Roman" w:eastAsia="標楷體" w:hAnsi="Times New Roman" w:cs="Times New Roman"/>
                <w:szCs w:val="24"/>
              </w:rPr>
              <w:t>多邊協定</w:t>
            </w:r>
          </w:p>
        </w:tc>
        <w:tc>
          <w:tcPr>
            <w:tcW w:w="6378" w:type="dxa"/>
            <w:tcBorders>
              <w:bottom w:val="single" w:sz="4" w:space="0" w:color="auto"/>
            </w:tcBorders>
          </w:tcPr>
          <w:p w:rsidR="00CB1B6D" w:rsidRPr="00C77E77" w:rsidRDefault="00CB1B6D"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已生效</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東協自由貿易協定</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AFTA</w:t>
            </w:r>
            <w:r w:rsidR="00F9218F" w:rsidRPr="00C77E77">
              <w:rPr>
                <w:rFonts w:ascii="Times New Roman" w:eastAsia="標楷體" w:hAnsi="Times New Roman" w:cs="Times New Roman"/>
                <w:szCs w:val="24"/>
              </w:rPr>
              <w:t>）</w:t>
            </w:r>
            <w:r w:rsidR="0050511B" w:rsidRPr="00C77E77">
              <w:rPr>
                <w:rFonts w:ascii="Times New Roman" w:eastAsia="標楷體" w:hAnsi="Times New Roman" w:cs="Times New Roman"/>
                <w:szCs w:val="28"/>
              </w:rPr>
              <w:t>，東協成員與區域外國家</w:t>
            </w:r>
            <w:r w:rsidRPr="00C77E77">
              <w:rPr>
                <w:rFonts w:ascii="Times New Roman" w:eastAsia="標楷體" w:hAnsi="Times New Roman" w:cs="Times New Roman"/>
                <w:szCs w:val="28"/>
              </w:rPr>
              <w:t>多邊協定，包含日本</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韓國</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中國大陸</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紐西蘭</w:t>
            </w:r>
            <w:r w:rsidRPr="00C77E77">
              <w:rPr>
                <w:rFonts w:ascii="Times New Roman" w:eastAsia="標楷體" w:hAnsi="Times New Roman" w:cs="Times New Roman"/>
                <w:szCs w:val="24"/>
              </w:rPr>
              <w:t>、</w:t>
            </w:r>
            <w:r w:rsidRPr="00C77E77">
              <w:rPr>
                <w:rFonts w:ascii="Times New Roman" w:eastAsia="標楷體" w:hAnsi="Times New Roman" w:cs="Times New Roman"/>
                <w:szCs w:val="28"/>
              </w:rPr>
              <w:t>澳洲</w:t>
            </w:r>
          </w:p>
          <w:p w:rsidR="00CB1B6D" w:rsidRPr="00C77E77" w:rsidRDefault="00CB1B6D" w:rsidP="00CB1B6D">
            <w:pPr>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進行中</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區域全面經濟夥伴協定、孟印緬斯泰經濟合作組織</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BIMSTEC</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CECA</w:t>
            </w:r>
            <w:r w:rsidRPr="00C77E77">
              <w:rPr>
                <w:rFonts w:ascii="Times New Roman" w:eastAsia="標楷體" w:hAnsi="Times New Roman" w:cs="Times New Roman"/>
                <w:szCs w:val="24"/>
              </w:rPr>
              <w:t>全面協定</w:t>
            </w:r>
          </w:p>
        </w:tc>
      </w:tr>
      <w:tr w:rsidR="006D2155" w:rsidRPr="00C77E77" w:rsidTr="00BC7949">
        <w:trPr>
          <w:jc w:val="center"/>
        </w:trPr>
        <w:tc>
          <w:tcPr>
            <w:tcW w:w="8505" w:type="dxa"/>
            <w:gridSpan w:val="3"/>
            <w:tcBorders>
              <w:top w:val="single" w:sz="4" w:space="0" w:color="auto"/>
              <w:left w:val="nil"/>
              <w:bottom w:val="nil"/>
              <w:right w:val="nil"/>
            </w:tcBorders>
          </w:tcPr>
          <w:p w:rsidR="006D2155" w:rsidRPr="00C77E77" w:rsidRDefault="006D2155" w:rsidP="00CB1B6D">
            <w:pPr>
              <w:ind w:left="1166" w:hangingChars="507" w:hanging="1166"/>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CB1B6D" w:rsidRPr="00C77E77">
              <w:rPr>
                <w:rFonts w:ascii="Times New Roman" w:eastAsia="標楷體" w:hAnsi="Times New Roman" w:cs="Times New Roman"/>
                <w:sz w:val="23"/>
                <w:szCs w:val="23"/>
              </w:rPr>
              <w:t>經濟部國貿局，</w:t>
            </w:r>
            <w:r w:rsidR="00CB1B6D" w:rsidRPr="00C77E77">
              <w:rPr>
                <w:rFonts w:ascii="Times New Roman" w:eastAsia="標楷體" w:hAnsi="Times New Roman" w:cs="Times New Roman"/>
                <w:sz w:val="23"/>
                <w:szCs w:val="23"/>
              </w:rPr>
              <w:t>2016</w:t>
            </w:r>
            <w:r w:rsidR="00CB1B6D"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，泰國投資環境簡介；香港貿易發展局，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，泰國市場概況。</w:t>
            </w:r>
          </w:p>
        </w:tc>
      </w:tr>
    </w:tbl>
    <w:p w:rsidR="00CB1B6D" w:rsidRPr="00C77E77" w:rsidRDefault="00CB1B6D" w:rsidP="006D2155">
      <w:pPr>
        <w:pStyle w:val="ab"/>
        <w:spacing w:beforeLines="50" w:before="180" w:afterLines="50" w:after="180" w:line="500" w:lineRule="exact"/>
        <w:ind w:leftChars="0" w:left="839"/>
        <w:rPr>
          <w:rFonts w:ascii="Times New Roman" w:eastAsia="標楷體" w:hAnsi="Times New Roman" w:cs="Times New Roman"/>
          <w:sz w:val="28"/>
          <w:szCs w:val="28"/>
        </w:rPr>
      </w:pPr>
    </w:p>
    <w:tbl>
      <w:tblPr>
        <w:tblStyle w:val="af4"/>
        <w:tblW w:w="0" w:type="auto"/>
        <w:jc w:val="center"/>
        <w:tblLook w:val="04A0" w:firstRow="1" w:lastRow="0" w:firstColumn="1" w:lastColumn="0" w:noHBand="0" w:noVBand="1"/>
      </w:tblPr>
      <w:tblGrid>
        <w:gridCol w:w="813"/>
        <w:gridCol w:w="1450"/>
        <w:gridCol w:w="6033"/>
      </w:tblGrid>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6D2155">
            <w:pPr>
              <w:pStyle w:val="af9"/>
            </w:pPr>
            <w:bookmarkStart w:id="59" w:name="_Toc458184936"/>
            <w:bookmarkStart w:id="60" w:name="_Toc470676581"/>
            <w:r w:rsidRPr="00C77E77">
              <w:t>表</w:t>
            </w:r>
            <w:r w:rsidRPr="00C77E77">
              <w:t xml:space="preserve">2-3-4 </w:t>
            </w:r>
            <w:r w:rsidRPr="00C77E77">
              <w:t>馬來西亞產業發展、外人投資與貿易政策</w:t>
            </w:r>
            <w:bookmarkEnd w:id="59"/>
            <w:bookmarkEnd w:id="60"/>
          </w:p>
        </w:tc>
      </w:tr>
      <w:tr w:rsidR="006D2155" w:rsidRPr="00C77E77" w:rsidTr="006D2155">
        <w:trPr>
          <w:jc w:val="center"/>
        </w:trPr>
        <w:tc>
          <w:tcPr>
            <w:tcW w:w="813"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450"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6033"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服務業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55</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、工業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36</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、農業</w:t>
            </w:r>
            <w:r w:rsidR="00F9218F" w:rsidRPr="00C77E77">
              <w:rPr>
                <w:rFonts w:ascii="Times New Roman" w:eastAsia="標楷體" w:hAnsi="Times New Roman" w:cs="Times New Roman"/>
                <w:szCs w:val="28"/>
              </w:rPr>
              <w:t>（</w:t>
            </w:r>
            <w:r w:rsidRPr="00C77E77">
              <w:rPr>
                <w:rFonts w:ascii="Times New Roman" w:eastAsia="標楷體" w:hAnsi="Times New Roman" w:cs="Times New Roman"/>
                <w:szCs w:val="28"/>
              </w:rPr>
              <w:t>9</w:t>
            </w:r>
            <w:r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旅遊業增長強勁占</w:t>
            </w:r>
            <w:r w:rsidRPr="00C77E77">
              <w:rPr>
                <w:rFonts w:ascii="Times New Roman" w:eastAsia="標楷體" w:hAnsi="Times New Roman" w:cs="Times New Roman"/>
                <w:szCs w:val="28"/>
              </w:rPr>
              <w:t>GDP</w:t>
            </w:r>
            <w:r w:rsidRPr="00C77E77">
              <w:rPr>
                <w:rFonts w:ascii="Times New Roman" w:eastAsia="標楷體" w:hAnsi="Times New Roman" w:cs="Times New Roman"/>
                <w:szCs w:val="28"/>
              </w:rPr>
              <w:t>約</w:t>
            </w:r>
            <w:r w:rsidRPr="00C77E77">
              <w:rPr>
                <w:rFonts w:ascii="Times New Roman" w:eastAsia="標楷體" w:hAnsi="Times New Roman" w:cs="Times New Roman"/>
                <w:szCs w:val="28"/>
              </w:rPr>
              <w:t>15</w:t>
            </w:r>
            <w:r w:rsidRPr="00C77E77">
              <w:rPr>
                <w:rFonts w:ascii="Times New Roman" w:eastAsia="標楷體" w:hAnsi="Times New Roman" w:cs="Times New Roman"/>
                <w:szCs w:val="28"/>
              </w:rPr>
              <w:t>％</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電子、汽車、棕櫚油加工、建築、金融、保險、房地產、批發零售業</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•2010</w:t>
            </w:r>
            <w:r w:rsidRPr="00C77E77">
              <w:rPr>
                <w:rFonts w:ascii="Times New Roman" w:eastAsia="標楷體" w:hAnsi="Times New Roman" w:cs="Times New Roman"/>
                <w:szCs w:val="28"/>
              </w:rPr>
              <w:t>年經濟轉型計畫，推動</w:t>
            </w:r>
            <w:r w:rsidRPr="00C77E77">
              <w:rPr>
                <w:rFonts w:ascii="Times New Roman" w:eastAsia="標楷體" w:hAnsi="Times New Roman" w:cs="Times New Roman"/>
                <w:szCs w:val="28"/>
              </w:rPr>
              <w:t>12</w:t>
            </w:r>
            <w:r w:rsidRPr="00C77E77">
              <w:rPr>
                <w:rFonts w:ascii="Times New Roman" w:eastAsia="標楷體" w:hAnsi="Times New Roman" w:cs="Times New Roman"/>
                <w:szCs w:val="28"/>
              </w:rPr>
              <w:t>個全國重點經濟領域，包含棕櫚油種植、旅遊業、金融服務及電子產品業</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開放範圍</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及優惠</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積極吸引外商直接投資，促進高附加價值之製造業發展</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投資於先進電子、醫療機械、生物技術和綠色技術者，免徵企業所得稅及稅收抵減</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馬來西亞投資發展局網站</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關稅貿易</w:t>
            </w: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開放項目</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履行加入世界貿易組織之承諾，企業可自由經營貿易</w:t>
            </w:r>
          </w:p>
        </w:tc>
      </w:tr>
      <w:tr w:rsidR="006D2155" w:rsidRPr="00C77E77" w:rsidTr="006D2155">
        <w:trPr>
          <w:jc w:val="center"/>
        </w:trPr>
        <w:tc>
          <w:tcPr>
            <w:tcW w:w="813" w:type="dxa"/>
            <w:vMerge/>
          </w:tcPr>
          <w:p w:rsidR="006D2155" w:rsidRPr="00C77E77" w:rsidRDefault="006D2155" w:rsidP="006D2155">
            <w:pPr>
              <w:spacing w:line="500" w:lineRule="exact"/>
              <w:rPr>
                <w:rFonts w:ascii="Times New Roman" w:eastAsia="標楷體" w:hAnsi="Times New Roman" w:cs="Times New Roman"/>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關稅</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平均適用關稅稅率</w:t>
            </w:r>
            <w:r w:rsidRPr="00C77E77">
              <w:rPr>
                <w:rFonts w:ascii="Times New Roman" w:eastAsia="標楷體" w:hAnsi="Times New Roman" w:cs="Times New Roman"/>
                <w:szCs w:val="28"/>
              </w:rPr>
              <w:t>6</w:t>
            </w:r>
            <w:r w:rsidRPr="00C77E77">
              <w:rPr>
                <w:rFonts w:ascii="Times New Roman" w:eastAsia="標楷體" w:hAnsi="Times New Roman" w:cs="Times New Roman"/>
                <w:szCs w:val="28"/>
              </w:rPr>
              <w:t>％、非農產品關稅</w:t>
            </w:r>
            <w:r w:rsidRPr="00C77E77">
              <w:rPr>
                <w:rFonts w:ascii="Times New Roman" w:eastAsia="標楷體" w:hAnsi="Times New Roman" w:cs="Times New Roman"/>
                <w:szCs w:val="28"/>
              </w:rPr>
              <w:t>0</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-50</w:t>
            </w:r>
            <w:r w:rsidRPr="00C77E77">
              <w:rPr>
                <w:rFonts w:ascii="Times New Roman" w:eastAsia="標楷體" w:hAnsi="Times New Roman" w:cs="Times New Roman"/>
                <w:szCs w:val="28"/>
              </w:rPr>
              <w:t>％</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約</w:t>
            </w:r>
            <w:r w:rsidRPr="00C77E77">
              <w:rPr>
                <w:rFonts w:ascii="Times New Roman" w:eastAsia="標楷體" w:hAnsi="Times New Roman" w:cs="Times New Roman"/>
                <w:szCs w:val="28"/>
              </w:rPr>
              <w:t>55</w:t>
            </w:r>
            <w:r w:rsidRPr="00C77E77">
              <w:rPr>
                <w:rFonts w:ascii="Times New Roman" w:eastAsia="標楷體" w:hAnsi="Times New Roman" w:cs="Times New Roman"/>
                <w:szCs w:val="28"/>
              </w:rPr>
              <w:t>％進口非農產品享有免關稅待遇</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免關稅</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原物料、零組件、直接在生產過程中使用的設備及機械等</w:t>
            </w:r>
          </w:p>
        </w:tc>
      </w:tr>
      <w:tr w:rsidR="009D08BD" w:rsidRPr="00C77E77" w:rsidTr="006D2155">
        <w:trPr>
          <w:jc w:val="center"/>
        </w:trPr>
        <w:tc>
          <w:tcPr>
            <w:tcW w:w="813" w:type="dxa"/>
            <w:vMerge/>
          </w:tcPr>
          <w:p w:rsidR="009D08BD" w:rsidRPr="00C77E77" w:rsidRDefault="009D08BD" w:rsidP="009D08BD">
            <w:pPr>
              <w:spacing w:line="500" w:lineRule="exact"/>
              <w:rPr>
                <w:rFonts w:ascii="Times New Roman" w:eastAsia="標楷體" w:hAnsi="Times New Roman" w:cs="Times New Roman"/>
                <w:szCs w:val="28"/>
              </w:rPr>
            </w:pPr>
          </w:p>
        </w:tc>
        <w:tc>
          <w:tcPr>
            <w:tcW w:w="1450" w:type="dxa"/>
          </w:tcPr>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033" w:type="dxa"/>
          </w:tcPr>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已簽署</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日本、巴基斯坦、紐西蘭、印度、智利、澳洲與土耳其</w:t>
            </w:r>
          </w:p>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4"/>
              </w:rPr>
              <w:t>進行中</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歐盟</w:t>
            </w:r>
          </w:p>
        </w:tc>
      </w:tr>
      <w:tr w:rsidR="009D08BD" w:rsidRPr="00C77E77" w:rsidTr="006D2155">
        <w:trPr>
          <w:jc w:val="center"/>
        </w:trPr>
        <w:tc>
          <w:tcPr>
            <w:tcW w:w="813" w:type="dxa"/>
            <w:vMerge/>
            <w:tcBorders>
              <w:bottom w:val="single" w:sz="4" w:space="0" w:color="auto"/>
            </w:tcBorders>
          </w:tcPr>
          <w:p w:rsidR="009D08BD" w:rsidRPr="00C77E77" w:rsidRDefault="009D08BD" w:rsidP="009D08BD">
            <w:pPr>
              <w:spacing w:line="500" w:lineRule="exact"/>
              <w:rPr>
                <w:rFonts w:ascii="Times New Roman" w:eastAsia="標楷體" w:hAnsi="Times New Roman" w:cs="Times New Roman"/>
                <w:szCs w:val="28"/>
              </w:rPr>
            </w:pPr>
          </w:p>
        </w:tc>
        <w:tc>
          <w:tcPr>
            <w:tcW w:w="1450" w:type="dxa"/>
            <w:tcBorders>
              <w:bottom w:val="single" w:sz="4" w:space="0" w:color="auto"/>
            </w:tcBorders>
          </w:tcPr>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033" w:type="dxa"/>
            <w:tcBorders>
              <w:bottom w:val="single" w:sz="4" w:space="0" w:color="auto"/>
            </w:tcBorders>
          </w:tcPr>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東協自由貿易協定</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AFTA</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8"/>
              </w:rPr>
              <w:t xml:space="preserve"> </w:t>
            </w:r>
          </w:p>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已簽署</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跨太平洋夥伴關係協定</w:t>
            </w:r>
            <w:r w:rsidR="00F9218F" w:rsidRPr="00C77E77">
              <w:rPr>
                <w:rFonts w:ascii="Times New Roman" w:eastAsia="標楷體" w:hAnsi="Times New Roman" w:cs="Times New Roman"/>
                <w:szCs w:val="28"/>
              </w:rPr>
              <w:t>（</w:t>
            </w:r>
            <w:r w:rsidR="00F9218F" w:rsidRPr="00C77E77">
              <w:rPr>
                <w:rFonts w:ascii="Times New Roman" w:eastAsia="標楷體" w:hAnsi="Times New Roman" w:cs="Times New Roman"/>
                <w:szCs w:val="28"/>
              </w:rPr>
              <w:t>TPP</w:t>
            </w:r>
            <w:r w:rsidR="00F9218F" w:rsidRPr="00C77E77">
              <w:rPr>
                <w:rFonts w:ascii="Times New Roman" w:eastAsia="標楷體" w:hAnsi="Times New Roman" w:cs="Times New Roman"/>
                <w:szCs w:val="28"/>
              </w:rPr>
              <w:t>）</w:t>
            </w:r>
          </w:p>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進行中</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區域全面經濟夥伴協定</w:t>
            </w:r>
          </w:p>
        </w:tc>
      </w:tr>
      <w:tr w:rsidR="006D2155" w:rsidRPr="00C77E77" w:rsidTr="006D2155">
        <w:trPr>
          <w:jc w:val="center"/>
        </w:trPr>
        <w:tc>
          <w:tcPr>
            <w:tcW w:w="8296" w:type="dxa"/>
            <w:gridSpan w:val="3"/>
            <w:tcBorders>
              <w:top w:val="single" w:sz="4" w:space="0" w:color="auto"/>
              <w:left w:val="nil"/>
              <w:bottom w:val="nil"/>
              <w:right w:val="nil"/>
            </w:tcBorders>
          </w:tcPr>
          <w:p w:rsidR="006D2155" w:rsidRPr="00C77E77" w:rsidRDefault="006D2155" w:rsidP="00CF6371">
            <w:pPr>
              <w:spacing w:line="500" w:lineRule="exact"/>
              <w:ind w:left="1166" w:hangingChars="507" w:hanging="1166"/>
              <w:jc w:val="both"/>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9D08BD" w:rsidRPr="00C77E77">
              <w:rPr>
                <w:rFonts w:ascii="Times New Roman" w:eastAsia="標楷體" w:hAnsi="Times New Roman" w:cs="Times New Roman"/>
                <w:sz w:val="23"/>
                <w:szCs w:val="23"/>
              </w:rPr>
              <w:t>經濟部國貿局，</w:t>
            </w:r>
            <w:r w:rsidR="009D08BD" w:rsidRPr="00C77E77">
              <w:rPr>
                <w:rFonts w:ascii="Times New Roman" w:eastAsia="標楷體" w:hAnsi="Times New Roman" w:cs="Times New Roman"/>
                <w:sz w:val="23"/>
                <w:szCs w:val="23"/>
              </w:rPr>
              <w:t>2016</w:t>
            </w:r>
            <w:r w:rsidR="009D08BD"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，馬來西亞投資環境簡介；香港貿易發展局，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，馬來西亞市場概況。</w:t>
            </w:r>
          </w:p>
        </w:tc>
      </w:tr>
    </w:tbl>
    <w:p w:rsidR="006D2155" w:rsidRPr="00C77E77" w:rsidRDefault="006D2155" w:rsidP="006D2155">
      <w:pPr>
        <w:pStyle w:val="ab"/>
        <w:spacing w:beforeLines="50" w:before="180" w:afterLines="50" w:after="180" w:line="500" w:lineRule="exact"/>
        <w:ind w:leftChars="0" w:left="839"/>
        <w:jc w:val="both"/>
        <w:rPr>
          <w:rFonts w:ascii="Times New Roman" w:eastAsia="標楷體" w:hAnsi="Times New Roman" w:cs="Times New Roman"/>
          <w:sz w:val="28"/>
          <w:szCs w:val="28"/>
        </w:rPr>
      </w:pPr>
    </w:p>
    <w:p w:rsidR="009D1B96" w:rsidRPr="00C77E77" w:rsidRDefault="009D1B96" w:rsidP="006D2155">
      <w:pPr>
        <w:pStyle w:val="ab"/>
        <w:spacing w:beforeLines="50" w:before="180" w:afterLines="50" w:after="180" w:line="500" w:lineRule="exact"/>
        <w:ind w:leftChars="0" w:left="839"/>
        <w:jc w:val="both"/>
        <w:rPr>
          <w:rFonts w:ascii="Times New Roman" w:eastAsia="標楷體" w:hAnsi="Times New Roman" w:cs="Times New Roman"/>
          <w:sz w:val="28"/>
          <w:szCs w:val="28"/>
        </w:rPr>
      </w:pPr>
    </w:p>
    <w:tbl>
      <w:tblPr>
        <w:tblStyle w:val="af4"/>
        <w:tblW w:w="0" w:type="auto"/>
        <w:jc w:val="center"/>
        <w:tblLook w:val="04A0" w:firstRow="1" w:lastRow="0" w:firstColumn="1" w:lastColumn="0" w:noHBand="0" w:noVBand="1"/>
      </w:tblPr>
      <w:tblGrid>
        <w:gridCol w:w="813"/>
        <w:gridCol w:w="1450"/>
        <w:gridCol w:w="6033"/>
      </w:tblGrid>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6D2155">
            <w:pPr>
              <w:pStyle w:val="af9"/>
            </w:pPr>
            <w:bookmarkStart w:id="61" w:name="_Toc458184937"/>
            <w:bookmarkStart w:id="62" w:name="_Toc470676582"/>
            <w:r w:rsidRPr="00C77E77">
              <w:t>表</w:t>
            </w:r>
            <w:r w:rsidRPr="00C77E77">
              <w:t xml:space="preserve">2-3-5 </w:t>
            </w:r>
            <w:r w:rsidRPr="00C77E77">
              <w:t>菲律賓產業發展、外人投資與貿易政策</w:t>
            </w:r>
            <w:bookmarkEnd w:id="61"/>
            <w:bookmarkEnd w:id="62"/>
          </w:p>
        </w:tc>
      </w:tr>
      <w:tr w:rsidR="006D2155" w:rsidRPr="00C77E77" w:rsidTr="006D2155">
        <w:trPr>
          <w:jc w:val="center"/>
        </w:trPr>
        <w:tc>
          <w:tcPr>
            <w:tcW w:w="813"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450"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6033"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年菲律賓服務業及工業實質增長為</w:t>
            </w:r>
            <w:r w:rsidRPr="00C77E77">
              <w:rPr>
                <w:rFonts w:ascii="Times New Roman" w:eastAsia="標楷體" w:hAnsi="Times New Roman" w:cs="Times New Roman"/>
                <w:szCs w:val="28"/>
              </w:rPr>
              <w:t>6.7%</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6%</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在服務業帶動下，</w:t>
            </w: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年菲律賓經濟年增長</w:t>
            </w:r>
            <w:r w:rsidRPr="00C77E77">
              <w:rPr>
                <w:rFonts w:ascii="Times New Roman" w:eastAsia="標楷體" w:hAnsi="Times New Roman" w:cs="Times New Roman"/>
                <w:szCs w:val="28"/>
              </w:rPr>
              <w:t>5.8%</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服務業占菲</w:t>
            </w:r>
            <w:r w:rsidRPr="00C77E77">
              <w:rPr>
                <w:rFonts w:ascii="Times New Roman" w:eastAsia="標楷體" w:hAnsi="Times New Roman" w:cs="Times New Roman"/>
                <w:szCs w:val="28"/>
              </w:rPr>
              <w:t>GDP</w:t>
            </w:r>
            <w:r w:rsidRPr="00C77E77">
              <w:rPr>
                <w:rFonts w:ascii="Times New Roman" w:eastAsia="標楷體" w:hAnsi="Times New Roman" w:cs="Times New Roman"/>
                <w:szCs w:val="28"/>
              </w:rPr>
              <w:t>產出一半以上，包括：貿易、汽機車維修、個人及家庭用品、租賃、交通運輸、倉儲及通訊，金融中介等。工業亦為推動經濟成長之引擎，其中製造業及建築業表現佳</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•2016</w:t>
            </w:r>
            <w:r w:rsidRPr="00C77E77">
              <w:rPr>
                <w:rFonts w:ascii="Times New Roman" w:eastAsia="標楷體" w:hAnsi="Times New Roman" w:cs="Times New Roman"/>
                <w:szCs w:val="28"/>
              </w:rPr>
              <w:t>年杜特地（</w:t>
            </w:r>
            <w:r w:rsidRPr="00C77E77">
              <w:rPr>
                <w:rFonts w:ascii="Times New Roman" w:eastAsia="標楷體" w:hAnsi="Times New Roman" w:cs="Times New Roman"/>
                <w:szCs w:val="28"/>
              </w:rPr>
              <w:t>Rodrigo Duterte</w:t>
            </w:r>
            <w:r w:rsidRPr="00C77E77">
              <w:rPr>
                <w:rFonts w:ascii="Times New Roman" w:eastAsia="標楷體" w:hAnsi="Times New Roman" w:cs="Times New Roman"/>
                <w:szCs w:val="28"/>
              </w:rPr>
              <w:t>）就任總統，嚴厲打擊犯罪，並在宏觀政策的基礎上調整法人稅，且考慮修憲以吸引外資和推進産業化，振興地方經濟。</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開放範圍</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及優惠</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杜特地提出改變菲律賓政經的十個方法，包括：聯邦制政府；解決不平等問題；廢除限制性的外國投資法；與中國大陸發展更密切的關係。</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菲律賓貿工部投資署</w:t>
            </w:r>
            <w:r w:rsidRPr="00C77E77">
              <w:rPr>
                <w:rFonts w:ascii="Times New Roman" w:eastAsia="標楷體" w:hAnsi="Times New Roman" w:cs="Times New Roman"/>
                <w:szCs w:val="28"/>
              </w:rPr>
              <w:t xml:space="preserve">Board of Investment </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BOI</w:t>
            </w:r>
            <w:r w:rsidRPr="00C77E77">
              <w:rPr>
                <w:rFonts w:ascii="Times New Roman" w:eastAsia="標楷體" w:hAnsi="Times New Roman" w:cs="Times New Roman"/>
                <w:szCs w:val="28"/>
              </w:rPr>
              <w:t>）</w:t>
            </w:r>
          </w:p>
        </w:tc>
      </w:tr>
      <w:tr w:rsidR="006D2155" w:rsidRPr="00C77E77" w:rsidTr="006D2155">
        <w:trPr>
          <w:jc w:val="center"/>
        </w:trPr>
        <w:tc>
          <w:tcPr>
            <w:tcW w:w="813"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關稅貿易</w:t>
            </w:r>
          </w:p>
        </w:tc>
        <w:tc>
          <w:tcPr>
            <w:tcW w:w="1450"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關稅</w:t>
            </w:r>
          </w:p>
        </w:tc>
        <w:tc>
          <w:tcPr>
            <w:tcW w:w="6033"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最惠國平均適用關稅為</w:t>
            </w:r>
            <w:r w:rsidRPr="00C77E77">
              <w:rPr>
                <w:rFonts w:ascii="Times New Roman" w:eastAsia="標楷體" w:hAnsi="Times New Roman" w:cs="Times New Roman"/>
                <w:szCs w:val="28"/>
              </w:rPr>
              <w:t>6.3</w:t>
            </w:r>
            <w:r w:rsidRPr="00C77E77">
              <w:rPr>
                <w:rFonts w:ascii="Times New Roman" w:eastAsia="標楷體" w:hAnsi="Times New Roman" w:cs="Times New Roman"/>
                <w:szCs w:val="28"/>
              </w:rPr>
              <w:t>％；農產品及非農產品之平均關稅為</w:t>
            </w:r>
            <w:r w:rsidRPr="00C77E77">
              <w:rPr>
                <w:rFonts w:ascii="Times New Roman" w:eastAsia="標楷體" w:hAnsi="Times New Roman" w:cs="Times New Roman"/>
                <w:szCs w:val="28"/>
              </w:rPr>
              <w:t>9.9</w:t>
            </w:r>
            <w:r w:rsidRPr="00C77E77">
              <w:rPr>
                <w:rFonts w:ascii="Times New Roman" w:eastAsia="標楷體" w:hAnsi="Times New Roman" w:cs="Times New Roman"/>
                <w:szCs w:val="28"/>
              </w:rPr>
              <w:t>％及</w:t>
            </w:r>
            <w:r w:rsidRPr="00C77E77">
              <w:rPr>
                <w:rFonts w:ascii="Times New Roman" w:eastAsia="標楷體" w:hAnsi="Times New Roman" w:cs="Times New Roman"/>
                <w:szCs w:val="28"/>
              </w:rPr>
              <w:t>5.7</w:t>
            </w:r>
            <w:r w:rsidRPr="00C77E77">
              <w:rPr>
                <w:rFonts w:ascii="Times New Roman" w:eastAsia="標楷體" w:hAnsi="Times New Roman" w:cs="Times New Roman"/>
                <w:szCs w:val="28"/>
              </w:rPr>
              <w:t>％</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依世界貿易組織之「資訊科技協定」，自</w:t>
            </w:r>
            <w:r w:rsidRPr="00C77E77">
              <w:rPr>
                <w:rFonts w:ascii="Times New Roman" w:eastAsia="標楷體" w:hAnsi="Times New Roman" w:cs="Times New Roman"/>
                <w:szCs w:val="28"/>
              </w:rPr>
              <w:t xml:space="preserve"> 2000</w:t>
            </w:r>
            <w:r w:rsidRPr="00C77E77">
              <w:rPr>
                <w:rFonts w:ascii="Times New Roman" w:eastAsia="標楷體" w:hAnsi="Times New Roman" w:cs="Times New Roman"/>
                <w:szCs w:val="28"/>
              </w:rPr>
              <w:t>年起，大部分資訊科技設備及投入貨品之進口享有零關稅</w:t>
            </w:r>
          </w:p>
        </w:tc>
      </w:tr>
      <w:tr w:rsidR="009D08BD" w:rsidRPr="00C77E77" w:rsidTr="006D2155">
        <w:trPr>
          <w:jc w:val="center"/>
        </w:trPr>
        <w:tc>
          <w:tcPr>
            <w:tcW w:w="813" w:type="dxa"/>
            <w:vMerge/>
          </w:tcPr>
          <w:p w:rsidR="009D08BD" w:rsidRPr="00C77E77" w:rsidRDefault="009D08BD" w:rsidP="009D08BD">
            <w:pPr>
              <w:spacing w:line="500" w:lineRule="exact"/>
              <w:rPr>
                <w:rFonts w:ascii="Times New Roman" w:eastAsia="標楷體" w:hAnsi="Times New Roman" w:cs="Times New Roman"/>
                <w:szCs w:val="28"/>
              </w:rPr>
            </w:pPr>
          </w:p>
        </w:tc>
        <w:tc>
          <w:tcPr>
            <w:tcW w:w="1450" w:type="dxa"/>
          </w:tcPr>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033" w:type="dxa"/>
          </w:tcPr>
          <w:p w:rsidR="009D08BD" w:rsidRPr="00C77E77" w:rsidRDefault="009D08BD" w:rsidP="009D08BD">
            <w:pPr>
              <w:spacing w:afterLines="50" w:after="180"/>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已生效</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日本</w:t>
            </w:r>
          </w:p>
          <w:p w:rsidR="009D08BD" w:rsidRPr="00C77E77" w:rsidRDefault="009D08BD" w:rsidP="009D08BD">
            <w:pPr>
              <w:spacing w:afterLines="50" w:after="180"/>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已簽署未生效</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歐洲自由貿易聯盟</w:t>
            </w:r>
            <w:r w:rsidR="00F9218F" w:rsidRPr="00C77E77">
              <w:rPr>
                <w:rFonts w:ascii="Times New Roman" w:eastAsia="標楷體" w:hAnsi="Times New Roman" w:cs="Times New Roman"/>
                <w:szCs w:val="24"/>
              </w:rPr>
              <w:t>（</w:t>
            </w:r>
            <w:r w:rsidR="00F9218F" w:rsidRPr="00C77E77">
              <w:rPr>
                <w:rFonts w:ascii="Times New Roman" w:eastAsia="標楷體" w:hAnsi="Times New Roman" w:cs="Times New Roman"/>
                <w:szCs w:val="24"/>
              </w:rPr>
              <w:t>EFTA</w:t>
            </w:r>
            <w:r w:rsidR="00F9218F" w:rsidRPr="00C77E77">
              <w:rPr>
                <w:rFonts w:ascii="Times New Roman" w:eastAsia="標楷體" w:hAnsi="Times New Roman" w:cs="Times New Roman"/>
                <w:szCs w:val="24"/>
              </w:rPr>
              <w:t>）</w:t>
            </w:r>
          </w:p>
          <w:p w:rsidR="009D08BD" w:rsidRPr="00C77E77" w:rsidRDefault="009D08BD" w:rsidP="009D08BD">
            <w:pPr>
              <w:spacing w:afterLines="50" w:after="180"/>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進行中</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美國、巴基斯坦、智利、歐盟</w:t>
            </w:r>
          </w:p>
        </w:tc>
      </w:tr>
      <w:tr w:rsidR="009D08BD" w:rsidRPr="00C77E77" w:rsidTr="006D2155">
        <w:trPr>
          <w:jc w:val="center"/>
        </w:trPr>
        <w:tc>
          <w:tcPr>
            <w:tcW w:w="813" w:type="dxa"/>
            <w:vMerge/>
            <w:tcBorders>
              <w:bottom w:val="single" w:sz="4" w:space="0" w:color="auto"/>
            </w:tcBorders>
          </w:tcPr>
          <w:p w:rsidR="009D08BD" w:rsidRPr="00C77E77" w:rsidRDefault="009D08BD" w:rsidP="009D08BD">
            <w:pPr>
              <w:spacing w:line="500" w:lineRule="exact"/>
              <w:rPr>
                <w:rFonts w:ascii="Times New Roman" w:eastAsia="標楷體" w:hAnsi="Times New Roman" w:cs="Times New Roman"/>
                <w:szCs w:val="28"/>
              </w:rPr>
            </w:pPr>
          </w:p>
        </w:tc>
        <w:tc>
          <w:tcPr>
            <w:tcW w:w="1450" w:type="dxa"/>
            <w:tcBorders>
              <w:bottom w:val="single" w:sz="4" w:space="0" w:color="auto"/>
            </w:tcBorders>
          </w:tcPr>
          <w:p w:rsidR="009D08BD" w:rsidRPr="00C77E77" w:rsidRDefault="009D08BD" w:rsidP="009D08B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033" w:type="dxa"/>
            <w:tcBorders>
              <w:bottom w:val="single" w:sz="4" w:space="0" w:color="auto"/>
            </w:tcBorders>
          </w:tcPr>
          <w:p w:rsidR="009D08BD" w:rsidRPr="00C77E77" w:rsidRDefault="009D08BD" w:rsidP="009D08BD">
            <w:pPr>
              <w:spacing w:afterLines="50" w:after="180"/>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已生效</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東協自由貿易協定</w:t>
            </w:r>
            <w:r w:rsidR="00F9218F" w:rsidRPr="00C77E77">
              <w:rPr>
                <w:rFonts w:ascii="Times New Roman" w:eastAsia="標楷體" w:hAnsi="Times New Roman" w:cs="Times New Roman"/>
                <w:szCs w:val="24"/>
              </w:rPr>
              <w:t>（</w:t>
            </w:r>
            <w:r w:rsidRPr="00C77E77">
              <w:rPr>
                <w:rFonts w:ascii="Times New Roman" w:eastAsia="標楷體" w:hAnsi="Times New Roman" w:cs="Times New Roman"/>
                <w:szCs w:val="24"/>
              </w:rPr>
              <w:t>AFTA</w:t>
            </w:r>
            <w:r w:rsidR="00F9218F" w:rsidRPr="00C77E77">
              <w:rPr>
                <w:rFonts w:ascii="Times New Roman" w:eastAsia="標楷體" w:hAnsi="Times New Roman" w:cs="Times New Roman"/>
                <w:szCs w:val="24"/>
              </w:rPr>
              <w:t>）</w:t>
            </w:r>
          </w:p>
          <w:p w:rsidR="009D08BD" w:rsidRPr="00C77E77" w:rsidRDefault="009D08BD" w:rsidP="009D08BD">
            <w:pPr>
              <w:rPr>
                <w:rFonts w:ascii="Times New Roman" w:eastAsia="標楷體" w:hAnsi="Times New Roman" w:cs="Times New Roman"/>
                <w:szCs w:val="28"/>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進行中</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區域全面經濟夥伴協定、</w:t>
            </w:r>
            <w:r w:rsidRPr="00C77E77">
              <w:rPr>
                <w:rFonts w:ascii="Times New Roman" w:eastAsia="標楷體" w:hAnsi="Times New Roman" w:cs="Times New Roman"/>
                <w:szCs w:val="28"/>
              </w:rPr>
              <w:t>跨太平洋夥伴關係協定</w:t>
            </w:r>
          </w:p>
        </w:tc>
      </w:tr>
      <w:tr w:rsidR="006D2155" w:rsidRPr="00C77E77" w:rsidTr="006D2155">
        <w:trPr>
          <w:jc w:val="center"/>
        </w:trPr>
        <w:tc>
          <w:tcPr>
            <w:tcW w:w="8296" w:type="dxa"/>
            <w:gridSpan w:val="3"/>
            <w:tcBorders>
              <w:top w:val="single" w:sz="4" w:space="0" w:color="auto"/>
              <w:left w:val="nil"/>
              <w:bottom w:val="nil"/>
              <w:right w:val="nil"/>
            </w:tcBorders>
          </w:tcPr>
          <w:p w:rsidR="006D2155" w:rsidRPr="00C77E77" w:rsidRDefault="006D2155" w:rsidP="009D1B96">
            <w:pPr>
              <w:spacing w:line="0" w:lineRule="atLeast"/>
              <w:ind w:left="1166" w:hangingChars="507" w:hanging="1166"/>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937E6E" w:rsidRPr="00C77E77">
              <w:rPr>
                <w:rFonts w:ascii="Times New Roman" w:eastAsia="標楷體" w:hAnsi="Times New Roman" w:cs="Times New Roman"/>
                <w:sz w:val="23"/>
                <w:szCs w:val="23"/>
              </w:rPr>
              <w:t>經濟部國貿局，</w:t>
            </w:r>
            <w:r w:rsidR="00937E6E" w:rsidRPr="00C77E77">
              <w:rPr>
                <w:rFonts w:ascii="Times New Roman" w:eastAsia="標楷體" w:hAnsi="Times New Roman" w:cs="Times New Roman"/>
                <w:sz w:val="23"/>
                <w:szCs w:val="23"/>
              </w:rPr>
              <w:t>2016</w:t>
            </w:r>
            <w:r w:rsidR="00937E6E"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，菲律賓投資環境簡介；香港貿易發展局，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，菲律賓市場概況；菲律賓大選相關新聞。</w:t>
            </w:r>
          </w:p>
        </w:tc>
      </w:tr>
    </w:tbl>
    <w:p w:rsidR="00BC7949" w:rsidRPr="00C77E77" w:rsidRDefault="00BC7949">
      <w:pPr>
        <w:widowControl/>
        <w:rPr>
          <w:rFonts w:ascii="Times New Roman" w:eastAsia="標楷體" w:hAnsi="Times New Roman" w:cs="Times New Roman"/>
          <w:sz w:val="28"/>
          <w:szCs w:val="28"/>
        </w:rPr>
      </w:pPr>
    </w:p>
    <w:tbl>
      <w:tblPr>
        <w:tblStyle w:val="af4"/>
        <w:tblW w:w="0" w:type="auto"/>
        <w:jc w:val="center"/>
        <w:tblLook w:val="04A0" w:firstRow="1" w:lastRow="0" w:firstColumn="1" w:lastColumn="0" w:noHBand="0" w:noVBand="1"/>
      </w:tblPr>
      <w:tblGrid>
        <w:gridCol w:w="813"/>
        <w:gridCol w:w="1450"/>
        <w:gridCol w:w="6033"/>
      </w:tblGrid>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937E6E">
            <w:pPr>
              <w:pStyle w:val="af9"/>
              <w:spacing w:line="240" w:lineRule="auto"/>
            </w:pPr>
            <w:bookmarkStart w:id="63" w:name="_Toc458184938"/>
            <w:bookmarkStart w:id="64" w:name="_Toc470676583"/>
            <w:r w:rsidRPr="00C77E77">
              <w:lastRenderedPageBreak/>
              <w:t>表</w:t>
            </w:r>
            <w:r w:rsidRPr="00C77E77">
              <w:t xml:space="preserve">2-3-6 </w:t>
            </w:r>
            <w:r w:rsidRPr="00C77E77">
              <w:t>越南產業發展、外人投資與貿易政策</w:t>
            </w:r>
            <w:bookmarkEnd w:id="63"/>
            <w:bookmarkEnd w:id="64"/>
          </w:p>
        </w:tc>
      </w:tr>
      <w:tr w:rsidR="006D2155" w:rsidRPr="00C77E77" w:rsidTr="006D2155">
        <w:trPr>
          <w:jc w:val="center"/>
        </w:trPr>
        <w:tc>
          <w:tcPr>
            <w:tcW w:w="813" w:type="dxa"/>
            <w:vMerge w:val="restart"/>
            <w:tcBorders>
              <w:top w:val="single" w:sz="4" w:space="0" w:color="auto"/>
            </w:tcBorders>
            <w:vAlign w:val="center"/>
          </w:tcPr>
          <w:p w:rsidR="006D2155" w:rsidRPr="00C77E77" w:rsidRDefault="006D2155" w:rsidP="00937E6E">
            <w:pPr>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450" w:type="dxa"/>
            <w:tcBorders>
              <w:top w:val="single" w:sz="4" w:space="0" w:color="auto"/>
            </w:tcBorders>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6033" w:type="dxa"/>
            <w:tcBorders>
              <w:top w:val="single" w:sz="4" w:space="0" w:color="auto"/>
            </w:tcBorders>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服務業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44</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、工業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39</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、農業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17</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p>
        </w:tc>
      </w:tr>
      <w:tr w:rsidR="006D2155" w:rsidRPr="00C77E77" w:rsidTr="006D2155">
        <w:trPr>
          <w:jc w:val="center"/>
        </w:trPr>
        <w:tc>
          <w:tcPr>
            <w:tcW w:w="813" w:type="dxa"/>
            <w:vMerge/>
            <w:vAlign w:val="center"/>
          </w:tcPr>
          <w:p w:rsidR="006D2155" w:rsidRPr="00C77E77" w:rsidRDefault="006D2155" w:rsidP="00937E6E">
            <w:pPr>
              <w:jc w:val="center"/>
              <w:rPr>
                <w:rFonts w:ascii="Times New Roman" w:eastAsia="標楷體" w:hAnsi="Times New Roman" w:cs="Times New Roman"/>
                <w:b/>
                <w:szCs w:val="28"/>
              </w:rPr>
            </w:pP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製造、採礦、建造、房地產和金融</w:t>
            </w:r>
          </w:p>
        </w:tc>
      </w:tr>
      <w:tr w:rsidR="006D2155" w:rsidRPr="00C77E77" w:rsidTr="006D2155">
        <w:trPr>
          <w:jc w:val="center"/>
        </w:trPr>
        <w:tc>
          <w:tcPr>
            <w:tcW w:w="813" w:type="dxa"/>
            <w:vMerge/>
            <w:vAlign w:val="center"/>
          </w:tcPr>
          <w:p w:rsidR="006D2155" w:rsidRPr="00C77E77" w:rsidRDefault="006D2155" w:rsidP="00937E6E">
            <w:pPr>
              <w:jc w:val="center"/>
              <w:rPr>
                <w:rFonts w:ascii="Times New Roman" w:eastAsia="標楷體" w:hAnsi="Times New Roman" w:cs="Times New Roman"/>
                <w:b/>
                <w:szCs w:val="28"/>
              </w:rPr>
            </w:pP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2013</w:t>
            </w:r>
            <w:r w:rsidRPr="00C77E77">
              <w:rPr>
                <w:rFonts w:ascii="Times New Roman" w:eastAsia="標楷體" w:hAnsi="Times New Roman" w:cs="Times New Roman"/>
                <w:szCs w:val="28"/>
              </w:rPr>
              <w:t>至</w:t>
            </w:r>
            <w:r w:rsidRPr="00C77E77">
              <w:rPr>
                <w:rFonts w:ascii="Times New Roman" w:eastAsia="標楷體" w:hAnsi="Times New Roman" w:cs="Times New Roman"/>
                <w:szCs w:val="28"/>
              </w:rPr>
              <w:t>2020</w:t>
            </w:r>
            <w:r w:rsidRPr="00C77E77">
              <w:rPr>
                <w:rFonts w:ascii="Times New Roman" w:eastAsia="標楷體" w:hAnsi="Times New Roman" w:cs="Times New Roman"/>
                <w:szCs w:val="28"/>
              </w:rPr>
              <w:t>年經濟結構調整總體規劃」以公共投資、銀行及國有企業私有化為重點</w:t>
            </w:r>
          </w:p>
        </w:tc>
      </w:tr>
      <w:tr w:rsidR="006D2155" w:rsidRPr="00C77E77" w:rsidTr="006D2155">
        <w:trPr>
          <w:trHeight w:val="760"/>
          <w:jc w:val="center"/>
        </w:trPr>
        <w:tc>
          <w:tcPr>
            <w:tcW w:w="813" w:type="dxa"/>
            <w:vMerge w:val="restart"/>
            <w:vAlign w:val="center"/>
          </w:tcPr>
          <w:p w:rsidR="006D2155" w:rsidRPr="00C77E77" w:rsidRDefault="006D2155" w:rsidP="00937E6E">
            <w:pPr>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開放範圍</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除了負面清單所列</w:t>
            </w:r>
            <w:r w:rsidRPr="00C77E77">
              <w:rPr>
                <w:rFonts w:ascii="Times New Roman" w:eastAsia="標楷體" w:hAnsi="Times New Roman" w:cs="Times New Roman"/>
                <w:szCs w:val="28"/>
              </w:rPr>
              <w:t>6</w:t>
            </w:r>
            <w:r w:rsidRPr="00C77E77">
              <w:rPr>
                <w:rFonts w:ascii="Times New Roman" w:eastAsia="標楷體" w:hAnsi="Times New Roman" w:cs="Times New Roman"/>
                <w:szCs w:val="28"/>
              </w:rPr>
              <w:t>項禁止範疇外</w:t>
            </w:r>
            <w:r w:rsidR="0050511B" w:rsidRPr="00C77E77">
              <w:rPr>
                <w:rFonts w:ascii="Times New Roman" w:eastAsia="標楷體" w:hAnsi="Times New Roman" w:cs="Times New Roman"/>
                <w:szCs w:val="28"/>
              </w:rPr>
              <w:t>（毒品、禁止使用之化學品、禁使用之礦物質、天然野生珍貴或瀕臨絕滅之動植物、色情事業、販賣人口、販賣人體器官組織以及從事人類無性繁殖）</w:t>
            </w:r>
            <w:r w:rsidRPr="00C77E77">
              <w:rPr>
                <w:rFonts w:ascii="Times New Roman" w:eastAsia="標楷體" w:hAnsi="Times New Roman" w:cs="Times New Roman"/>
                <w:szCs w:val="28"/>
              </w:rPr>
              <w:t>，外資企業可於越南各領域進行投資活動</w:t>
            </w:r>
          </w:p>
        </w:tc>
      </w:tr>
      <w:tr w:rsidR="006D2155" w:rsidRPr="00C77E77" w:rsidTr="006D2155">
        <w:trPr>
          <w:trHeight w:val="2494"/>
          <w:jc w:val="center"/>
        </w:trPr>
        <w:tc>
          <w:tcPr>
            <w:tcW w:w="813" w:type="dxa"/>
            <w:vMerge/>
            <w:vAlign w:val="center"/>
          </w:tcPr>
          <w:p w:rsidR="006D2155" w:rsidRPr="00C77E77" w:rsidRDefault="006D2155" w:rsidP="00937E6E">
            <w:pPr>
              <w:jc w:val="center"/>
              <w:rPr>
                <w:rFonts w:ascii="Times New Roman" w:eastAsia="標楷體" w:hAnsi="Times New Roman" w:cs="Times New Roman"/>
                <w:szCs w:val="28"/>
              </w:rPr>
            </w:pP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政策優惠</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對基礎建設、高科技產品製造、研發、教育及培訓等重點項目，提供企業所得稅減免、地租調降、進口關稅豁免等優惠</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•2014</w:t>
            </w:r>
            <w:r w:rsidRPr="00C77E77">
              <w:rPr>
                <w:rFonts w:ascii="Times New Roman" w:eastAsia="標楷體" w:hAnsi="Times New Roman" w:cs="Times New Roman"/>
                <w:szCs w:val="28"/>
              </w:rPr>
              <w:t>年起，外國策略性投資者對當地銀行支持股上限放寬至</w:t>
            </w:r>
            <w:r w:rsidRPr="00C77E77">
              <w:rPr>
                <w:rFonts w:ascii="Times New Roman" w:eastAsia="標楷體" w:hAnsi="Times New Roman" w:cs="Times New Roman"/>
                <w:szCs w:val="28"/>
              </w:rPr>
              <w:t>20</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9</w:t>
            </w:r>
            <w:r w:rsidRPr="00C77E77">
              <w:rPr>
                <w:rFonts w:ascii="Times New Roman" w:eastAsia="標楷體" w:hAnsi="Times New Roman" w:cs="Times New Roman"/>
                <w:szCs w:val="28"/>
              </w:rPr>
              <w:t>月起，提高外國投資者於大多數越南上市公司之持股比率至</w:t>
            </w:r>
            <w:r w:rsidRPr="00C77E77">
              <w:rPr>
                <w:rFonts w:ascii="Times New Roman" w:eastAsia="標楷體" w:hAnsi="Times New Roman" w:cs="Times New Roman"/>
                <w:szCs w:val="28"/>
              </w:rPr>
              <w:t>100</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少數敏感行業除外，如銀行和國防</w:t>
            </w:r>
            <w:r w:rsidR="00C02C48" w:rsidRPr="00C77E77">
              <w:rPr>
                <w:rFonts w:ascii="Times New Roman" w:eastAsia="標楷體" w:hAnsi="Times New Roman" w:cs="Times New Roman"/>
                <w:szCs w:val="28"/>
              </w:rPr>
              <w:t>）</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允許外國投資者經營外商獨資零售業務</w:t>
            </w:r>
          </w:p>
        </w:tc>
      </w:tr>
      <w:tr w:rsidR="006D2155" w:rsidRPr="00C77E77" w:rsidTr="006D2155">
        <w:trPr>
          <w:jc w:val="center"/>
        </w:trPr>
        <w:tc>
          <w:tcPr>
            <w:tcW w:w="813" w:type="dxa"/>
            <w:vMerge/>
            <w:vAlign w:val="center"/>
          </w:tcPr>
          <w:p w:rsidR="006D2155" w:rsidRPr="00C77E77" w:rsidRDefault="006D2155" w:rsidP="00937E6E">
            <w:pPr>
              <w:jc w:val="center"/>
              <w:rPr>
                <w:rFonts w:ascii="Times New Roman" w:eastAsia="標楷體" w:hAnsi="Times New Roman" w:cs="Times New Roman"/>
                <w:szCs w:val="28"/>
              </w:rPr>
            </w:pP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越南外國投資局網站</w:t>
            </w:r>
          </w:p>
        </w:tc>
      </w:tr>
      <w:tr w:rsidR="006D2155" w:rsidRPr="00C77E77" w:rsidTr="006D2155">
        <w:trPr>
          <w:jc w:val="center"/>
        </w:trPr>
        <w:tc>
          <w:tcPr>
            <w:tcW w:w="813" w:type="dxa"/>
            <w:vMerge w:val="restart"/>
            <w:vAlign w:val="center"/>
          </w:tcPr>
          <w:p w:rsidR="006D2155" w:rsidRPr="00C77E77" w:rsidRDefault="006D2155" w:rsidP="00937E6E">
            <w:pPr>
              <w:jc w:val="center"/>
              <w:rPr>
                <w:rFonts w:ascii="Times New Roman" w:eastAsia="標楷體" w:hAnsi="Times New Roman" w:cs="Times New Roman"/>
                <w:b/>
                <w:szCs w:val="28"/>
              </w:rPr>
            </w:pPr>
            <w:r w:rsidRPr="00C77E77">
              <w:rPr>
                <w:rFonts w:ascii="Times New Roman" w:eastAsia="標楷體" w:hAnsi="Times New Roman" w:cs="Times New Roman"/>
                <w:b/>
                <w:szCs w:val="28"/>
              </w:rPr>
              <w:t>關稅貿易</w:t>
            </w: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關稅</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履行加入世界貿易組織承諾，大多數產品關稅稅率為</w:t>
            </w:r>
            <w:r w:rsidRPr="00C77E77">
              <w:rPr>
                <w:rFonts w:ascii="Times New Roman" w:eastAsia="標楷體" w:hAnsi="Times New Roman" w:cs="Times New Roman"/>
                <w:szCs w:val="28"/>
              </w:rPr>
              <w:t xml:space="preserve"> 0</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-50</w:t>
            </w:r>
            <w:r w:rsidRPr="00C77E77">
              <w:rPr>
                <w:rFonts w:ascii="Times New Roman" w:eastAsia="標楷體" w:hAnsi="Times New Roman" w:cs="Times New Roman"/>
                <w:szCs w:val="28"/>
              </w:rPr>
              <w:t>％</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紡織品、汽車和摩托車之關稅仍高</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雞蛋、糖、鹽、菸草等受關稅配額限制，超過配額之數量課以較高關稅</w:t>
            </w:r>
          </w:p>
        </w:tc>
      </w:tr>
      <w:tr w:rsidR="00937E6E" w:rsidRPr="00C77E77" w:rsidTr="006D2155">
        <w:trPr>
          <w:jc w:val="center"/>
        </w:trPr>
        <w:tc>
          <w:tcPr>
            <w:tcW w:w="813" w:type="dxa"/>
            <w:vMerge/>
          </w:tcPr>
          <w:p w:rsidR="00937E6E" w:rsidRPr="00C77E77" w:rsidRDefault="00937E6E" w:rsidP="00937E6E">
            <w:pPr>
              <w:rPr>
                <w:rFonts w:ascii="Times New Roman" w:eastAsia="標楷體" w:hAnsi="Times New Roman" w:cs="Times New Roman"/>
                <w:szCs w:val="28"/>
              </w:rPr>
            </w:pPr>
          </w:p>
        </w:tc>
        <w:tc>
          <w:tcPr>
            <w:tcW w:w="1450" w:type="dxa"/>
          </w:tcPr>
          <w:p w:rsidR="00937E6E" w:rsidRPr="00C77E77" w:rsidRDefault="00937E6E" w:rsidP="00937E6E">
            <w:pPr>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033" w:type="dxa"/>
          </w:tcPr>
          <w:p w:rsidR="00937E6E" w:rsidRPr="00C77E77" w:rsidRDefault="00937E6E" w:rsidP="00937E6E">
            <w:pPr>
              <w:rPr>
                <w:rFonts w:ascii="Times New Roman" w:eastAsia="標楷體" w:hAnsi="Times New Roman" w:cs="Times New Roman"/>
                <w:szCs w:val="24"/>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FTA:</w:t>
            </w:r>
            <w:r w:rsidRPr="00C77E77">
              <w:rPr>
                <w:rFonts w:ascii="Times New Roman" w:eastAsia="標楷體" w:hAnsi="Times New Roman" w:cs="Times New Roman"/>
                <w:szCs w:val="28"/>
              </w:rPr>
              <w:t>日本、韓國、智利、歐盟與</w:t>
            </w:r>
            <w:r w:rsidRPr="00C77E77">
              <w:rPr>
                <w:rFonts w:ascii="Times New Roman" w:eastAsia="標楷體" w:hAnsi="Times New Roman" w:cs="Times New Roman"/>
                <w:szCs w:val="24"/>
              </w:rPr>
              <w:t>歐洲自由貿易聯盟</w:t>
            </w:r>
          </w:p>
          <w:p w:rsidR="00937E6E" w:rsidRPr="00C77E77" w:rsidRDefault="00937E6E"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4"/>
              </w:rPr>
              <w:t>談判中</w:t>
            </w:r>
            <w:r w:rsidRPr="00C77E77">
              <w:rPr>
                <w:rFonts w:ascii="Times New Roman" w:eastAsia="標楷體" w:hAnsi="Times New Roman" w:cs="Times New Roman"/>
                <w:szCs w:val="24"/>
              </w:rPr>
              <w:t>: EFTA</w:t>
            </w:r>
          </w:p>
        </w:tc>
      </w:tr>
      <w:tr w:rsidR="00937E6E" w:rsidRPr="00C77E77" w:rsidTr="006D2155">
        <w:trPr>
          <w:jc w:val="center"/>
        </w:trPr>
        <w:tc>
          <w:tcPr>
            <w:tcW w:w="813" w:type="dxa"/>
            <w:vMerge/>
            <w:tcBorders>
              <w:bottom w:val="single" w:sz="4" w:space="0" w:color="auto"/>
            </w:tcBorders>
          </w:tcPr>
          <w:p w:rsidR="00937E6E" w:rsidRPr="00C77E77" w:rsidRDefault="00937E6E" w:rsidP="00937E6E">
            <w:pPr>
              <w:rPr>
                <w:rFonts w:ascii="Times New Roman" w:eastAsia="標楷體" w:hAnsi="Times New Roman" w:cs="Times New Roman"/>
                <w:szCs w:val="28"/>
              </w:rPr>
            </w:pPr>
          </w:p>
        </w:tc>
        <w:tc>
          <w:tcPr>
            <w:tcW w:w="1450" w:type="dxa"/>
            <w:tcBorders>
              <w:bottom w:val="single" w:sz="4" w:space="0" w:color="auto"/>
            </w:tcBorders>
          </w:tcPr>
          <w:p w:rsidR="00937E6E" w:rsidRPr="00C77E77" w:rsidRDefault="00937E6E" w:rsidP="00937E6E">
            <w:pPr>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033" w:type="dxa"/>
            <w:tcBorders>
              <w:bottom w:val="single" w:sz="4" w:space="0" w:color="auto"/>
            </w:tcBorders>
          </w:tcPr>
          <w:p w:rsidR="00937E6E" w:rsidRPr="00C77E77" w:rsidRDefault="00937E6E"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 xml:space="preserve">: </w:t>
            </w:r>
            <w:r w:rsidRPr="00C77E77">
              <w:rPr>
                <w:rFonts w:ascii="Times New Roman" w:eastAsia="標楷體" w:hAnsi="Times New Roman" w:cs="Times New Roman"/>
                <w:szCs w:val="28"/>
              </w:rPr>
              <w:t>跨太平洋夥伴關係協定</w:t>
            </w:r>
            <w:r w:rsidR="00C02C48"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TPP</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東協自由貿易協定</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AFTA</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8"/>
              </w:rPr>
              <w:t>、東協成員與區域外國家簽訂之多邊協定，包含澳紐、印度、日本、韓國、中國大陸</w:t>
            </w:r>
          </w:p>
          <w:p w:rsidR="00937E6E" w:rsidRPr="00C77E77" w:rsidRDefault="00937E6E"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談判中</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區域全面經濟夥伴協定</w:t>
            </w:r>
          </w:p>
        </w:tc>
      </w:tr>
      <w:tr w:rsidR="006D2155" w:rsidRPr="00C77E77" w:rsidTr="00676357">
        <w:trPr>
          <w:jc w:val="center"/>
        </w:trPr>
        <w:tc>
          <w:tcPr>
            <w:tcW w:w="8296" w:type="dxa"/>
            <w:gridSpan w:val="3"/>
            <w:tcBorders>
              <w:top w:val="single" w:sz="4" w:space="0" w:color="FFFFFF" w:themeColor="background1"/>
              <w:left w:val="nil"/>
              <w:bottom w:val="nil"/>
              <w:right w:val="nil"/>
            </w:tcBorders>
          </w:tcPr>
          <w:p w:rsidR="006D2155" w:rsidRPr="00C77E77" w:rsidRDefault="006D2155" w:rsidP="00937E6E">
            <w:pPr>
              <w:ind w:left="1166" w:hangingChars="507" w:hanging="1166"/>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937E6E" w:rsidRPr="00C77E77">
              <w:rPr>
                <w:rFonts w:ascii="Times New Roman" w:eastAsia="標楷體" w:hAnsi="Times New Roman" w:cs="Times New Roman"/>
                <w:sz w:val="23"/>
                <w:szCs w:val="23"/>
              </w:rPr>
              <w:t>經濟部國貿局，</w:t>
            </w:r>
            <w:r w:rsidR="00937E6E" w:rsidRPr="00C77E77">
              <w:rPr>
                <w:rFonts w:ascii="Times New Roman" w:eastAsia="標楷體" w:hAnsi="Times New Roman" w:cs="Times New Roman"/>
                <w:sz w:val="23"/>
                <w:szCs w:val="23"/>
              </w:rPr>
              <w:t>2016</w:t>
            </w:r>
            <w:r w:rsidR="00937E6E"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，越南投資環境簡介；香港貿易發展局，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，越南市場概況。</w:t>
            </w:r>
          </w:p>
          <w:p w:rsidR="00BC7949" w:rsidRPr="00C77E77" w:rsidRDefault="00BC7949" w:rsidP="00937E6E">
            <w:pPr>
              <w:rPr>
                <w:rFonts w:ascii="Times New Roman" w:eastAsia="標楷體" w:hAnsi="Times New Roman" w:cs="Times New Roman"/>
                <w:sz w:val="23"/>
                <w:szCs w:val="23"/>
              </w:rPr>
            </w:pPr>
          </w:p>
          <w:p w:rsidR="00937E6E" w:rsidRPr="00C77E77" w:rsidRDefault="00937E6E" w:rsidP="00937E6E">
            <w:pPr>
              <w:rPr>
                <w:rFonts w:ascii="Times New Roman" w:eastAsia="標楷體" w:hAnsi="Times New Roman" w:cs="Times New Roman"/>
                <w:sz w:val="23"/>
                <w:szCs w:val="23"/>
              </w:rPr>
            </w:pPr>
          </w:p>
          <w:p w:rsidR="00937E6E" w:rsidRPr="00C77E77" w:rsidRDefault="00937E6E" w:rsidP="00937E6E">
            <w:pPr>
              <w:rPr>
                <w:rFonts w:ascii="Times New Roman" w:eastAsia="標楷體" w:hAnsi="Times New Roman" w:cs="Times New Roman"/>
                <w:sz w:val="23"/>
                <w:szCs w:val="23"/>
              </w:rPr>
            </w:pPr>
          </w:p>
          <w:p w:rsidR="00937E6E" w:rsidRPr="00C77E77" w:rsidRDefault="00937E6E" w:rsidP="00937E6E">
            <w:pPr>
              <w:rPr>
                <w:rFonts w:ascii="Times New Roman" w:eastAsia="標楷體" w:hAnsi="Times New Roman" w:cs="Times New Roman"/>
                <w:sz w:val="23"/>
                <w:szCs w:val="23"/>
              </w:rPr>
            </w:pPr>
          </w:p>
        </w:tc>
      </w:tr>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937E6E">
            <w:pPr>
              <w:pStyle w:val="af9"/>
              <w:spacing w:line="240" w:lineRule="auto"/>
            </w:pPr>
            <w:bookmarkStart w:id="65" w:name="_Toc458184939"/>
            <w:bookmarkStart w:id="66" w:name="_Toc470676584"/>
            <w:r w:rsidRPr="00C77E77">
              <w:lastRenderedPageBreak/>
              <w:t>表</w:t>
            </w:r>
            <w:r w:rsidRPr="00C77E77">
              <w:t xml:space="preserve">2-3-7 </w:t>
            </w:r>
            <w:r w:rsidRPr="00C77E77">
              <w:t>緬甸產業發展、外人投資與貿易政策</w:t>
            </w:r>
            <w:bookmarkEnd w:id="65"/>
            <w:bookmarkEnd w:id="66"/>
          </w:p>
        </w:tc>
      </w:tr>
      <w:tr w:rsidR="006D2155" w:rsidRPr="00C77E77" w:rsidTr="006D2155">
        <w:trPr>
          <w:jc w:val="center"/>
        </w:trPr>
        <w:tc>
          <w:tcPr>
            <w:tcW w:w="813" w:type="dxa"/>
            <w:vMerge w:val="restart"/>
            <w:tcBorders>
              <w:top w:val="single" w:sz="4" w:space="0" w:color="auto"/>
            </w:tcBorders>
            <w:vAlign w:val="center"/>
          </w:tcPr>
          <w:p w:rsidR="006D2155" w:rsidRPr="00C77E77" w:rsidRDefault="006D2155" w:rsidP="00937E6E">
            <w:pPr>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450" w:type="dxa"/>
            <w:tcBorders>
              <w:top w:val="single" w:sz="4" w:space="0" w:color="auto"/>
            </w:tcBorders>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6033" w:type="dxa"/>
            <w:tcBorders>
              <w:top w:val="single" w:sz="4" w:space="0" w:color="auto"/>
            </w:tcBorders>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服務業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40</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、工業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25</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、農業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35</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p>
        </w:tc>
      </w:tr>
      <w:tr w:rsidR="006D2155" w:rsidRPr="00C77E77" w:rsidTr="006D2155">
        <w:trPr>
          <w:jc w:val="center"/>
        </w:trPr>
        <w:tc>
          <w:tcPr>
            <w:tcW w:w="813" w:type="dxa"/>
            <w:vMerge/>
            <w:vAlign w:val="center"/>
          </w:tcPr>
          <w:p w:rsidR="006D2155" w:rsidRPr="00C77E77" w:rsidRDefault="006D2155" w:rsidP="00937E6E">
            <w:pPr>
              <w:jc w:val="center"/>
              <w:rPr>
                <w:rFonts w:ascii="Times New Roman" w:eastAsia="標楷體" w:hAnsi="Times New Roman" w:cs="Times New Roman"/>
                <w:b/>
                <w:szCs w:val="28"/>
              </w:rPr>
            </w:pP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加工、製造、建築及交通運輸</w:t>
            </w:r>
          </w:p>
        </w:tc>
      </w:tr>
      <w:tr w:rsidR="006D2155" w:rsidRPr="00C77E77" w:rsidTr="006D2155">
        <w:trPr>
          <w:jc w:val="center"/>
        </w:trPr>
        <w:tc>
          <w:tcPr>
            <w:tcW w:w="813" w:type="dxa"/>
            <w:vMerge/>
            <w:vAlign w:val="center"/>
          </w:tcPr>
          <w:p w:rsidR="006D2155" w:rsidRPr="00C77E77" w:rsidRDefault="006D2155" w:rsidP="00937E6E">
            <w:pPr>
              <w:jc w:val="center"/>
              <w:rPr>
                <w:rFonts w:ascii="Times New Roman" w:eastAsia="標楷體" w:hAnsi="Times New Roman" w:cs="Times New Roman"/>
                <w:b/>
                <w:szCs w:val="28"/>
              </w:rPr>
            </w:pP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•2014</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4</w:t>
            </w:r>
            <w:r w:rsidRPr="00C77E77">
              <w:rPr>
                <w:rFonts w:ascii="Times New Roman" w:eastAsia="標楷體" w:hAnsi="Times New Roman" w:cs="Times New Roman"/>
                <w:szCs w:val="28"/>
              </w:rPr>
              <w:t>月取消外匯管制，採管理浮動匯率制度</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12</w:t>
            </w:r>
            <w:r w:rsidRPr="00C77E77">
              <w:rPr>
                <w:rFonts w:ascii="Times New Roman" w:eastAsia="標楷體" w:hAnsi="Times New Roman" w:cs="Times New Roman"/>
                <w:szCs w:val="28"/>
              </w:rPr>
              <w:t>月成立證券交易所</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9</w:t>
            </w:r>
            <w:r w:rsidRPr="00C77E77">
              <w:rPr>
                <w:rFonts w:ascii="Times New Roman" w:eastAsia="標楷體" w:hAnsi="Times New Roman" w:cs="Times New Roman"/>
                <w:szCs w:val="28"/>
              </w:rPr>
              <w:t>月首次實施全國最低工資，每天</w:t>
            </w:r>
            <w:r w:rsidRPr="00C77E77">
              <w:rPr>
                <w:rFonts w:ascii="Times New Roman" w:eastAsia="標楷體" w:hAnsi="Times New Roman" w:cs="Times New Roman"/>
                <w:szCs w:val="28"/>
              </w:rPr>
              <w:t>2.8</w:t>
            </w:r>
            <w:r w:rsidRPr="00C77E77">
              <w:rPr>
                <w:rFonts w:ascii="Times New Roman" w:eastAsia="標楷體" w:hAnsi="Times New Roman" w:cs="Times New Roman"/>
                <w:szCs w:val="28"/>
              </w:rPr>
              <w:t>美元</w:t>
            </w:r>
          </w:p>
        </w:tc>
      </w:tr>
      <w:tr w:rsidR="006D2155" w:rsidRPr="00C77E77" w:rsidTr="006D2155">
        <w:trPr>
          <w:trHeight w:val="838"/>
          <w:jc w:val="center"/>
        </w:trPr>
        <w:tc>
          <w:tcPr>
            <w:tcW w:w="813" w:type="dxa"/>
            <w:vMerge w:val="restart"/>
            <w:vAlign w:val="center"/>
          </w:tcPr>
          <w:p w:rsidR="006D2155" w:rsidRPr="00C77E77" w:rsidRDefault="006D2155" w:rsidP="00937E6E">
            <w:pPr>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開放範圍</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及優惠</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•2012</w:t>
            </w:r>
            <w:r w:rsidRPr="00C77E77">
              <w:rPr>
                <w:rFonts w:ascii="Times New Roman" w:eastAsia="標楷體" w:hAnsi="Times New Roman" w:cs="Times New Roman"/>
                <w:szCs w:val="28"/>
              </w:rPr>
              <w:t>年通過「外商投資法」，開放製造業、服務業、基礎設施建設、零售批發業予外商直接投資，營運前</w:t>
            </w:r>
            <w:r w:rsidRPr="00C77E77">
              <w:rPr>
                <w:rFonts w:ascii="Times New Roman" w:eastAsia="標楷體" w:hAnsi="Times New Roman" w:cs="Times New Roman"/>
                <w:szCs w:val="28"/>
              </w:rPr>
              <w:t>5</w:t>
            </w:r>
            <w:r w:rsidRPr="00C77E77">
              <w:rPr>
                <w:rFonts w:ascii="Times New Roman" w:eastAsia="標楷體" w:hAnsi="Times New Roman" w:cs="Times New Roman"/>
                <w:szCs w:val="28"/>
              </w:rPr>
              <w:t>年享有免稅及其他所得稅或關稅減免</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•2014</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1</w:t>
            </w:r>
            <w:r w:rsidRPr="00C77E77">
              <w:rPr>
                <w:rFonts w:ascii="Times New Roman" w:eastAsia="標楷體" w:hAnsi="Times New Roman" w:cs="Times New Roman"/>
                <w:szCs w:val="28"/>
              </w:rPr>
              <w:t>月「緬甸經濟特區法」生效，除相關所得稅減免、關稅豁免外，投資者可向政府租賃土地，期限長達</w:t>
            </w:r>
            <w:r w:rsidRPr="00C77E77">
              <w:rPr>
                <w:rFonts w:ascii="Times New Roman" w:eastAsia="標楷體" w:hAnsi="Times New Roman" w:cs="Times New Roman"/>
                <w:szCs w:val="28"/>
              </w:rPr>
              <w:t>50</w:t>
            </w:r>
            <w:r w:rsidRPr="00C77E77">
              <w:rPr>
                <w:rFonts w:ascii="Times New Roman" w:eastAsia="標楷體" w:hAnsi="Times New Roman" w:cs="Times New Roman"/>
                <w:szCs w:val="28"/>
              </w:rPr>
              <w:t>年且可再延長</w:t>
            </w:r>
            <w:r w:rsidRPr="00C77E77">
              <w:rPr>
                <w:rFonts w:ascii="Times New Roman" w:eastAsia="標楷體" w:hAnsi="Times New Roman" w:cs="Times New Roman"/>
                <w:szCs w:val="28"/>
              </w:rPr>
              <w:t>25</w:t>
            </w:r>
            <w:r w:rsidRPr="00C77E77">
              <w:rPr>
                <w:rFonts w:ascii="Times New Roman" w:eastAsia="標楷體" w:hAnsi="Times New Roman" w:cs="Times New Roman"/>
                <w:szCs w:val="28"/>
              </w:rPr>
              <w:t>年</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•2014</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10</w:t>
            </w:r>
            <w:r w:rsidRPr="00C77E77">
              <w:rPr>
                <w:rFonts w:ascii="Times New Roman" w:eastAsia="標楷體" w:hAnsi="Times New Roman" w:cs="Times New Roman"/>
                <w:szCs w:val="28"/>
              </w:rPr>
              <w:t>月開始向</w:t>
            </w:r>
            <w:r w:rsidRPr="00C77E77">
              <w:rPr>
                <w:rFonts w:ascii="Times New Roman" w:eastAsia="標楷體" w:hAnsi="Times New Roman" w:cs="Times New Roman"/>
                <w:szCs w:val="28"/>
              </w:rPr>
              <w:t>9</w:t>
            </w:r>
            <w:r w:rsidRPr="00C77E77">
              <w:rPr>
                <w:rFonts w:ascii="Times New Roman" w:eastAsia="標楷體" w:hAnsi="Times New Roman" w:cs="Times New Roman"/>
                <w:szCs w:val="28"/>
              </w:rPr>
              <w:t>家外資銀行發放營業執照，但僅限於向外資企業提供外幣貸款</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開放電信業，允許外國投資者競投全國電信牌照</w:t>
            </w:r>
          </w:p>
        </w:tc>
      </w:tr>
      <w:tr w:rsidR="006D2155" w:rsidRPr="00C77E77" w:rsidTr="006D2155">
        <w:trPr>
          <w:jc w:val="center"/>
        </w:trPr>
        <w:tc>
          <w:tcPr>
            <w:tcW w:w="813" w:type="dxa"/>
            <w:vMerge/>
          </w:tcPr>
          <w:p w:rsidR="006D2155" w:rsidRPr="00C77E77" w:rsidRDefault="006D2155" w:rsidP="00937E6E">
            <w:pPr>
              <w:rPr>
                <w:rFonts w:ascii="Times New Roman" w:eastAsia="標楷體" w:hAnsi="Times New Roman" w:cs="Times New Roman"/>
                <w:szCs w:val="28"/>
              </w:rPr>
            </w:pP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緬甸投資與公司管理局網站</w:t>
            </w:r>
          </w:p>
        </w:tc>
      </w:tr>
      <w:tr w:rsidR="006D2155" w:rsidRPr="00C77E77" w:rsidTr="006D2155">
        <w:trPr>
          <w:jc w:val="center"/>
        </w:trPr>
        <w:tc>
          <w:tcPr>
            <w:tcW w:w="813" w:type="dxa"/>
            <w:vMerge w:val="restart"/>
            <w:vAlign w:val="center"/>
          </w:tcPr>
          <w:p w:rsidR="006D2155" w:rsidRPr="00C77E77" w:rsidRDefault="006D2155" w:rsidP="00937E6E">
            <w:pPr>
              <w:jc w:val="center"/>
              <w:rPr>
                <w:rFonts w:ascii="Times New Roman" w:eastAsia="標楷體" w:hAnsi="Times New Roman" w:cs="Times New Roman"/>
                <w:b/>
                <w:szCs w:val="28"/>
              </w:rPr>
            </w:pPr>
            <w:r w:rsidRPr="00C77E77">
              <w:rPr>
                <w:rFonts w:ascii="Times New Roman" w:eastAsia="標楷體" w:hAnsi="Times New Roman" w:cs="Times New Roman"/>
                <w:b/>
                <w:szCs w:val="28"/>
              </w:rPr>
              <w:t>關稅貿易</w:t>
            </w: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關稅</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履行加入世界貿易組織之承諾</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進口農產品之最惠國關稅率平均為</w:t>
            </w:r>
            <w:r w:rsidRPr="00C77E77">
              <w:rPr>
                <w:rFonts w:ascii="Times New Roman" w:eastAsia="標楷體" w:hAnsi="Times New Roman" w:cs="Times New Roman"/>
                <w:szCs w:val="28"/>
              </w:rPr>
              <w:t>8.6</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 xml:space="preserve"> </w:t>
            </w:r>
          </w:p>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進口非農產品之最惠國關稅率平均為</w:t>
            </w:r>
            <w:r w:rsidRPr="00C77E77">
              <w:rPr>
                <w:rFonts w:ascii="Times New Roman" w:eastAsia="標楷體" w:hAnsi="Times New Roman" w:cs="Times New Roman"/>
                <w:szCs w:val="28"/>
              </w:rPr>
              <w:t>8.3</w:t>
            </w:r>
            <w:r w:rsidRPr="00C77E77">
              <w:rPr>
                <w:rFonts w:ascii="Times New Roman" w:eastAsia="標楷體" w:hAnsi="Times New Roman" w:cs="Times New Roman"/>
                <w:szCs w:val="28"/>
              </w:rPr>
              <w:t>％</w:t>
            </w:r>
          </w:p>
        </w:tc>
      </w:tr>
      <w:tr w:rsidR="006D2155" w:rsidRPr="00C77E77" w:rsidTr="006D2155">
        <w:trPr>
          <w:jc w:val="center"/>
        </w:trPr>
        <w:tc>
          <w:tcPr>
            <w:tcW w:w="813" w:type="dxa"/>
            <w:vMerge/>
          </w:tcPr>
          <w:p w:rsidR="006D2155" w:rsidRPr="00C77E77" w:rsidRDefault="006D2155" w:rsidP="00937E6E">
            <w:pPr>
              <w:rPr>
                <w:rFonts w:ascii="Times New Roman" w:eastAsia="標楷體" w:hAnsi="Times New Roman" w:cs="Times New Roman"/>
                <w:szCs w:val="28"/>
              </w:rPr>
            </w:pPr>
          </w:p>
        </w:tc>
        <w:tc>
          <w:tcPr>
            <w:tcW w:w="1450"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033" w:type="dxa"/>
          </w:tcPr>
          <w:p w:rsidR="006D2155" w:rsidRPr="00C77E77" w:rsidRDefault="006D2155" w:rsidP="00937E6E">
            <w:pPr>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簽訂避免雙重徵稅協定</w:t>
            </w:r>
            <w:r w:rsidRPr="00C77E77">
              <w:rPr>
                <w:rFonts w:ascii="Times New Roman" w:eastAsia="標楷體" w:hAnsi="Times New Roman" w:cs="Times New Roman"/>
                <w:szCs w:val="28"/>
              </w:rPr>
              <w:t xml:space="preserve">: </w:t>
            </w:r>
            <w:r w:rsidRPr="00C77E77">
              <w:rPr>
                <w:rFonts w:ascii="Times New Roman" w:eastAsia="標楷體" w:hAnsi="Times New Roman" w:cs="Times New Roman"/>
                <w:szCs w:val="28"/>
              </w:rPr>
              <w:t>英國、新加坡、馬來西亞、泰國、印度、寮國、越南與韓國</w:t>
            </w:r>
          </w:p>
        </w:tc>
      </w:tr>
      <w:tr w:rsidR="007F63BD" w:rsidRPr="00C77E77" w:rsidTr="006D2155">
        <w:trPr>
          <w:jc w:val="center"/>
        </w:trPr>
        <w:tc>
          <w:tcPr>
            <w:tcW w:w="813" w:type="dxa"/>
            <w:vMerge/>
            <w:tcBorders>
              <w:bottom w:val="single" w:sz="4" w:space="0" w:color="auto"/>
            </w:tcBorders>
          </w:tcPr>
          <w:p w:rsidR="007F63BD" w:rsidRPr="00C77E77" w:rsidRDefault="007F63BD" w:rsidP="007F63BD">
            <w:pPr>
              <w:rPr>
                <w:rFonts w:ascii="Times New Roman" w:eastAsia="標楷體" w:hAnsi="Times New Roman" w:cs="Times New Roman"/>
                <w:szCs w:val="28"/>
              </w:rPr>
            </w:pPr>
          </w:p>
        </w:tc>
        <w:tc>
          <w:tcPr>
            <w:tcW w:w="1450" w:type="dxa"/>
            <w:tcBorders>
              <w:bottom w:val="single" w:sz="4" w:space="0" w:color="auto"/>
            </w:tcBorders>
          </w:tcPr>
          <w:p w:rsidR="007F63BD" w:rsidRPr="00C77E77" w:rsidRDefault="007F63BD" w:rsidP="007F63BD">
            <w:pPr>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033" w:type="dxa"/>
            <w:tcBorders>
              <w:bottom w:val="single" w:sz="4" w:space="0" w:color="auto"/>
            </w:tcBorders>
          </w:tcPr>
          <w:p w:rsidR="007F63BD" w:rsidRPr="00C77E77" w:rsidRDefault="007F63BD" w:rsidP="007F63BD">
            <w:pPr>
              <w:spacing w:afterLines="50" w:after="180"/>
              <w:rPr>
                <w:rFonts w:ascii="Times New Roman" w:eastAsia="標楷體" w:hAnsi="Times New Roman" w:cs="Times New Roman"/>
                <w:szCs w:val="24"/>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東協自由貿易協定</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AFTA</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8"/>
              </w:rPr>
              <w:t>、東協成員與區域外國家簽訂之多邊協定，包含澳紐、印度、日本、韓國、中國大陸</w:t>
            </w:r>
          </w:p>
          <w:p w:rsidR="007F63BD" w:rsidRPr="00C77E77" w:rsidRDefault="007F63BD" w:rsidP="007F63BD">
            <w:pPr>
              <w:spacing w:afterLines="50" w:after="180"/>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已簽署</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孟印緬斯泰經濟合作組織</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BIMSTEC</w:t>
            </w:r>
            <w:r w:rsidR="00C02C48" w:rsidRPr="00C77E77">
              <w:rPr>
                <w:rFonts w:ascii="Times New Roman" w:eastAsia="標楷體" w:hAnsi="Times New Roman" w:cs="Times New Roman"/>
                <w:szCs w:val="24"/>
              </w:rPr>
              <w:t>）</w:t>
            </w:r>
          </w:p>
          <w:p w:rsidR="007F63BD" w:rsidRPr="00C77E77" w:rsidRDefault="007F63BD" w:rsidP="007F63BD">
            <w:pPr>
              <w:spacing w:afterLines="50" w:after="180"/>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進行中</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區域全面經濟夥伴協定</w:t>
            </w:r>
          </w:p>
        </w:tc>
      </w:tr>
      <w:tr w:rsidR="006D2155" w:rsidRPr="00C77E77" w:rsidTr="006D2155">
        <w:trPr>
          <w:jc w:val="center"/>
        </w:trPr>
        <w:tc>
          <w:tcPr>
            <w:tcW w:w="8296" w:type="dxa"/>
            <w:gridSpan w:val="3"/>
            <w:tcBorders>
              <w:top w:val="single" w:sz="4" w:space="0" w:color="auto"/>
              <w:left w:val="nil"/>
              <w:bottom w:val="nil"/>
              <w:right w:val="nil"/>
            </w:tcBorders>
          </w:tcPr>
          <w:p w:rsidR="006D2155" w:rsidRPr="00C77E77" w:rsidRDefault="006D2155" w:rsidP="00937E6E">
            <w:pPr>
              <w:ind w:left="1166" w:hangingChars="507" w:hanging="1166"/>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7F63BD" w:rsidRPr="00C77E77">
              <w:rPr>
                <w:rFonts w:ascii="Times New Roman" w:eastAsia="標楷體" w:hAnsi="Times New Roman" w:cs="Times New Roman"/>
                <w:sz w:val="23"/>
                <w:szCs w:val="23"/>
              </w:rPr>
              <w:t>經濟部國貿局，</w:t>
            </w:r>
            <w:r w:rsidR="007F63BD" w:rsidRPr="00C77E77">
              <w:rPr>
                <w:rFonts w:ascii="Times New Roman" w:eastAsia="標楷體" w:hAnsi="Times New Roman" w:cs="Times New Roman"/>
                <w:sz w:val="23"/>
                <w:szCs w:val="23"/>
              </w:rPr>
              <w:t>2016</w:t>
            </w:r>
            <w:r w:rsidR="007F63BD"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，緬甸投資環境簡介；香港貿易發展局，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，緬甸市場概況。</w:t>
            </w:r>
          </w:p>
        </w:tc>
      </w:tr>
    </w:tbl>
    <w:p w:rsidR="009B3E64" w:rsidRPr="00C77E77" w:rsidRDefault="009B3E64" w:rsidP="006D2155">
      <w:pPr>
        <w:spacing w:beforeLines="50" w:before="180" w:afterLines="50" w:after="180" w:line="360" w:lineRule="auto"/>
        <w:rPr>
          <w:rFonts w:ascii="Times New Roman" w:eastAsia="標楷體" w:hAnsi="Times New Roman" w:cs="Times New Roman"/>
          <w:sz w:val="28"/>
          <w:szCs w:val="28"/>
        </w:rPr>
      </w:pPr>
    </w:p>
    <w:p w:rsidR="009B3E64" w:rsidRPr="00C77E77" w:rsidRDefault="009B3E64">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tbl>
      <w:tblPr>
        <w:tblStyle w:val="af4"/>
        <w:tblW w:w="0" w:type="auto"/>
        <w:jc w:val="center"/>
        <w:tblLook w:val="04A0" w:firstRow="1" w:lastRow="0" w:firstColumn="1" w:lastColumn="0" w:noHBand="0" w:noVBand="1"/>
      </w:tblPr>
      <w:tblGrid>
        <w:gridCol w:w="813"/>
        <w:gridCol w:w="1450"/>
        <w:gridCol w:w="6033"/>
      </w:tblGrid>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6D2155">
            <w:pPr>
              <w:pStyle w:val="af9"/>
            </w:pPr>
            <w:bookmarkStart w:id="67" w:name="_Toc458184940"/>
            <w:bookmarkStart w:id="68" w:name="_Toc470676585"/>
            <w:r w:rsidRPr="00C77E77">
              <w:lastRenderedPageBreak/>
              <w:t>表</w:t>
            </w:r>
            <w:r w:rsidRPr="00C77E77">
              <w:t xml:space="preserve">2-3-8 </w:t>
            </w:r>
            <w:r w:rsidRPr="00C77E77">
              <w:t>柬埔寨產業發展、外人投資與貿易政策</w:t>
            </w:r>
            <w:bookmarkEnd w:id="67"/>
            <w:bookmarkEnd w:id="68"/>
          </w:p>
        </w:tc>
      </w:tr>
      <w:tr w:rsidR="006D2155" w:rsidRPr="00C77E77" w:rsidTr="006D2155">
        <w:trPr>
          <w:jc w:val="center"/>
        </w:trPr>
        <w:tc>
          <w:tcPr>
            <w:tcW w:w="813"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450"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6033"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服務業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40</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、工業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27</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、農業</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33</w:t>
            </w:r>
            <w:r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製衣、旅遊、建築業，其中旅遊業占</w:t>
            </w:r>
            <w:r w:rsidRPr="00C77E77">
              <w:rPr>
                <w:rFonts w:ascii="Times New Roman" w:eastAsia="標楷體" w:hAnsi="Times New Roman" w:cs="Times New Roman"/>
                <w:szCs w:val="28"/>
              </w:rPr>
              <w:t>GDP</w:t>
            </w:r>
            <w:r w:rsidRPr="00C77E77">
              <w:rPr>
                <w:rFonts w:ascii="Times New Roman" w:eastAsia="標楷體" w:hAnsi="Times New Roman" w:cs="Times New Roman"/>
                <w:szCs w:val="28"/>
              </w:rPr>
              <w:t>之</w:t>
            </w:r>
            <w:r w:rsidRPr="00C77E77">
              <w:rPr>
                <w:rFonts w:ascii="Times New Roman" w:eastAsia="標楷體" w:hAnsi="Times New Roman" w:cs="Times New Roman"/>
                <w:szCs w:val="28"/>
              </w:rPr>
              <w:t>20</w:t>
            </w:r>
            <w:r w:rsidRPr="00C77E77">
              <w:rPr>
                <w:rFonts w:ascii="Times New Roman" w:eastAsia="標楷體" w:hAnsi="Times New Roman" w:cs="Times New Roman"/>
                <w:szCs w:val="28"/>
              </w:rPr>
              <w:t>％</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10</w:t>
            </w:r>
            <w:r w:rsidRPr="00C77E77">
              <w:rPr>
                <w:rFonts w:ascii="Times New Roman" w:eastAsia="標楷體" w:hAnsi="Times New Roman" w:cs="Times New Roman"/>
                <w:szCs w:val="28"/>
              </w:rPr>
              <w:t>月調高製衣工人之每月最低工資，增加</w:t>
            </w:r>
            <w:r w:rsidRPr="00C77E77">
              <w:rPr>
                <w:rFonts w:ascii="Times New Roman" w:eastAsia="標楷體" w:hAnsi="Times New Roman" w:cs="Times New Roman"/>
                <w:szCs w:val="28"/>
              </w:rPr>
              <w:t>9.4</w:t>
            </w:r>
            <w:r w:rsidRPr="00C77E77">
              <w:rPr>
                <w:rFonts w:ascii="Times New Roman" w:eastAsia="標楷體" w:hAnsi="Times New Roman" w:cs="Times New Roman"/>
                <w:szCs w:val="28"/>
              </w:rPr>
              <w:t>％至</w:t>
            </w:r>
            <w:r w:rsidRPr="00C77E77">
              <w:rPr>
                <w:rFonts w:ascii="Times New Roman" w:eastAsia="標楷體" w:hAnsi="Times New Roman" w:cs="Times New Roman"/>
                <w:szCs w:val="28"/>
              </w:rPr>
              <w:t>140</w:t>
            </w:r>
            <w:r w:rsidRPr="00C77E77">
              <w:rPr>
                <w:rFonts w:ascii="Times New Roman" w:eastAsia="標楷體" w:hAnsi="Times New Roman" w:cs="Times New Roman"/>
                <w:szCs w:val="28"/>
              </w:rPr>
              <w:t>美元</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開放範圍</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實施自由的外商投資政策，重點投資領域為農業、運輸、電信、能源、勞力密集和出口為主的加工業、旅遊及人力資源開發等</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政策優惠</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合格投資項目擁有優惠</w:t>
            </w:r>
            <w:r w:rsidRPr="00C77E77">
              <w:rPr>
                <w:rFonts w:ascii="Times New Roman" w:eastAsia="標楷體" w:hAnsi="Times New Roman" w:cs="Times New Roman"/>
                <w:szCs w:val="28"/>
              </w:rPr>
              <w:t>: 100</w:t>
            </w:r>
            <w:r w:rsidRPr="00C77E77">
              <w:rPr>
                <w:rFonts w:ascii="Times New Roman" w:eastAsia="標楷體" w:hAnsi="Times New Roman" w:cs="Times New Roman"/>
                <w:szCs w:val="28"/>
              </w:rPr>
              <w:t>％外資擁有權</w:t>
            </w:r>
            <w:r w:rsidRPr="00C77E77">
              <w:rPr>
                <w:rFonts w:ascii="Times New Roman" w:eastAsia="標楷體" w:hAnsi="Times New Roman" w:cs="Times New Roman"/>
                <w:szCs w:val="28"/>
              </w:rPr>
              <w:t>8</w:t>
            </w:r>
            <w:r w:rsidRPr="00C77E77">
              <w:rPr>
                <w:rFonts w:ascii="Times New Roman" w:eastAsia="標楷體" w:hAnsi="Times New Roman" w:cs="Times New Roman"/>
                <w:szCs w:val="28"/>
              </w:rPr>
              <w:t>年的企業免稅期、免稅期後享有</w:t>
            </w:r>
            <w:r w:rsidRPr="00C77E77">
              <w:rPr>
                <w:rFonts w:ascii="Times New Roman" w:eastAsia="標楷體" w:hAnsi="Times New Roman" w:cs="Times New Roman"/>
                <w:szCs w:val="28"/>
              </w:rPr>
              <w:t>20</w:t>
            </w:r>
            <w:r w:rsidRPr="00C77E77">
              <w:rPr>
                <w:rFonts w:ascii="Times New Roman" w:eastAsia="標楷體" w:hAnsi="Times New Roman" w:cs="Times New Roman"/>
                <w:szCs w:val="28"/>
              </w:rPr>
              <w:t>％稅率、進口資本財免稅、資金匯出不設限制</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經濟特區之優惠</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免稅期、零增值稅、原物料和機器設備免進口稅</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柬埔寨經濟特區委員會網站</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關稅貿易</w:t>
            </w: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開放項目</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除部分類化學產品及動物外，大多數產品可自由進口，統一徵收</w:t>
            </w:r>
            <w:r w:rsidRPr="00C77E77">
              <w:rPr>
                <w:rFonts w:ascii="Times New Roman" w:eastAsia="標楷體" w:hAnsi="Times New Roman" w:cs="Times New Roman"/>
                <w:szCs w:val="28"/>
              </w:rPr>
              <w:t>10</w:t>
            </w:r>
            <w:r w:rsidRPr="00C77E77">
              <w:rPr>
                <w:rFonts w:ascii="Times New Roman" w:eastAsia="標楷體" w:hAnsi="Times New Roman" w:cs="Times New Roman"/>
                <w:szCs w:val="28"/>
              </w:rPr>
              <w:t>％增值稅</w:t>
            </w:r>
          </w:p>
        </w:tc>
      </w:tr>
      <w:tr w:rsidR="006D2155" w:rsidRPr="00C77E77" w:rsidTr="006D2155">
        <w:trPr>
          <w:jc w:val="center"/>
        </w:trPr>
        <w:tc>
          <w:tcPr>
            <w:tcW w:w="813" w:type="dxa"/>
            <w:vMerge/>
          </w:tcPr>
          <w:p w:rsidR="006D2155" w:rsidRPr="00C77E77" w:rsidRDefault="006D2155" w:rsidP="006D2155">
            <w:pPr>
              <w:spacing w:line="500" w:lineRule="exact"/>
              <w:rPr>
                <w:rFonts w:ascii="Times New Roman" w:eastAsia="標楷體" w:hAnsi="Times New Roman" w:cs="Times New Roman"/>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關稅</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•2016</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4</w:t>
            </w:r>
            <w:r w:rsidRPr="00C77E77">
              <w:rPr>
                <w:rFonts w:ascii="Times New Roman" w:eastAsia="標楷體" w:hAnsi="Times New Roman" w:cs="Times New Roman"/>
                <w:szCs w:val="28"/>
              </w:rPr>
              <w:t>月宣布豁免農產品的增值稅</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關稅級別分為四級</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零關稅</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醫療用品及教育材料</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7</w:t>
            </w:r>
            <w:r w:rsidRPr="00C77E77">
              <w:rPr>
                <w:rFonts w:ascii="Times New Roman" w:eastAsia="標楷體" w:hAnsi="Times New Roman" w:cs="Times New Roman"/>
                <w:szCs w:val="28"/>
              </w:rPr>
              <w:t>％關稅</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初級產品及原材料</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15</w:t>
            </w:r>
            <w:r w:rsidRPr="00C77E77">
              <w:rPr>
                <w:rFonts w:ascii="Times New Roman" w:eastAsia="標楷體" w:hAnsi="Times New Roman" w:cs="Times New Roman"/>
                <w:szCs w:val="28"/>
              </w:rPr>
              <w:t>％關稅</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資本財貨、機器設備、本地有供應之原材料</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35</w:t>
            </w:r>
            <w:r w:rsidRPr="00C77E77">
              <w:rPr>
                <w:rFonts w:ascii="Times New Roman" w:eastAsia="標楷體" w:hAnsi="Times New Roman" w:cs="Times New Roman"/>
                <w:szCs w:val="28"/>
              </w:rPr>
              <w:t>％關稅</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製成品、酒精、石油產品、汽車、貴金屬及寶石</w:t>
            </w:r>
            <w:r w:rsidR="00C02C48" w:rsidRPr="00C77E77">
              <w:rPr>
                <w:rFonts w:ascii="Times New Roman" w:eastAsia="標楷體" w:hAnsi="Times New Roman" w:cs="Times New Roman"/>
                <w:szCs w:val="28"/>
              </w:rPr>
              <w:t>）</w:t>
            </w:r>
          </w:p>
        </w:tc>
      </w:tr>
      <w:tr w:rsidR="006D2155" w:rsidRPr="00C77E77" w:rsidTr="006D2155">
        <w:trPr>
          <w:jc w:val="center"/>
        </w:trPr>
        <w:tc>
          <w:tcPr>
            <w:tcW w:w="813" w:type="dxa"/>
            <w:vMerge/>
          </w:tcPr>
          <w:p w:rsidR="006D2155" w:rsidRPr="00C77E77" w:rsidRDefault="006D2155" w:rsidP="006D2155">
            <w:pPr>
              <w:spacing w:line="500" w:lineRule="exact"/>
              <w:rPr>
                <w:rFonts w:ascii="Times New Roman" w:eastAsia="標楷體" w:hAnsi="Times New Roman" w:cs="Times New Roman"/>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與泰國和越南就雙重課稅協定進行協商中</w:t>
            </w:r>
          </w:p>
        </w:tc>
      </w:tr>
      <w:tr w:rsidR="00235A3E" w:rsidRPr="00C77E77" w:rsidTr="006D2155">
        <w:trPr>
          <w:jc w:val="center"/>
        </w:trPr>
        <w:tc>
          <w:tcPr>
            <w:tcW w:w="813" w:type="dxa"/>
            <w:vMerge/>
            <w:tcBorders>
              <w:bottom w:val="single" w:sz="4" w:space="0" w:color="auto"/>
            </w:tcBorders>
          </w:tcPr>
          <w:p w:rsidR="00235A3E" w:rsidRPr="00C77E77" w:rsidRDefault="00235A3E" w:rsidP="00235A3E">
            <w:pPr>
              <w:spacing w:line="500" w:lineRule="exact"/>
              <w:rPr>
                <w:rFonts w:ascii="Times New Roman" w:eastAsia="標楷體" w:hAnsi="Times New Roman" w:cs="Times New Roman"/>
                <w:szCs w:val="28"/>
              </w:rPr>
            </w:pPr>
          </w:p>
        </w:tc>
        <w:tc>
          <w:tcPr>
            <w:tcW w:w="1450" w:type="dxa"/>
            <w:tcBorders>
              <w:bottom w:val="single" w:sz="4" w:space="0" w:color="auto"/>
            </w:tcBorders>
          </w:tcPr>
          <w:p w:rsidR="00235A3E" w:rsidRPr="00C77E77" w:rsidRDefault="00235A3E" w:rsidP="00235A3E">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033" w:type="dxa"/>
            <w:tcBorders>
              <w:bottom w:val="single" w:sz="4" w:space="0" w:color="auto"/>
            </w:tcBorders>
          </w:tcPr>
          <w:p w:rsidR="00235A3E" w:rsidRPr="00C77E77" w:rsidRDefault="00235A3E" w:rsidP="00235A3E">
            <w:pPr>
              <w:spacing w:afterLines="50" w:after="180"/>
              <w:rPr>
                <w:rFonts w:ascii="Times New Roman" w:eastAsia="標楷體" w:hAnsi="Times New Roman" w:cs="Times New Roman"/>
                <w:szCs w:val="24"/>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東協自由貿易協定</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AFTA</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8"/>
              </w:rPr>
              <w:t>、東協成員與區域外國家簽訂之多邊協定，包含澳紐、印度、日本、韓國、中國大陸</w:t>
            </w:r>
          </w:p>
          <w:p w:rsidR="00235A3E" w:rsidRPr="00C77E77" w:rsidRDefault="00235A3E" w:rsidP="00235A3E">
            <w:pPr>
              <w:spacing w:afterLines="50" w:after="180"/>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進行中</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區域全面經濟夥伴協定</w:t>
            </w:r>
          </w:p>
        </w:tc>
      </w:tr>
      <w:tr w:rsidR="006D2155" w:rsidRPr="00C77E77" w:rsidTr="006D2155">
        <w:trPr>
          <w:jc w:val="center"/>
        </w:trPr>
        <w:tc>
          <w:tcPr>
            <w:tcW w:w="8296" w:type="dxa"/>
            <w:gridSpan w:val="3"/>
            <w:tcBorders>
              <w:top w:val="single" w:sz="4" w:space="0" w:color="auto"/>
              <w:left w:val="nil"/>
              <w:bottom w:val="nil"/>
              <w:right w:val="nil"/>
            </w:tcBorders>
          </w:tcPr>
          <w:p w:rsidR="006D2155" w:rsidRPr="00C77E77" w:rsidRDefault="006D2155" w:rsidP="00CF6371">
            <w:pPr>
              <w:spacing w:line="500" w:lineRule="exact"/>
              <w:ind w:left="1166" w:hangingChars="507" w:hanging="1166"/>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235A3E" w:rsidRPr="00C77E77">
              <w:rPr>
                <w:rFonts w:ascii="Times New Roman" w:eastAsia="標楷體" w:hAnsi="Times New Roman" w:cs="Times New Roman"/>
                <w:sz w:val="23"/>
                <w:szCs w:val="23"/>
              </w:rPr>
              <w:t>經濟部國貿局，</w:t>
            </w:r>
            <w:r w:rsidR="00235A3E" w:rsidRPr="00C77E77">
              <w:rPr>
                <w:rFonts w:ascii="Times New Roman" w:eastAsia="標楷體" w:hAnsi="Times New Roman" w:cs="Times New Roman"/>
                <w:sz w:val="23"/>
                <w:szCs w:val="23"/>
              </w:rPr>
              <w:t>2016</w:t>
            </w:r>
            <w:r w:rsidR="00235A3E"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，柬埔寨投資環境簡介；香港貿易發展局，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，柬埔寨市場概況。</w:t>
            </w:r>
          </w:p>
        </w:tc>
      </w:tr>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6D2155">
            <w:pPr>
              <w:pStyle w:val="af9"/>
            </w:pPr>
            <w:bookmarkStart w:id="69" w:name="_Toc458184941"/>
            <w:bookmarkStart w:id="70" w:name="_Toc470676586"/>
            <w:r w:rsidRPr="00C77E77">
              <w:lastRenderedPageBreak/>
              <w:t>表</w:t>
            </w:r>
            <w:r w:rsidRPr="00C77E77">
              <w:t xml:space="preserve">2-3-9 </w:t>
            </w:r>
            <w:r w:rsidRPr="00C77E77">
              <w:t>寮國產業發展、外人投資與貿易政策</w:t>
            </w:r>
            <w:bookmarkEnd w:id="69"/>
            <w:bookmarkEnd w:id="70"/>
          </w:p>
        </w:tc>
      </w:tr>
      <w:tr w:rsidR="006D2155" w:rsidRPr="00C77E77" w:rsidTr="006D2155">
        <w:trPr>
          <w:trHeight w:val="2553"/>
          <w:jc w:val="center"/>
        </w:trPr>
        <w:tc>
          <w:tcPr>
            <w:tcW w:w="813"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450"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033"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是東協唯一的內陸國，毗鄰緬甸、泰國、越南、柬埔寨和中國大陸。寮國人口在東協國家中第三最少，另外兩個人口最少的成員國為新加坡及汶萊。寮國人均收入亦屬最低之列，不過該國資源豐富，近年來</w:t>
            </w:r>
            <w:r w:rsidRPr="00C77E77">
              <w:rPr>
                <w:rFonts w:ascii="Times New Roman" w:eastAsia="標楷體" w:hAnsi="Times New Roman" w:cs="Times New Roman"/>
                <w:szCs w:val="28"/>
              </w:rPr>
              <w:t>GDP</w:t>
            </w:r>
            <w:r w:rsidRPr="00C77E77">
              <w:rPr>
                <w:rFonts w:ascii="Times New Roman" w:eastAsia="標楷體" w:hAnsi="Times New Roman" w:cs="Times New Roman"/>
                <w:szCs w:val="28"/>
              </w:rPr>
              <w:t>增長比不少東盟國家為高。</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正推行經濟多元化，以降低出口對資源和水電的依賴。旅遊業是新的經濟推動力，入境旅遊人數及旅遊收入快速增長。</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開放範圍</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於</w:t>
            </w:r>
            <w:r w:rsidRPr="00C77E77">
              <w:rPr>
                <w:rFonts w:ascii="Times New Roman" w:eastAsia="標楷體" w:hAnsi="Times New Roman" w:cs="Times New Roman"/>
                <w:szCs w:val="28"/>
              </w:rPr>
              <w:t>1953</w:t>
            </w:r>
            <w:r w:rsidRPr="00C77E77">
              <w:rPr>
                <w:rFonts w:ascii="Times New Roman" w:eastAsia="標楷體" w:hAnsi="Times New Roman" w:cs="Times New Roman"/>
                <w:szCs w:val="28"/>
              </w:rPr>
              <w:t>年獨立，但到</w:t>
            </w:r>
            <w:r w:rsidRPr="00C77E77">
              <w:rPr>
                <w:rFonts w:ascii="Times New Roman" w:eastAsia="標楷體" w:hAnsi="Times New Roman" w:cs="Times New Roman"/>
                <w:szCs w:val="28"/>
              </w:rPr>
              <w:t>20</w:t>
            </w:r>
            <w:r w:rsidRPr="00C77E77">
              <w:rPr>
                <w:rFonts w:ascii="Times New Roman" w:eastAsia="標楷體" w:hAnsi="Times New Roman" w:cs="Times New Roman"/>
                <w:szCs w:val="28"/>
              </w:rPr>
              <w:t>世紀</w:t>
            </w:r>
            <w:r w:rsidRPr="00C77E77">
              <w:rPr>
                <w:rFonts w:ascii="Times New Roman" w:eastAsia="標楷體" w:hAnsi="Times New Roman" w:cs="Times New Roman"/>
                <w:szCs w:val="28"/>
              </w:rPr>
              <w:t>80</w:t>
            </w:r>
            <w:r w:rsidRPr="00C77E77">
              <w:rPr>
                <w:rFonts w:ascii="Times New Roman" w:eastAsia="標楷體" w:hAnsi="Times New Roman" w:cs="Times New Roman"/>
                <w:szCs w:val="28"/>
              </w:rPr>
              <w:t>年代末才推行市場改革。該國致力推動大湄公河次區域內的貿易，並吸引外商直接投資，以支持基礎設施特別是水電項目的發展。</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投資促進部</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Investment Promotion Department</w:t>
            </w:r>
            <w:r w:rsidRPr="00C77E77">
              <w:rPr>
                <w:rFonts w:ascii="Times New Roman" w:eastAsia="標楷體" w:hAnsi="Times New Roman" w:cs="Times New Roman"/>
                <w:szCs w:val="28"/>
              </w:rPr>
              <w:t>，簡稱</w:t>
            </w:r>
            <w:r w:rsidR="00C02C48" w:rsidRPr="00C77E77">
              <w:rPr>
                <w:rFonts w:ascii="Times New Roman" w:eastAsia="標楷體" w:hAnsi="Times New Roman" w:cs="Times New Roman"/>
                <w:szCs w:val="28"/>
              </w:rPr>
              <w:t>IPD</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負責促進外商直接投資及評估外商的投資計劃。</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開放項目</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設立了多個經濟特區，提供多項優惠，如減免所得稅及增值稅。老撾投資優惠及規例詳情，請參見投資促進部網站。</w:t>
            </w:r>
          </w:p>
        </w:tc>
      </w:tr>
      <w:tr w:rsidR="006D2155" w:rsidRPr="00C77E77" w:rsidTr="006D2155">
        <w:trPr>
          <w:jc w:val="center"/>
        </w:trPr>
        <w:tc>
          <w:tcPr>
            <w:tcW w:w="813"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關稅貿易</w:t>
            </w: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年與中國大陸政府簽訂了一項協議，建造由寮國首都至中國大陸邊境的鐵路。</w:t>
            </w:r>
          </w:p>
        </w:tc>
      </w:tr>
      <w:tr w:rsidR="0036056D" w:rsidRPr="00C77E77" w:rsidTr="006D2155">
        <w:trPr>
          <w:jc w:val="center"/>
        </w:trPr>
        <w:tc>
          <w:tcPr>
            <w:tcW w:w="813" w:type="dxa"/>
            <w:vMerge/>
          </w:tcPr>
          <w:p w:rsidR="0036056D" w:rsidRPr="00C77E77" w:rsidRDefault="0036056D" w:rsidP="0036056D">
            <w:pPr>
              <w:spacing w:line="500" w:lineRule="exact"/>
              <w:rPr>
                <w:rFonts w:ascii="Times New Roman" w:eastAsia="標楷體" w:hAnsi="Times New Roman" w:cs="Times New Roman"/>
                <w:szCs w:val="28"/>
              </w:rPr>
            </w:pPr>
          </w:p>
        </w:tc>
        <w:tc>
          <w:tcPr>
            <w:tcW w:w="1450" w:type="dxa"/>
            <w:tcBorders>
              <w:bottom w:val="single" w:sz="4" w:space="0" w:color="auto"/>
            </w:tcBorders>
          </w:tcPr>
          <w:p w:rsidR="0036056D" w:rsidRPr="00C77E77" w:rsidRDefault="0036056D" w:rsidP="0036056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033" w:type="dxa"/>
            <w:tcBorders>
              <w:bottom w:val="single" w:sz="4" w:space="0" w:color="auto"/>
            </w:tcBorders>
          </w:tcPr>
          <w:p w:rsidR="0036056D" w:rsidRPr="00C77E77" w:rsidRDefault="0036056D" w:rsidP="0036056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•2013</w:t>
            </w:r>
            <w:r w:rsidRPr="00C77E77">
              <w:rPr>
                <w:rFonts w:ascii="Times New Roman" w:eastAsia="標楷體" w:hAnsi="Times New Roman" w:cs="Times New Roman"/>
                <w:szCs w:val="28"/>
              </w:rPr>
              <w:t>年成為世界貿易組織正式成員，並已簽訂多項自由貿易協定，包括與中國大陸、越南、泰國、印度和日本的自由貿易協定。</w:t>
            </w:r>
          </w:p>
          <w:p w:rsidR="0036056D" w:rsidRPr="00C77E77" w:rsidRDefault="0036056D" w:rsidP="0036056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東協及於</w:t>
            </w: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年底成立的東盟經濟共同體</w:t>
            </w:r>
            <w:r w:rsidR="00C02C48"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AEC</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的成員國。</w:t>
            </w:r>
          </w:p>
          <w:p w:rsidR="0036056D" w:rsidRPr="00C77E77" w:rsidRDefault="0036056D" w:rsidP="0036056D">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4"/>
              </w:rPr>
              <w:t>區域全面經濟夥伴協定之會員國</w:t>
            </w:r>
            <w:r w:rsidRPr="00C77E77">
              <w:rPr>
                <w:rFonts w:ascii="Times New Roman" w:eastAsia="標楷體" w:hAnsi="Times New Roman" w:cs="Times New Roman"/>
                <w:szCs w:val="28"/>
              </w:rPr>
              <w:t>。</w:t>
            </w:r>
          </w:p>
        </w:tc>
      </w:tr>
      <w:tr w:rsidR="006D2155" w:rsidRPr="00C77E77" w:rsidTr="006D2155">
        <w:trPr>
          <w:jc w:val="center"/>
        </w:trPr>
        <w:tc>
          <w:tcPr>
            <w:tcW w:w="8296" w:type="dxa"/>
            <w:gridSpan w:val="3"/>
            <w:tcBorders>
              <w:top w:val="single" w:sz="4" w:space="0" w:color="auto"/>
              <w:left w:val="nil"/>
              <w:bottom w:val="nil"/>
              <w:right w:val="nil"/>
            </w:tcBorders>
          </w:tcPr>
          <w:p w:rsidR="006D2155" w:rsidRPr="00C77E77" w:rsidRDefault="006D2155" w:rsidP="006D2155">
            <w:pPr>
              <w:spacing w:line="500" w:lineRule="exact"/>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36056D" w:rsidRPr="00C77E77">
              <w:rPr>
                <w:rFonts w:ascii="Times New Roman" w:eastAsia="標楷體" w:hAnsi="Times New Roman" w:cs="Times New Roman"/>
                <w:sz w:val="23"/>
                <w:szCs w:val="23"/>
              </w:rPr>
              <w:t>經濟部國貿局，</w:t>
            </w:r>
            <w:r w:rsidR="0036056D" w:rsidRPr="00C77E77">
              <w:rPr>
                <w:rFonts w:ascii="Times New Roman" w:eastAsia="標楷體" w:hAnsi="Times New Roman" w:cs="Times New Roman"/>
                <w:sz w:val="23"/>
                <w:szCs w:val="23"/>
              </w:rPr>
              <w:t>2016</w:t>
            </w:r>
            <w:r w:rsidR="0036056D"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，老撾市場概況。</w:t>
            </w:r>
          </w:p>
        </w:tc>
      </w:tr>
    </w:tbl>
    <w:p w:rsidR="00676357" w:rsidRPr="00C77E77" w:rsidRDefault="00676357" w:rsidP="006D2155">
      <w:pPr>
        <w:pStyle w:val="ab"/>
        <w:spacing w:beforeLines="50" w:before="180" w:afterLines="50" w:after="180" w:line="500" w:lineRule="exact"/>
        <w:ind w:leftChars="0" w:left="839"/>
        <w:rPr>
          <w:rFonts w:ascii="Times New Roman" w:eastAsia="標楷體" w:hAnsi="Times New Roman" w:cs="Times New Roman"/>
          <w:sz w:val="28"/>
          <w:szCs w:val="28"/>
        </w:rPr>
      </w:pPr>
    </w:p>
    <w:tbl>
      <w:tblPr>
        <w:tblStyle w:val="af4"/>
        <w:tblW w:w="0" w:type="auto"/>
        <w:jc w:val="center"/>
        <w:tblLook w:val="04A0" w:firstRow="1" w:lastRow="0" w:firstColumn="1" w:lastColumn="0" w:noHBand="0" w:noVBand="1"/>
      </w:tblPr>
      <w:tblGrid>
        <w:gridCol w:w="813"/>
        <w:gridCol w:w="1450"/>
        <w:gridCol w:w="6033"/>
      </w:tblGrid>
      <w:tr w:rsidR="006D2155" w:rsidRPr="00C77E77" w:rsidTr="006D2155">
        <w:trPr>
          <w:jc w:val="center"/>
        </w:trPr>
        <w:tc>
          <w:tcPr>
            <w:tcW w:w="8296" w:type="dxa"/>
            <w:gridSpan w:val="3"/>
            <w:tcBorders>
              <w:top w:val="nil"/>
              <w:left w:val="nil"/>
              <w:bottom w:val="single" w:sz="4" w:space="0" w:color="auto"/>
              <w:right w:val="nil"/>
            </w:tcBorders>
            <w:vAlign w:val="center"/>
          </w:tcPr>
          <w:p w:rsidR="006D2155" w:rsidRPr="00C77E77" w:rsidRDefault="006D2155" w:rsidP="006D2155">
            <w:pPr>
              <w:pStyle w:val="af9"/>
            </w:pPr>
            <w:bookmarkStart w:id="71" w:name="_Toc458184942"/>
            <w:bookmarkStart w:id="72" w:name="_Toc470676587"/>
            <w:r w:rsidRPr="00C77E77">
              <w:t>表</w:t>
            </w:r>
            <w:r w:rsidRPr="00C77E77">
              <w:t xml:space="preserve">2-3-10 </w:t>
            </w:r>
            <w:r w:rsidRPr="00C77E77">
              <w:t>汶萊產業發展、外人投資與貿易政策</w:t>
            </w:r>
            <w:bookmarkEnd w:id="71"/>
            <w:bookmarkEnd w:id="72"/>
          </w:p>
        </w:tc>
      </w:tr>
      <w:tr w:rsidR="006D2155" w:rsidRPr="00C77E77" w:rsidTr="006D2155">
        <w:trPr>
          <w:jc w:val="center"/>
        </w:trPr>
        <w:tc>
          <w:tcPr>
            <w:tcW w:w="813"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450"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6033"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石油和天然氣佔國內生產總值約</w:t>
            </w:r>
            <w:r w:rsidRPr="00C77E77">
              <w:rPr>
                <w:rFonts w:ascii="Times New Roman" w:eastAsia="標楷體" w:hAnsi="Times New Roman" w:cs="Times New Roman"/>
                <w:szCs w:val="28"/>
              </w:rPr>
              <w:t>60%</w:t>
            </w:r>
            <w:r w:rsidRPr="00C77E77">
              <w:rPr>
                <w:rFonts w:ascii="Times New Roman" w:eastAsia="標楷體" w:hAnsi="Times New Roman" w:cs="Times New Roman"/>
                <w:szCs w:val="28"/>
              </w:rPr>
              <w:t>，亦佔出口和國家財政收入的</w:t>
            </w:r>
            <w:r w:rsidRPr="00C77E77">
              <w:rPr>
                <w:rFonts w:ascii="Times New Roman" w:eastAsia="標楷體" w:hAnsi="Times New Roman" w:cs="Times New Roman"/>
                <w:szCs w:val="28"/>
              </w:rPr>
              <w:t>90%</w:t>
            </w:r>
            <w:r w:rsidRPr="00C77E77">
              <w:rPr>
                <w:rFonts w:ascii="Times New Roman" w:eastAsia="標楷體" w:hAnsi="Times New Roman" w:cs="Times New Roman"/>
                <w:szCs w:val="28"/>
              </w:rPr>
              <w:t>以上。</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雖是東協人口最少的國家，但豐富的石油及天然氣資源卻為文萊帶來極高的人均收入，是東協國家之中第二高，僅次於新加坡。此外，汶萊沒有徵收個人入息稅及資本所得稅。</w:t>
            </w:r>
          </w:p>
        </w:tc>
      </w:tr>
      <w:tr w:rsidR="006D2155" w:rsidRPr="00C77E77" w:rsidTr="006D2155">
        <w:trPr>
          <w:jc w:val="center"/>
        </w:trPr>
        <w:tc>
          <w:tcPr>
            <w:tcW w:w="813"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雖然一直依賴石油和天然氣，但是也曾嘗試發展多元化經濟。該國政府定出政策目標，以發展資訊及通訊科技作為新的經濟動力。然而，國際貨幣基金組織指出，汶萊首先需要改善其財政支出，推行改革，並應推動私營部門發展，以及繼續改善制度。</w:t>
            </w:r>
          </w:p>
        </w:tc>
      </w:tr>
      <w:tr w:rsidR="006D2155" w:rsidRPr="00C77E77" w:rsidTr="006D2155">
        <w:trPr>
          <w:jc w:val="center"/>
        </w:trPr>
        <w:tc>
          <w:tcPr>
            <w:tcW w:w="813" w:type="dxa"/>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50"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033"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汶萊經濟發展委員會</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Brunei Economic Development Board</w:t>
            </w:r>
            <w:r w:rsidRPr="00C77E77">
              <w:rPr>
                <w:rFonts w:ascii="Times New Roman" w:eastAsia="標楷體" w:hAnsi="Times New Roman" w:cs="Times New Roman"/>
                <w:szCs w:val="28"/>
              </w:rPr>
              <w:t>，簡稱</w:t>
            </w:r>
            <w:r w:rsidR="00C02C48" w:rsidRPr="00C77E77">
              <w:rPr>
                <w:rFonts w:ascii="Times New Roman" w:eastAsia="標楷體" w:hAnsi="Times New Roman" w:cs="Times New Roman"/>
                <w:szCs w:val="28"/>
              </w:rPr>
              <w:t>BEDB</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促進外商直接投資到當地，並向多個產業提供稅務優惠，包括飛機餐飲服務、紡織品以及電子產品和通訊設備製造。</w:t>
            </w:r>
          </w:p>
        </w:tc>
      </w:tr>
      <w:tr w:rsidR="00F47960" w:rsidRPr="00C77E77" w:rsidTr="006D2155">
        <w:trPr>
          <w:jc w:val="center"/>
        </w:trPr>
        <w:tc>
          <w:tcPr>
            <w:tcW w:w="813" w:type="dxa"/>
            <w:vMerge w:val="restart"/>
            <w:vAlign w:val="center"/>
          </w:tcPr>
          <w:p w:rsidR="00F47960" w:rsidRPr="00C77E77" w:rsidRDefault="00F47960" w:rsidP="00F47960">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關稅貿易</w:t>
            </w:r>
          </w:p>
        </w:tc>
        <w:tc>
          <w:tcPr>
            <w:tcW w:w="1450" w:type="dxa"/>
          </w:tcPr>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033" w:type="dxa"/>
          </w:tcPr>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 xml:space="preserve">: </w:t>
            </w:r>
            <w:r w:rsidRPr="00C77E77">
              <w:rPr>
                <w:rFonts w:ascii="Times New Roman" w:eastAsia="標楷體" w:hAnsi="Times New Roman" w:cs="Times New Roman"/>
                <w:szCs w:val="28"/>
              </w:rPr>
              <w:t>日本、智利、紐西蘭、新加坡</w:t>
            </w:r>
          </w:p>
        </w:tc>
      </w:tr>
      <w:tr w:rsidR="00F47960" w:rsidRPr="00C77E77" w:rsidTr="006D2155">
        <w:trPr>
          <w:jc w:val="center"/>
        </w:trPr>
        <w:tc>
          <w:tcPr>
            <w:tcW w:w="813" w:type="dxa"/>
            <w:vMerge/>
            <w:tcBorders>
              <w:bottom w:val="single" w:sz="4" w:space="0" w:color="auto"/>
            </w:tcBorders>
          </w:tcPr>
          <w:p w:rsidR="00F47960" w:rsidRPr="00C77E77" w:rsidRDefault="00F47960" w:rsidP="00F47960">
            <w:pPr>
              <w:spacing w:line="500" w:lineRule="exact"/>
              <w:rPr>
                <w:rFonts w:ascii="Times New Roman" w:eastAsia="標楷體" w:hAnsi="Times New Roman" w:cs="Times New Roman"/>
                <w:szCs w:val="28"/>
              </w:rPr>
            </w:pPr>
          </w:p>
        </w:tc>
        <w:tc>
          <w:tcPr>
            <w:tcW w:w="1450" w:type="dxa"/>
            <w:tcBorders>
              <w:bottom w:val="single" w:sz="4" w:space="0" w:color="auto"/>
            </w:tcBorders>
          </w:tcPr>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033" w:type="dxa"/>
            <w:tcBorders>
              <w:bottom w:val="single" w:sz="4" w:space="0" w:color="auto"/>
            </w:tcBorders>
          </w:tcPr>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已生效</w:t>
            </w:r>
            <w:r w:rsidRPr="00C77E77">
              <w:rPr>
                <w:rFonts w:ascii="Times New Roman" w:eastAsia="標楷體" w:hAnsi="Times New Roman" w:cs="Times New Roman"/>
                <w:szCs w:val="28"/>
              </w:rPr>
              <w:t>:</w:t>
            </w:r>
            <w:r w:rsidRPr="00C77E77">
              <w:rPr>
                <w:rFonts w:ascii="Times New Roman" w:eastAsia="標楷體" w:hAnsi="Times New Roman" w:cs="Times New Roman"/>
                <w:szCs w:val="24"/>
              </w:rPr>
              <w:t>東協自由貿易協定</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AFTA</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8"/>
              </w:rPr>
              <w:t>、東協成員與區域外國家簽訂之多邊協定，包含紐澳、印度、日本、韓國、中國大陸</w:t>
            </w:r>
          </w:p>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已簽署</w:t>
            </w:r>
            <w:r w:rsidRPr="00C77E77">
              <w:rPr>
                <w:rFonts w:ascii="Times New Roman" w:eastAsia="標楷體" w:hAnsi="Times New Roman" w:cs="Times New Roman"/>
                <w:szCs w:val="28"/>
              </w:rPr>
              <w:t xml:space="preserve">: </w:t>
            </w:r>
            <w:r w:rsidRPr="00C77E77">
              <w:rPr>
                <w:rFonts w:ascii="Times New Roman" w:eastAsia="標楷體" w:hAnsi="Times New Roman" w:cs="Times New Roman"/>
                <w:szCs w:val="28"/>
              </w:rPr>
              <w:t>跨太平洋夥伴關係協定</w:t>
            </w:r>
            <w:r w:rsidR="00C02C48"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TPP</w:t>
            </w:r>
            <w:r w:rsidR="00C02C48" w:rsidRPr="00C77E77">
              <w:rPr>
                <w:rFonts w:ascii="Times New Roman" w:eastAsia="標楷體" w:hAnsi="Times New Roman" w:cs="Times New Roman"/>
                <w:szCs w:val="28"/>
              </w:rPr>
              <w:t>）</w:t>
            </w:r>
          </w:p>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談判中</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區域全面經濟夥伴協定</w:t>
            </w:r>
            <w:r w:rsidR="00C02C48"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RCEP</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成員國</w:t>
            </w:r>
          </w:p>
        </w:tc>
      </w:tr>
      <w:tr w:rsidR="006D2155" w:rsidRPr="00C77E77" w:rsidTr="006D2155">
        <w:trPr>
          <w:jc w:val="center"/>
        </w:trPr>
        <w:tc>
          <w:tcPr>
            <w:tcW w:w="8296" w:type="dxa"/>
            <w:gridSpan w:val="3"/>
            <w:tcBorders>
              <w:top w:val="single" w:sz="4" w:space="0" w:color="auto"/>
              <w:left w:val="nil"/>
              <w:bottom w:val="nil"/>
              <w:right w:val="nil"/>
            </w:tcBorders>
          </w:tcPr>
          <w:p w:rsidR="006D2155" w:rsidRPr="00C77E77" w:rsidRDefault="006D2155" w:rsidP="006D2155">
            <w:pPr>
              <w:spacing w:line="500" w:lineRule="exact"/>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F47960" w:rsidRPr="00C77E77">
              <w:rPr>
                <w:rFonts w:ascii="Times New Roman" w:eastAsia="標楷體" w:hAnsi="Times New Roman" w:cs="Times New Roman"/>
                <w:sz w:val="23"/>
                <w:szCs w:val="23"/>
              </w:rPr>
              <w:t>經濟部國貿局，</w:t>
            </w:r>
            <w:r w:rsidR="00F47960" w:rsidRPr="00C77E77">
              <w:rPr>
                <w:rFonts w:ascii="Times New Roman" w:eastAsia="標楷體" w:hAnsi="Times New Roman" w:cs="Times New Roman"/>
                <w:sz w:val="23"/>
                <w:szCs w:val="23"/>
              </w:rPr>
              <w:t>2016</w:t>
            </w:r>
            <w:r w:rsidR="00F47960"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，文萊市場概況。</w:t>
            </w:r>
          </w:p>
        </w:tc>
      </w:tr>
    </w:tbl>
    <w:p w:rsidR="009B3E64" w:rsidRPr="00C77E77" w:rsidRDefault="009B3E64" w:rsidP="00676357">
      <w:pPr>
        <w:rPr>
          <w:rFonts w:ascii="Times New Roman" w:hAnsi="Times New Roman" w:cs="Times New Roman"/>
        </w:rPr>
      </w:pPr>
      <w:r w:rsidRPr="00C77E77">
        <w:rPr>
          <w:rFonts w:ascii="Times New Roman" w:hAnsi="Times New Roman" w:cs="Times New Roman"/>
        </w:rPr>
        <w:br w:type="page"/>
      </w:r>
    </w:p>
    <w:tbl>
      <w:tblPr>
        <w:tblStyle w:val="af4"/>
        <w:tblW w:w="0" w:type="auto"/>
        <w:jc w:val="center"/>
        <w:tblLook w:val="04A0" w:firstRow="1" w:lastRow="0" w:firstColumn="1" w:lastColumn="0" w:noHBand="0" w:noVBand="1"/>
      </w:tblPr>
      <w:tblGrid>
        <w:gridCol w:w="709"/>
        <w:gridCol w:w="1418"/>
        <w:gridCol w:w="6378"/>
      </w:tblGrid>
      <w:tr w:rsidR="006D2155" w:rsidRPr="00C77E77" w:rsidTr="00676357">
        <w:trPr>
          <w:jc w:val="center"/>
        </w:trPr>
        <w:tc>
          <w:tcPr>
            <w:tcW w:w="8505" w:type="dxa"/>
            <w:gridSpan w:val="3"/>
            <w:tcBorders>
              <w:top w:val="nil"/>
              <w:left w:val="nil"/>
              <w:bottom w:val="single" w:sz="4" w:space="0" w:color="auto"/>
              <w:right w:val="nil"/>
            </w:tcBorders>
            <w:vAlign w:val="center"/>
          </w:tcPr>
          <w:p w:rsidR="006D2155" w:rsidRPr="00C77E77" w:rsidRDefault="006D2155" w:rsidP="006D2155">
            <w:pPr>
              <w:pStyle w:val="af9"/>
            </w:pPr>
            <w:bookmarkStart w:id="73" w:name="_Toc458184943"/>
            <w:bookmarkStart w:id="74" w:name="_Toc470676588"/>
            <w:r w:rsidRPr="00C77E77">
              <w:lastRenderedPageBreak/>
              <w:t>表</w:t>
            </w:r>
            <w:r w:rsidRPr="00C77E77">
              <w:t xml:space="preserve">2-3-11 </w:t>
            </w:r>
            <w:r w:rsidRPr="00C77E77">
              <w:t>印度產業發展、外人投資與貿易政策</w:t>
            </w:r>
            <w:bookmarkEnd w:id="73"/>
            <w:bookmarkEnd w:id="74"/>
          </w:p>
        </w:tc>
      </w:tr>
      <w:tr w:rsidR="006D2155" w:rsidRPr="00C77E77" w:rsidTr="00676357">
        <w:trPr>
          <w:jc w:val="center"/>
        </w:trPr>
        <w:tc>
          <w:tcPr>
            <w:tcW w:w="709" w:type="dxa"/>
            <w:vMerge w:val="restart"/>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產業發展</w:t>
            </w:r>
          </w:p>
        </w:tc>
        <w:tc>
          <w:tcPr>
            <w:tcW w:w="1418" w:type="dxa"/>
            <w:tcBorders>
              <w:top w:val="single" w:sz="4" w:space="0" w:color="auto"/>
            </w:tcBorders>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產業分布</w:t>
            </w:r>
          </w:p>
        </w:tc>
        <w:tc>
          <w:tcPr>
            <w:tcW w:w="6378" w:type="dxa"/>
            <w:tcBorders>
              <w:top w:val="single" w:sz="4" w:space="0" w:color="auto"/>
            </w:tcBorders>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服務業（</w:t>
            </w:r>
            <w:r w:rsidRPr="00C77E77">
              <w:rPr>
                <w:rFonts w:ascii="Times New Roman" w:eastAsia="標楷體" w:hAnsi="Times New Roman" w:cs="Times New Roman"/>
                <w:szCs w:val="28"/>
              </w:rPr>
              <w:t>59</w:t>
            </w:r>
            <w:r w:rsidRPr="00C77E77">
              <w:rPr>
                <w:rFonts w:ascii="Times New Roman" w:eastAsia="標楷體" w:hAnsi="Times New Roman" w:cs="Times New Roman"/>
                <w:szCs w:val="28"/>
              </w:rPr>
              <w:t>％）、工業（</w:t>
            </w:r>
            <w:r w:rsidRPr="00C77E77">
              <w:rPr>
                <w:rFonts w:ascii="Times New Roman" w:eastAsia="標楷體" w:hAnsi="Times New Roman" w:cs="Times New Roman"/>
                <w:szCs w:val="28"/>
              </w:rPr>
              <w:t>24</w:t>
            </w:r>
            <w:r w:rsidRPr="00C77E77">
              <w:rPr>
                <w:rFonts w:ascii="Times New Roman" w:eastAsia="標楷體" w:hAnsi="Times New Roman" w:cs="Times New Roman"/>
                <w:szCs w:val="28"/>
              </w:rPr>
              <w:t>％）、農業（</w:t>
            </w:r>
            <w:r w:rsidRPr="00C77E77">
              <w:rPr>
                <w:rFonts w:ascii="Times New Roman" w:eastAsia="標楷體" w:hAnsi="Times New Roman" w:cs="Times New Roman"/>
                <w:szCs w:val="28"/>
              </w:rPr>
              <w:t>17</w:t>
            </w:r>
            <w:r w:rsidRPr="00C77E77">
              <w:rPr>
                <w:rFonts w:ascii="Times New Roman" w:eastAsia="標楷體" w:hAnsi="Times New Roman" w:cs="Times New Roman"/>
                <w:szCs w:val="28"/>
              </w:rPr>
              <w:t>％）</w:t>
            </w:r>
          </w:p>
        </w:tc>
      </w:tr>
      <w:tr w:rsidR="006D2155" w:rsidRPr="00C77E77" w:rsidTr="00676357">
        <w:trPr>
          <w:jc w:val="center"/>
        </w:trPr>
        <w:tc>
          <w:tcPr>
            <w:tcW w:w="709"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18" w:type="dxa"/>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主要行業</w:t>
            </w:r>
          </w:p>
        </w:tc>
        <w:tc>
          <w:tcPr>
            <w:tcW w:w="6378"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印度經濟在</w:t>
            </w: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年增長</w:t>
            </w:r>
            <w:r w:rsidRPr="00C77E77">
              <w:rPr>
                <w:rFonts w:ascii="Times New Roman" w:eastAsia="標楷體" w:hAnsi="Times New Roman" w:cs="Times New Roman"/>
                <w:szCs w:val="28"/>
              </w:rPr>
              <w:t>7.3%</w:t>
            </w:r>
            <w:r w:rsidRPr="00C77E77">
              <w:rPr>
                <w:rFonts w:ascii="Times New Roman" w:eastAsia="標楷體" w:hAnsi="Times New Roman" w:cs="Times New Roman"/>
                <w:szCs w:val="28"/>
              </w:rPr>
              <w:t>，工業及服務業是主要的增長動力</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分別增長</w:t>
            </w:r>
            <w:r w:rsidRPr="00C77E77">
              <w:rPr>
                <w:rFonts w:ascii="Times New Roman" w:eastAsia="標楷體" w:hAnsi="Times New Roman" w:cs="Times New Roman"/>
                <w:szCs w:val="28"/>
              </w:rPr>
              <w:t>7.5%</w:t>
            </w:r>
            <w:r w:rsidRPr="00C77E77">
              <w:rPr>
                <w:rFonts w:ascii="Times New Roman" w:eastAsia="標楷體" w:hAnsi="Times New Roman" w:cs="Times New Roman"/>
                <w:szCs w:val="28"/>
              </w:rPr>
              <w:t>及</w:t>
            </w:r>
            <w:r w:rsidR="00C02C48" w:rsidRPr="00C77E77">
              <w:rPr>
                <w:rFonts w:ascii="Times New Roman" w:eastAsia="標楷體" w:hAnsi="Times New Roman" w:cs="Times New Roman"/>
                <w:szCs w:val="28"/>
              </w:rPr>
              <w:t>7.2%</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，而農業增長緩慢，僅得</w:t>
            </w:r>
            <w:r w:rsidRPr="00C77E77">
              <w:rPr>
                <w:rFonts w:ascii="Times New Roman" w:eastAsia="標楷體" w:hAnsi="Times New Roman" w:cs="Times New Roman"/>
                <w:szCs w:val="28"/>
              </w:rPr>
              <w:t>1.7%</w:t>
            </w:r>
            <w:r w:rsidRPr="00C77E77">
              <w:rPr>
                <w:rFonts w:ascii="Times New Roman" w:eastAsia="標楷體" w:hAnsi="Times New Roman" w:cs="Times New Roman"/>
                <w:szCs w:val="28"/>
              </w:rPr>
              <w:t>。</w:t>
            </w:r>
          </w:p>
        </w:tc>
      </w:tr>
      <w:tr w:rsidR="006D2155" w:rsidRPr="00C77E77" w:rsidTr="00676357">
        <w:trPr>
          <w:jc w:val="center"/>
        </w:trPr>
        <w:tc>
          <w:tcPr>
            <w:tcW w:w="709"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18" w:type="dxa"/>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政策推動</w:t>
            </w:r>
          </w:p>
        </w:tc>
        <w:tc>
          <w:tcPr>
            <w:tcW w:w="6378"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•2015</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10</w:t>
            </w:r>
            <w:r w:rsidRPr="00C77E77">
              <w:rPr>
                <w:rFonts w:ascii="Times New Roman" w:eastAsia="標楷體" w:hAnsi="Times New Roman" w:cs="Times New Roman"/>
                <w:szCs w:val="28"/>
              </w:rPr>
              <w:t>月調高製衣工人之每月最低工資，增加</w:t>
            </w:r>
            <w:r w:rsidRPr="00C77E77">
              <w:rPr>
                <w:rFonts w:ascii="Times New Roman" w:eastAsia="標楷體" w:hAnsi="Times New Roman" w:cs="Times New Roman"/>
                <w:szCs w:val="28"/>
              </w:rPr>
              <w:t>9.4</w:t>
            </w:r>
            <w:r w:rsidRPr="00C77E77">
              <w:rPr>
                <w:rFonts w:ascii="Times New Roman" w:eastAsia="標楷體" w:hAnsi="Times New Roman" w:cs="Times New Roman"/>
                <w:szCs w:val="28"/>
              </w:rPr>
              <w:t>％至</w:t>
            </w:r>
            <w:r w:rsidRPr="00C77E77">
              <w:rPr>
                <w:rFonts w:ascii="Times New Roman" w:eastAsia="標楷體" w:hAnsi="Times New Roman" w:cs="Times New Roman"/>
                <w:szCs w:val="28"/>
              </w:rPr>
              <w:t>140</w:t>
            </w:r>
            <w:r w:rsidRPr="00C77E77">
              <w:rPr>
                <w:rFonts w:ascii="Times New Roman" w:eastAsia="標楷體" w:hAnsi="Times New Roman" w:cs="Times New Roman"/>
                <w:szCs w:val="28"/>
              </w:rPr>
              <w:t>美元</w:t>
            </w:r>
          </w:p>
        </w:tc>
      </w:tr>
      <w:tr w:rsidR="006D2155" w:rsidRPr="00C77E77" w:rsidTr="00676357">
        <w:trPr>
          <w:jc w:val="center"/>
        </w:trPr>
        <w:tc>
          <w:tcPr>
            <w:tcW w:w="709"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外人投資</w:t>
            </w:r>
          </w:p>
        </w:tc>
        <w:tc>
          <w:tcPr>
            <w:tcW w:w="1418" w:type="dxa"/>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開放範圍</w:t>
            </w:r>
          </w:p>
        </w:tc>
        <w:tc>
          <w:tcPr>
            <w:tcW w:w="6378"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印度總理莫迪推行經濟改革，包括放寬外商直接投資上限及「印度製造」倡議，後者的目標是透過外資製造商湧入將印度轉型為全球製造中心。</w:t>
            </w:r>
          </w:p>
        </w:tc>
      </w:tr>
      <w:tr w:rsidR="006D2155" w:rsidRPr="00C77E77" w:rsidTr="00676357">
        <w:trPr>
          <w:jc w:val="center"/>
        </w:trPr>
        <w:tc>
          <w:tcPr>
            <w:tcW w:w="709"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18" w:type="dxa"/>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政策優惠</w:t>
            </w:r>
          </w:p>
        </w:tc>
        <w:tc>
          <w:tcPr>
            <w:tcW w:w="6378"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印度的經濟政策旨在吸引大量資金持續流入，並鼓勵技術合作。除原子能、彩票、賭博和博彩，以及某些形式的零售業外，幾乎所有行業都開放外商投資。莫迪政府已放寬各個行業的外商直接投資規則</w:t>
            </w:r>
          </w:p>
        </w:tc>
      </w:tr>
      <w:tr w:rsidR="006D2155" w:rsidRPr="00C77E77" w:rsidTr="00676357">
        <w:trPr>
          <w:jc w:val="center"/>
        </w:trPr>
        <w:tc>
          <w:tcPr>
            <w:tcW w:w="709" w:type="dxa"/>
            <w:vMerge/>
            <w:vAlign w:val="center"/>
          </w:tcPr>
          <w:p w:rsidR="006D2155" w:rsidRPr="00C77E77" w:rsidRDefault="006D2155" w:rsidP="006D2155">
            <w:pPr>
              <w:spacing w:line="500" w:lineRule="exact"/>
              <w:jc w:val="center"/>
              <w:rPr>
                <w:rFonts w:ascii="Times New Roman" w:eastAsia="標楷體" w:hAnsi="Times New Roman" w:cs="Times New Roman"/>
                <w:b/>
                <w:szCs w:val="28"/>
              </w:rPr>
            </w:pPr>
          </w:p>
        </w:tc>
        <w:tc>
          <w:tcPr>
            <w:tcW w:w="1418" w:type="dxa"/>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官方資訊</w:t>
            </w:r>
          </w:p>
        </w:tc>
        <w:tc>
          <w:tcPr>
            <w:tcW w:w="6378"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有關外商直接投資的詳情可查閱印度產業政策及促進部</w:t>
            </w:r>
            <w:r w:rsidR="00C02C48" w:rsidRPr="00C77E77">
              <w:rPr>
                <w:rFonts w:ascii="Times New Roman" w:eastAsia="標楷體" w:hAnsi="Times New Roman" w:cs="Times New Roman"/>
                <w:szCs w:val="28"/>
              </w:rPr>
              <w:t>（</w:t>
            </w:r>
            <w:r w:rsidR="00C02C48" w:rsidRPr="00C77E77">
              <w:rPr>
                <w:rFonts w:ascii="Times New Roman" w:eastAsia="標楷體" w:hAnsi="Times New Roman" w:cs="Times New Roman"/>
                <w:szCs w:val="28"/>
              </w:rPr>
              <w:t>DIPP</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網頁。另一方面，該部與印度工商聯合會和各邦政府成立了一家合資企業，促進外商直接投資流入。</w:t>
            </w:r>
          </w:p>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印度投資局</w:t>
            </w:r>
            <w:r w:rsidR="00C02C48" w:rsidRPr="00C77E77">
              <w:rPr>
                <w:rFonts w:ascii="Times New Roman" w:eastAsia="標楷體" w:hAnsi="Times New Roman" w:cs="Times New Roman"/>
                <w:szCs w:val="28"/>
              </w:rPr>
              <w:t>（</w:t>
            </w:r>
            <w:r w:rsidRPr="00C77E77">
              <w:rPr>
                <w:rFonts w:ascii="Times New Roman" w:eastAsia="標楷體" w:hAnsi="Times New Roman" w:cs="Times New Roman"/>
                <w:szCs w:val="28"/>
              </w:rPr>
              <w:t>Invest India</w:t>
            </w:r>
            <w:r w:rsidRPr="00C77E77">
              <w:rPr>
                <w:rFonts w:ascii="Times New Roman" w:eastAsia="標楷體" w:hAnsi="Times New Roman" w:cs="Times New Roman"/>
                <w:szCs w:val="28"/>
              </w:rPr>
              <w:t>）負責促進和協助海外投資者到印度投資，是提供穿針引線服務的第一站。</w:t>
            </w:r>
          </w:p>
        </w:tc>
      </w:tr>
      <w:tr w:rsidR="006D2155" w:rsidRPr="00C77E77" w:rsidTr="00676357">
        <w:trPr>
          <w:jc w:val="center"/>
        </w:trPr>
        <w:tc>
          <w:tcPr>
            <w:tcW w:w="709" w:type="dxa"/>
            <w:vMerge w:val="restart"/>
            <w:vAlign w:val="center"/>
          </w:tcPr>
          <w:p w:rsidR="006D2155" w:rsidRPr="00C77E77" w:rsidRDefault="006D2155" w:rsidP="006D2155">
            <w:pPr>
              <w:spacing w:line="500" w:lineRule="exact"/>
              <w:jc w:val="center"/>
              <w:rPr>
                <w:rFonts w:ascii="Times New Roman" w:eastAsia="標楷體" w:hAnsi="Times New Roman" w:cs="Times New Roman"/>
                <w:b/>
                <w:szCs w:val="28"/>
              </w:rPr>
            </w:pPr>
            <w:r w:rsidRPr="00C77E77">
              <w:rPr>
                <w:rFonts w:ascii="Times New Roman" w:eastAsia="標楷體" w:hAnsi="Times New Roman" w:cs="Times New Roman"/>
                <w:b/>
                <w:szCs w:val="28"/>
              </w:rPr>
              <w:t>關稅貿易</w:t>
            </w:r>
          </w:p>
        </w:tc>
        <w:tc>
          <w:tcPr>
            <w:tcW w:w="1418" w:type="dxa"/>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開放項目</w:t>
            </w:r>
          </w:p>
        </w:tc>
        <w:tc>
          <w:tcPr>
            <w:tcW w:w="6378"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印度政府自</w:t>
            </w:r>
            <w:r w:rsidRPr="00C77E77">
              <w:rPr>
                <w:rFonts w:ascii="Times New Roman" w:eastAsia="標楷體" w:hAnsi="Times New Roman" w:cs="Times New Roman"/>
                <w:szCs w:val="28"/>
              </w:rPr>
              <w:t>1991</w:t>
            </w:r>
            <w:r w:rsidRPr="00C77E77">
              <w:rPr>
                <w:rFonts w:ascii="Times New Roman" w:eastAsia="標楷體" w:hAnsi="Times New Roman" w:cs="Times New Roman"/>
                <w:szCs w:val="28"/>
              </w:rPr>
              <w:t>年開始推動經濟自由化，之後一直致力建立更加開放的貿易體制，並已取消進口數量限制，簡化進口許可證的申請程序，以及降低進口關稅。</w:t>
            </w:r>
          </w:p>
        </w:tc>
      </w:tr>
      <w:tr w:rsidR="006D2155" w:rsidRPr="00C77E77" w:rsidTr="00676357">
        <w:trPr>
          <w:jc w:val="center"/>
        </w:trPr>
        <w:tc>
          <w:tcPr>
            <w:tcW w:w="709" w:type="dxa"/>
            <w:vMerge/>
          </w:tcPr>
          <w:p w:rsidR="006D2155" w:rsidRPr="00C77E77" w:rsidRDefault="006D2155" w:rsidP="006D2155">
            <w:pPr>
              <w:spacing w:line="500" w:lineRule="exact"/>
              <w:rPr>
                <w:rFonts w:ascii="Times New Roman" w:eastAsia="標楷體" w:hAnsi="Times New Roman" w:cs="Times New Roman"/>
                <w:szCs w:val="28"/>
              </w:rPr>
            </w:pPr>
          </w:p>
        </w:tc>
        <w:tc>
          <w:tcPr>
            <w:tcW w:w="1418" w:type="dxa"/>
            <w:vAlign w:val="center"/>
          </w:tcPr>
          <w:p w:rsidR="006D2155" w:rsidRPr="00C77E77" w:rsidRDefault="006D2155" w:rsidP="006D2155">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關稅</w:t>
            </w:r>
          </w:p>
        </w:tc>
        <w:tc>
          <w:tcPr>
            <w:tcW w:w="6378" w:type="dxa"/>
          </w:tcPr>
          <w:p w:rsidR="006D2155" w:rsidRPr="00C77E77" w:rsidRDefault="006D2155" w:rsidP="006D2155">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•1992</w:t>
            </w:r>
            <w:r w:rsidRPr="00C77E77">
              <w:rPr>
                <w:rFonts w:ascii="Times New Roman" w:eastAsia="標楷體" w:hAnsi="Times New Roman" w:cs="Times New Roman"/>
                <w:szCs w:val="28"/>
              </w:rPr>
              <w:t>年，該國政府放寬了對進口機械設備的許可證規定；</w:t>
            </w:r>
            <w:r w:rsidRPr="00C77E77">
              <w:rPr>
                <w:rFonts w:ascii="Times New Roman" w:eastAsia="標楷體" w:hAnsi="Times New Roman" w:cs="Times New Roman"/>
                <w:szCs w:val="28"/>
              </w:rPr>
              <w:t>2001</w:t>
            </w:r>
            <w:r w:rsidRPr="00C77E77">
              <w:rPr>
                <w:rFonts w:ascii="Times New Roman" w:eastAsia="標楷體" w:hAnsi="Times New Roman" w:cs="Times New Roman"/>
                <w:szCs w:val="28"/>
              </w:rPr>
              <w:t>年</w:t>
            </w:r>
            <w:r w:rsidRPr="00C77E77">
              <w:rPr>
                <w:rFonts w:ascii="Times New Roman" w:eastAsia="標楷體" w:hAnsi="Times New Roman" w:cs="Times New Roman"/>
                <w:szCs w:val="28"/>
              </w:rPr>
              <w:t>3</w:t>
            </w:r>
            <w:r w:rsidRPr="00C77E77">
              <w:rPr>
                <w:rFonts w:ascii="Times New Roman" w:eastAsia="標楷體" w:hAnsi="Times New Roman" w:cs="Times New Roman"/>
                <w:szCs w:val="28"/>
              </w:rPr>
              <w:t>月，取消了特別進口許可證制度和限制進口清單，只保留一份涉及少數類別產品的禁止進口清單。</w:t>
            </w:r>
          </w:p>
        </w:tc>
      </w:tr>
      <w:tr w:rsidR="00F47960" w:rsidRPr="00C77E77" w:rsidTr="00676357">
        <w:trPr>
          <w:jc w:val="center"/>
        </w:trPr>
        <w:tc>
          <w:tcPr>
            <w:tcW w:w="709" w:type="dxa"/>
            <w:vMerge/>
          </w:tcPr>
          <w:p w:rsidR="00F47960" w:rsidRPr="00C77E77" w:rsidRDefault="00F47960" w:rsidP="00F47960">
            <w:pPr>
              <w:spacing w:line="500" w:lineRule="exact"/>
              <w:rPr>
                <w:rFonts w:ascii="Times New Roman" w:eastAsia="標楷體" w:hAnsi="Times New Roman" w:cs="Times New Roman"/>
                <w:szCs w:val="28"/>
              </w:rPr>
            </w:pPr>
          </w:p>
        </w:tc>
        <w:tc>
          <w:tcPr>
            <w:tcW w:w="1418" w:type="dxa"/>
            <w:vAlign w:val="center"/>
          </w:tcPr>
          <w:p w:rsidR="00F47960" w:rsidRPr="00C77E77" w:rsidRDefault="00F47960" w:rsidP="00F47960">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雙邊協定</w:t>
            </w:r>
          </w:p>
        </w:tc>
        <w:tc>
          <w:tcPr>
            <w:tcW w:w="6378" w:type="dxa"/>
          </w:tcPr>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孟中印緬經濟走廊：在「一帶一路」倡議下，中國大陸擬與區內多個國家建立經濟走廊，其中包括中印兩國於</w:t>
            </w:r>
            <w:r w:rsidRPr="00C77E77">
              <w:rPr>
                <w:rFonts w:ascii="Times New Roman" w:eastAsia="標楷體" w:hAnsi="Times New Roman" w:cs="Times New Roman"/>
                <w:szCs w:val="28"/>
              </w:rPr>
              <w:t>2013</w:t>
            </w:r>
            <w:r w:rsidRPr="00C77E77">
              <w:rPr>
                <w:rFonts w:ascii="Times New Roman" w:eastAsia="標楷體" w:hAnsi="Times New Roman" w:cs="Times New Roman"/>
                <w:szCs w:val="28"/>
              </w:rPr>
              <w:lastRenderedPageBreak/>
              <w:t>年共同提議設立的孟加拉</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中國大陸</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w:t>
            </w:r>
            <w:r w:rsidRPr="00C77E77">
              <w:rPr>
                <w:rFonts w:ascii="Times New Roman" w:eastAsia="標楷體" w:hAnsi="Times New Roman" w:cs="Times New Roman"/>
                <w:szCs w:val="28"/>
              </w:rPr>
              <w:t>—</w:t>
            </w:r>
            <w:r w:rsidRPr="00C77E77">
              <w:rPr>
                <w:rFonts w:ascii="Times New Roman" w:eastAsia="標楷體" w:hAnsi="Times New Roman" w:cs="Times New Roman"/>
                <w:szCs w:val="28"/>
              </w:rPr>
              <w:t>緬甸經濟走廊。預料孟中印緬走廊有助促進有關國家的貿易及投資活動，尤其是加強與印度東北邦份的貿易。</w:t>
            </w:r>
          </w:p>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已與多個國家及地區簽訂自由貿易協定或經濟合作協定，包括新加坡、馬來西亞、斯里蘭卡、尼泊爾、不丹、東盟、韓國、芬蘭、智利及日本。目前，印度正與泰國、澳洲、紐西蘭、加拿大、印尼、以色列、土耳其、秘魯、東南非共同市場、北美自由貿易區、歐盟及</w:t>
            </w:r>
            <w:r w:rsidRPr="00C77E77">
              <w:rPr>
                <w:rFonts w:ascii="Times New Roman" w:eastAsia="標楷體" w:hAnsi="Times New Roman" w:cs="Times New Roman"/>
                <w:szCs w:val="24"/>
              </w:rPr>
              <w:t>歐洲自由貿易聯盟</w:t>
            </w:r>
            <w:r w:rsidRPr="00C77E77">
              <w:rPr>
                <w:rFonts w:ascii="Times New Roman" w:eastAsia="標楷體" w:hAnsi="Times New Roman" w:cs="Times New Roman"/>
                <w:szCs w:val="28"/>
              </w:rPr>
              <w:t>磋商自由貿易協定及經濟合作協定。</w:t>
            </w:r>
          </w:p>
        </w:tc>
      </w:tr>
      <w:tr w:rsidR="00F47960" w:rsidRPr="00C77E77" w:rsidTr="00676357">
        <w:trPr>
          <w:jc w:val="center"/>
        </w:trPr>
        <w:tc>
          <w:tcPr>
            <w:tcW w:w="709" w:type="dxa"/>
            <w:vMerge/>
            <w:tcBorders>
              <w:bottom w:val="single" w:sz="4" w:space="0" w:color="auto"/>
            </w:tcBorders>
          </w:tcPr>
          <w:p w:rsidR="00F47960" w:rsidRPr="00C77E77" w:rsidRDefault="00F47960" w:rsidP="00F47960">
            <w:pPr>
              <w:spacing w:line="500" w:lineRule="exact"/>
              <w:rPr>
                <w:rFonts w:ascii="Times New Roman" w:eastAsia="標楷體" w:hAnsi="Times New Roman" w:cs="Times New Roman"/>
                <w:szCs w:val="28"/>
              </w:rPr>
            </w:pPr>
          </w:p>
        </w:tc>
        <w:tc>
          <w:tcPr>
            <w:tcW w:w="1418" w:type="dxa"/>
            <w:tcBorders>
              <w:bottom w:val="single" w:sz="4" w:space="0" w:color="auto"/>
            </w:tcBorders>
            <w:vAlign w:val="center"/>
          </w:tcPr>
          <w:p w:rsidR="00F47960" w:rsidRPr="00C77E77" w:rsidRDefault="00F47960" w:rsidP="00F47960">
            <w:pPr>
              <w:spacing w:line="500" w:lineRule="exact"/>
              <w:jc w:val="center"/>
              <w:rPr>
                <w:rFonts w:ascii="Times New Roman" w:eastAsia="標楷體" w:hAnsi="Times New Roman" w:cs="Times New Roman"/>
                <w:szCs w:val="28"/>
              </w:rPr>
            </w:pPr>
            <w:r w:rsidRPr="00C77E77">
              <w:rPr>
                <w:rFonts w:ascii="Times New Roman" w:eastAsia="標楷體" w:hAnsi="Times New Roman" w:cs="Times New Roman"/>
                <w:szCs w:val="28"/>
              </w:rPr>
              <w:t>多邊協定</w:t>
            </w:r>
          </w:p>
        </w:tc>
        <w:tc>
          <w:tcPr>
            <w:tcW w:w="6378" w:type="dxa"/>
            <w:tcBorders>
              <w:bottom w:val="single" w:sz="4" w:space="0" w:color="auto"/>
            </w:tcBorders>
          </w:tcPr>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印度已洽簽南方共同市場優惠關稅協定、亞太貿易協定、南亞自由貿易協定、南亞區域合作聯盟服務業貿易協定。</w:t>
            </w:r>
          </w:p>
          <w:p w:rsidR="00F47960" w:rsidRPr="00C77E77" w:rsidRDefault="00F47960" w:rsidP="00F47960">
            <w:pPr>
              <w:spacing w:line="500" w:lineRule="exact"/>
              <w:rPr>
                <w:rFonts w:ascii="Times New Roman" w:eastAsia="標楷體" w:hAnsi="Times New Roman" w:cs="Times New Roman"/>
                <w:szCs w:val="28"/>
              </w:rPr>
            </w:pPr>
            <w:r w:rsidRPr="00C77E77">
              <w:rPr>
                <w:rFonts w:ascii="Times New Roman" w:eastAsia="標楷體" w:hAnsi="Times New Roman" w:cs="Times New Roman"/>
                <w:szCs w:val="28"/>
              </w:rPr>
              <w:t>•</w:t>
            </w:r>
            <w:r w:rsidRPr="00C77E77">
              <w:rPr>
                <w:rFonts w:ascii="Times New Roman" w:eastAsia="標楷體" w:hAnsi="Times New Roman" w:cs="Times New Roman"/>
                <w:szCs w:val="28"/>
              </w:rPr>
              <w:t>目前正進行孟加拉灣自由貿易協定、海灣合作理事會自由貿易協定、南部非洲關稅同盟、亞太貿易協定等磋商中。</w:t>
            </w:r>
          </w:p>
        </w:tc>
      </w:tr>
      <w:tr w:rsidR="006D2155" w:rsidRPr="00C77E77" w:rsidTr="00676357">
        <w:trPr>
          <w:jc w:val="center"/>
        </w:trPr>
        <w:tc>
          <w:tcPr>
            <w:tcW w:w="8505" w:type="dxa"/>
            <w:gridSpan w:val="3"/>
            <w:tcBorders>
              <w:top w:val="single" w:sz="4" w:space="0" w:color="auto"/>
              <w:left w:val="nil"/>
              <w:bottom w:val="nil"/>
              <w:right w:val="nil"/>
            </w:tcBorders>
          </w:tcPr>
          <w:p w:rsidR="006D2155" w:rsidRPr="00C77E77" w:rsidRDefault="006D2155" w:rsidP="00CF6371">
            <w:pPr>
              <w:spacing w:line="500" w:lineRule="exact"/>
              <w:ind w:left="1166" w:hangingChars="507" w:hanging="1166"/>
              <w:rPr>
                <w:rFonts w:ascii="Times New Roman" w:eastAsia="標楷體" w:hAnsi="Times New Roman" w:cs="Times New Roman"/>
                <w:sz w:val="23"/>
                <w:szCs w:val="23"/>
              </w:rPr>
            </w:pPr>
            <w:r w:rsidRPr="00C77E77">
              <w:rPr>
                <w:rFonts w:ascii="Times New Roman" w:eastAsia="標楷體" w:hAnsi="Times New Roman" w:cs="Times New Roman"/>
                <w:sz w:val="23"/>
                <w:szCs w:val="23"/>
              </w:rPr>
              <w:t>資料來源：本研究整理自：</w:t>
            </w:r>
            <w:r w:rsidR="00F47960" w:rsidRPr="00C77E77">
              <w:rPr>
                <w:rFonts w:ascii="Times New Roman" w:eastAsia="標楷體" w:hAnsi="Times New Roman" w:cs="Times New Roman"/>
                <w:sz w:val="23"/>
                <w:szCs w:val="23"/>
              </w:rPr>
              <w:t>經濟部國貿局，</w:t>
            </w:r>
            <w:r w:rsidR="00F47960" w:rsidRPr="00C77E77">
              <w:rPr>
                <w:rFonts w:ascii="Times New Roman" w:eastAsia="標楷體" w:hAnsi="Times New Roman" w:cs="Times New Roman"/>
                <w:sz w:val="23"/>
                <w:szCs w:val="23"/>
              </w:rPr>
              <w:t>2016</w:t>
            </w:r>
            <w:r w:rsidR="00F47960" w:rsidRPr="00C77E77">
              <w:rPr>
                <w:rFonts w:ascii="Times New Roman" w:eastAsia="標楷體" w:hAnsi="Times New Roman" w:cs="Times New Roman"/>
                <w:sz w:val="23"/>
                <w:szCs w:val="23"/>
              </w:rPr>
              <w:t>；</w:t>
            </w:r>
            <w:r w:rsidRPr="00C77E77">
              <w:rPr>
                <w:rFonts w:ascii="Times New Roman" w:eastAsia="標楷體" w:hAnsi="Times New Roman" w:cs="Times New Roman"/>
                <w:sz w:val="23"/>
                <w:szCs w:val="23"/>
              </w:rPr>
              <w:t>經濟部投資業務處，</w:t>
            </w:r>
            <w:r w:rsidRPr="00C77E77">
              <w:rPr>
                <w:rFonts w:ascii="Times New Roman" w:eastAsia="標楷體" w:hAnsi="Times New Roman" w:cs="Times New Roman"/>
                <w:sz w:val="23"/>
                <w:szCs w:val="23"/>
              </w:rPr>
              <w:t>2015</w:t>
            </w:r>
            <w:r w:rsidRPr="00C77E77">
              <w:rPr>
                <w:rFonts w:ascii="Times New Roman" w:eastAsia="標楷體" w:hAnsi="Times New Roman" w:cs="Times New Roman"/>
                <w:sz w:val="23"/>
                <w:szCs w:val="23"/>
              </w:rPr>
              <w:t>，印度投資環境簡介；香港貿易發展局，</w:t>
            </w:r>
            <w:r w:rsidRPr="00C77E77">
              <w:rPr>
                <w:rFonts w:ascii="Times New Roman" w:eastAsia="標楷體" w:hAnsi="Times New Roman" w:cs="Times New Roman"/>
                <w:sz w:val="23"/>
                <w:szCs w:val="23"/>
              </w:rPr>
              <w:t>2016</w:t>
            </w:r>
            <w:r w:rsidRPr="00C77E77">
              <w:rPr>
                <w:rFonts w:ascii="Times New Roman" w:eastAsia="標楷體" w:hAnsi="Times New Roman" w:cs="Times New Roman"/>
                <w:sz w:val="23"/>
                <w:szCs w:val="23"/>
              </w:rPr>
              <w:t>，印度市場概況。</w:t>
            </w:r>
          </w:p>
        </w:tc>
      </w:tr>
    </w:tbl>
    <w:p w:rsidR="009E0EE3" w:rsidRPr="00C77E77" w:rsidRDefault="009E0EE3" w:rsidP="007B0F35">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統整上表</w:t>
      </w:r>
      <w:r w:rsidRPr="00C77E77">
        <w:rPr>
          <w:rFonts w:ascii="Times New Roman" w:eastAsia="標楷體" w:hAnsi="Times New Roman" w:cs="Times New Roman"/>
          <w:sz w:val="28"/>
          <w:szCs w:val="28"/>
        </w:rPr>
        <w:t>2-3-1</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2-3-11</w:t>
      </w:r>
      <w:r w:rsidR="00E31DEC" w:rsidRPr="00C77E77">
        <w:rPr>
          <w:rFonts w:ascii="Times New Roman" w:eastAsia="標楷體" w:hAnsi="Times New Roman" w:cs="Times New Roman"/>
          <w:sz w:val="28"/>
          <w:szCs w:val="28"/>
        </w:rPr>
        <w:t>東南亞各國與印度</w:t>
      </w:r>
      <w:r w:rsidRPr="00C77E77">
        <w:rPr>
          <w:rFonts w:ascii="Times New Roman" w:eastAsia="標楷體" w:hAnsi="Times New Roman" w:cs="Times New Roman"/>
          <w:sz w:val="28"/>
          <w:szCs w:val="28"/>
        </w:rPr>
        <w:t>之「開放外人投資」之重點項目於下表</w:t>
      </w:r>
      <w:r w:rsidRPr="00C77E77">
        <w:rPr>
          <w:rFonts w:ascii="Times New Roman" w:eastAsia="標楷體" w:hAnsi="Times New Roman" w:cs="Times New Roman"/>
          <w:sz w:val="28"/>
          <w:szCs w:val="28"/>
        </w:rPr>
        <w:t>2-3-12</w:t>
      </w:r>
      <w:r w:rsidRPr="00C77E77">
        <w:rPr>
          <w:rFonts w:ascii="Times New Roman" w:eastAsia="標楷體" w:hAnsi="Times New Roman" w:cs="Times New Roman"/>
          <w:sz w:val="28"/>
          <w:szCs w:val="28"/>
        </w:rPr>
        <w:t>，供我國相關產業赴</w:t>
      </w:r>
      <w:r w:rsidR="00D959C2" w:rsidRPr="00C77E77">
        <w:rPr>
          <w:rFonts w:ascii="Times New Roman" w:eastAsia="標楷體" w:hAnsi="Times New Roman" w:cs="Times New Roman"/>
          <w:sz w:val="28"/>
          <w:szCs w:val="28"/>
        </w:rPr>
        <w:t>海外</w:t>
      </w:r>
      <w:r w:rsidRPr="00C77E77">
        <w:rPr>
          <w:rFonts w:ascii="Times New Roman" w:eastAsia="標楷體" w:hAnsi="Times New Roman" w:cs="Times New Roman"/>
          <w:sz w:val="28"/>
          <w:szCs w:val="28"/>
        </w:rPr>
        <w:t>投資之參考：</w:t>
      </w:r>
    </w:p>
    <w:tbl>
      <w:tblPr>
        <w:tblStyle w:val="af4"/>
        <w:tblW w:w="5000" w:type="pct"/>
        <w:tblLook w:val="04A0" w:firstRow="1" w:lastRow="0" w:firstColumn="1" w:lastColumn="0" w:noHBand="0" w:noVBand="1"/>
      </w:tblPr>
      <w:tblGrid>
        <w:gridCol w:w="799"/>
        <w:gridCol w:w="8629"/>
      </w:tblGrid>
      <w:tr w:rsidR="000303D9" w:rsidRPr="00C77E77" w:rsidTr="00D959C2">
        <w:tc>
          <w:tcPr>
            <w:tcW w:w="5000" w:type="pct"/>
            <w:gridSpan w:val="2"/>
            <w:tcBorders>
              <w:top w:val="nil"/>
              <w:left w:val="nil"/>
              <w:bottom w:val="single" w:sz="4" w:space="0" w:color="auto"/>
              <w:right w:val="nil"/>
            </w:tcBorders>
          </w:tcPr>
          <w:p w:rsidR="00D959C2" w:rsidRPr="00C77E77" w:rsidRDefault="00D959C2" w:rsidP="00884176">
            <w:pPr>
              <w:pStyle w:val="af9"/>
              <w:spacing w:beforeLines="50" w:before="180" w:afterLines="50" w:after="180" w:line="500" w:lineRule="exact"/>
              <w:rPr>
                <w:color w:val="auto"/>
              </w:rPr>
            </w:pPr>
            <w:bookmarkStart w:id="75" w:name="_Toc470676589"/>
            <w:r w:rsidRPr="00C77E77">
              <w:rPr>
                <w:color w:val="auto"/>
              </w:rPr>
              <w:t>表</w:t>
            </w:r>
            <w:r w:rsidRPr="00C77E77">
              <w:rPr>
                <w:color w:val="auto"/>
              </w:rPr>
              <w:t xml:space="preserve">2-3-12 </w:t>
            </w:r>
            <w:r w:rsidRPr="00C77E77">
              <w:rPr>
                <w:color w:val="auto"/>
              </w:rPr>
              <w:t>東南亞各國與印度開放外人投資之重點項目</w:t>
            </w:r>
            <w:bookmarkEnd w:id="75"/>
          </w:p>
        </w:tc>
      </w:tr>
      <w:tr w:rsidR="009551A7" w:rsidRPr="00C77E77" w:rsidTr="009551A7">
        <w:trPr>
          <w:cantSplit/>
          <w:trHeight w:val="1134"/>
        </w:trPr>
        <w:tc>
          <w:tcPr>
            <w:tcW w:w="424" w:type="pct"/>
            <w:tcBorders>
              <w:top w:val="single" w:sz="4" w:space="0" w:color="auto"/>
            </w:tcBorders>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新加坡</w:t>
            </w:r>
          </w:p>
        </w:tc>
        <w:tc>
          <w:tcPr>
            <w:tcW w:w="4576" w:type="pct"/>
            <w:tcBorders>
              <w:top w:val="single" w:sz="4" w:space="0" w:color="auto"/>
            </w:tcBorders>
          </w:tcPr>
          <w:p w:rsidR="00D959C2" w:rsidRPr="00C77E77" w:rsidRDefault="00D959C2" w:rsidP="0001327A">
            <w:pPr>
              <w:pStyle w:val="ab"/>
              <w:numPr>
                <w:ilvl w:val="0"/>
                <w:numId w:val="68"/>
              </w:numPr>
              <w:ind w:leftChars="0" w:left="182" w:hanging="218"/>
              <w:rPr>
                <w:rFonts w:ascii="Times New Roman" w:eastAsia="標楷體" w:hAnsi="Times New Roman" w:cs="Times New Roman"/>
                <w:szCs w:val="24"/>
              </w:rPr>
            </w:pPr>
            <w:r w:rsidRPr="00C77E77">
              <w:rPr>
                <w:rFonts w:ascii="Times New Roman" w:eastAsia="標楷體" w:hAnsi="Times New Roman" w:cs="Times New Roman"/>
                <w:szCs w:val="24"/>
              </w:rPr>
              <w:t>歡迎各企業運用新加坡為策略性發展之跳板。</w:t>
            </w:r>
            <w:r w:rsidRPr="00C77E77">
              <w:rPr>
                <w:rFonts w:ascii="Times New Roman" w:eastAsia="標楷體" w:hAnsi="Times New Roman" w:cs="Times New Roman"/>
                <w:szCs w:val="24"/>
              </w:rPr>
              <w:tab/>
            </w:r>
          </w:p>
          <w:p w:rsidR="00D959C2" w:rsidRPr="00C77E77" w:rsidRDefault="00D959C2" w:rsidP="0001327A">
            <w:pPr>
              <w:pStyle w:val="ab"/>
              <w:numPr>
                <w:ilvl w:val="0"/>
                <w:numId w:val="68"/>
              </w:numPr>
              <w:ind w:leftChars="0" w:left="182" w:hanging="218"/>
              <w:rPr>
                <w:rFonts w:ascii="Times New Roman" w:eastAsia="標楷體" w:hAnsi="Times New Roman" w:cs="Times New Roman"/>
                <w:szCs w:val="24"/>
              </w:rPr>
            </w:pPr>
            <w:r w:rsidRPr="00C77E77">
              <w:rPr>
                <w:rFonts w:ascii="Times New Roman" w:eastAsia="標楷體" w:hAnsi="Times New Roman" w:cs="Times New Roman"/>
                <w:szCs w:val="24"/>
              </w:rPr>
              <w:t>開發及費用列支優惠、企業所得稅減免。</w:t>
            </w:r>
            <w:r w:rsidRPr="00C77E77">
              <w:rPr>
                <w:rFonts w:ascii="Times New Roman" w:eastAsia="標楷體" w:hAnsi="Times New Roman" w:cs="Times New Roman"/>
                <w:szCs w:val="24"/>
              </w:rPr>
              <w:tab/>
            </w:r>
          </w:p>
        </w:tc>
      </w:tr>
      <w:tr w:rsidR="009551A7" w:rsidRPr="00C77E77" w:rsidTr="009551A7">
        <w:trPr>
          <w:cantSplit/>
          <w:trHeight w:val="1134"/>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印尼</w:t>
            </w:r>
          </w:p>
        </w:tc>
        <w:tc>
          <w:tcPr>
            <w:tcW w:w="4576" w:type="pct"/>
          </w:tcPr>
          <w:p w:rsidR="00D959C2" w:rsidRPr="00C77E77" w:rsidRDefault="00D959C2" w:rsidP="0001327A">
            <w:pPr>
              <w:pStyle w:val="ab"/>
              <w:numPr>
                <w:ilvl w:val="0"/>
                <w:numId w:val="69"/>
              </w:numPr>
              <w:ind w:leftChars="0" w:left="182" w:hanging="196"/>
              <w:rPr>
                <w:rFonts w:ascii="Times New Roman" w:eastAsia="標楷體" w:hAnsi="Times New Roman" w:cs="Times New Roman"/>
                <w:szCs w:val="24"/>
              </w:rPr>
            </w:pPr>
            <w:r w:rsidRPr="00C77E77">
              <w:rPr>
                <w:rFonts w:ascii="Times New Roman" w:eastAsia="標楷體" w:hAnsi="Times New Roman" w:cs="Times New Roman"/>
                <w:szCs w:val="24"/>
              </w:rPr>
              <w:t>印尼投資統籌局所列負面清單以外之項目。</w:t>
            </w:r>
          </w:p>
          <w:p w:rsidR="00D959C2" w:rsidRPr="00C77E77" w:rsidRDefault="00D959C2" w:rsidP="0001327A">
            <w:pPr>
              <w:pStyle w:val="ab"/>
              <w:numPr>
                <w:ilvl w:val="0"/>
                <w:numId w:val="69"/>
              </w:numPr>
              <w:ind w:leftChars="0" w:left="182" w:hanging="196"/>
              <w:rPr>
                <w:rFonts w:ascii="Times New Roman" w:eastAsia="標楷體" w:hAnsi="Times New Roman" w:cs="Times New Roman"/>
                <w:szCs w:val="24"/>
              </w:rPr>
            </w:pPr>
            <w:r w:rsidRPr="00C77E77">
              <w:rPr>
                <w:rFonts w:ascii="Times New Roman" w:eastAsia="標楷體" w:hAnsi="Times New Roman" w:cs="Times New Roman"/>
                <w:szCs w:val="24"/>
              </w:rPr>
              <w:t>2014</w:t>
            </w:r>
            <w:r w:rsidRPr="00C77E77">
              <w:rPr>
                <w:rFonts w:ascii="Times New Roman" w:eastAsia="標楷體" w:hAnsi="Times New Roman" w:cs="Times New Roman"/>
                <w:szCs w:val="24"/>
              </w:rPr>
              <w:t>年修訂負面清單，降低倉儲及配送業務之外資持股上限至</w:t>
            </w:r>
            <w:r w:rsidRPr="00C77E77">
              <w:rPr>
                <w:rFonts w:ascii="Times New Roman" w:eastAsia="標楷體" w:hAnsi="Times New Roman" w:cs="Times New Roman"/>
                <w:szCs w:val="24"/>
              </w:rPr>
              <w:t>33</w:t>
            </w:r>
            <w:r w:rsidRPr="00C77E77">
              <w:rPr>
                <w:rFonts w:ascii="Times New Roman" w:eastAsia="標楷體" w:hAnsi="Times New Roman" w:cs="Times New Roman"/>
                <w:szCs w:val="24"/>
              </w:rPr>
              <w:t>％，同時開放製藥電訊服務建設公路運輸設施和貨運站。</w:t>
            </w:r>
          </w:p>
        </w:tc>
      </w:tr>
      <w:tr w:rsidR="009551A7" w:rsidRPr="00C77E77" w:rsidTr="009551A7">
        <w:trPr>
          <w:cantSplit/>
          <w:trHeight w:val="1134"/>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lastRenderedPageBreak/>
              <w:t>泰國</w:t>
            </w:r>
          </w:p>
        </w:tc>
        <w:tc>
          <w:tcPr>
            <w:tcW w:w="4576" w:type="pct"/>
          </w:tcPr>
          <w:p w:rsidR="00D959C2" w:rsidRPr="00C77E77" w:rsidRDefault="00D959C2" w:rsidP="0001327A">
            <w:pPr>
              <w:pStyle w:val="ab"/>
              <w:numPr>
                <w:ilvl w:val="0"/>
                <w:numId w:val="70"/>
              </w:numPr>
              <w:ind w:leftChars="-15" w:left="180" w:hangingChars="90" w:hanging="216"/>
              <w:rPr>
                <w:rFonts w:ascii="Times New Roman" w:eastAsia="標楷體" w:hAnsi="Times New Roman" w:cs="Times New Roman"/>
                <w:szCs w:val="24"/>
              </w:rPr>
            </w:pPr>
            <w:r w:rsidRPr="00C77E77">
              <w:rPr>
                <w:rFonts w:ascii="Times New Roman" w:eastAsia="標楷體" w:hAnsi="Times New Roman" w:cs="Times New Roman"/>
                <w:szCs w:val="24"/>
              </w:rPr>
              <w:t>農業、礦冶業、輕工業、金屬加工及機械製造、電子業、化學及塑膠業、服務及能源業等七大產業享有稅務優惠</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企業所得稅減免</w:t>
            </w:r>
            <w:r w:rsidRPr="00C77E77">
              <w:rPr>
                <w:rFonts w:ascii="Times New Roman" w:eastAsia="標楷體" w:hAnsi="Times New Roman" w:cs="Times New Roman"/>
                <w:szCs w:val="24"/>
              </w:rPr>
              <w:t>13</w:t>
            </w:r>
            <w:r w:rsidRPr="00C77E77">
              <w:rPr>
                <w:rFonts w:ascii="Times New Roman" w:eastAsia="標楷體" w:hAnsi="Times New Roman" w:cs="Times New Roman"/>
                <w:szCs w:val="24"/>
              </w:rPr>
              <w:t>年且免稅期後享</w:t>
            </w:r>
            <w:r w:rsidRPr="00C77E77">
              <w:rPr>
                <w:rFonts w:ascii="Times New Roman" w:eastAsia="標楷體" w:hAnsi="Times New Roman" w:cs="Times New Roman"/>
                <w:szCs w:val="24"/>
              </w:rPr>
              <w:t>90</w:t>
            </w:r>
            <w:r w:rsidRPr="00C77E77">
              <w:rPr>
                <w:rFonts w:ascii="Times New Roman" w:eastAsia="標楷體" w:hAnsi="Times New Roman" w:cs="Times New Roman"/>
                <w:szCs w:val="24"/>
              </w:rPr>
              <w:t>％免稅</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為期</w:t>
            </w:r>
            <w:r w:rsidRPr="00C77E77">
              <w:rPr>
                <w:rFonts w:ascii="Times New Roman" w:eastAsia="標楷體" w:hAnsi="Times New Roman" w:cs="Times New Roman"/>
                <w:szCs w:val="24"/>
              </w:rPr>
              <w:t>10</w:t>
            </w:r>
            <w:r w:rsidRPr="00C77E77">
              <w:rPr>
                <w:rFonts w:ascii="Times New Roman" w:eastAsia="標楷體" w:hAnsi="Times New Roman" w:cs="Times New Roman"/>
                <w:szCs w:val="24"/>
              </w:rPr>
              <w:t>年</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、設施安裝或建造成本減免</w:t>
            </w:r>
            <w:r w:rsidRPr="00C77E77">
              <w:rPr>
                <w:rFonts w:ascii="Times New Roman" w:eastAsia="標楷體" w:hAnsi="Times New Roman" w:cs="Times New Roman"/>
                <w:szCs w:val="24"/>
              </w:rPr>
              <w:t>25</w:t>
            </w:r>
            <w:r w:rsidR="00BD6015" w:rsidRPr="00C77E77">
              <w:rPr>
                <w:rFonts w:ascii="Times New Roman" w:eastAsia="標楷體" w:hAnsi="Times New Roman" w:cs="Times New Roman"/>
                <w:szCs w:val="24"/>
              </w:rPr>
              <w:t>％、進口物料用以製造出口貨品</w:t>
            </w:r>
            <w:r w:rsidRPr="00C77E77">
              <w:rPr>
                <w:rFonts w:ascii="Times New Roman" w:eastAsia="標楷體" w:hAnsi="Times New Roman" w:cs="Times New Roman"/>
                <w:szCs w:val="24"/>
              </w:rPr>
              <w:t>免</w:t>
            </w:r>
            <w:r w:rsidR="00BD6015" w:rsidRPr="00C77E77">
              <w:rPr>
                <w:rFonts w:ascii="Times New Roman" w:eastAsia="標楷體" w:hAnsi="Times New Roman" w:cs="Times New Roman"/>
                <w:szCs w:val="24"/>
              </w:rPr>
              <w:t>進口關稅</w:t>
            </w:r>
            <w:r w:rsidRPr="00C77E77">
              <w:rPr>
                <w:rFonts w:ascii="Times New Roman" w:eastAsia="標楷體" w:hAnsi="Times New Roman" w:cs="Times New Roman"/>
                <w:szCs w:val="24"/>
              </w:rPr>
              <w:t>。</w:t>
            </w:r>
          </w:p>
          <w:p w:rsidR="00D959C2" w:rsidRPr="00C77E77" w:rsidRDefault="00387BE4" w:rsidP="0001327A">
            <w:pPr>
              <w:pStyle w:val="ab"/>
              <w:numPr>
                <w:ilvl w:val="0"/>
                <w:numId w:val="70"/>
              </w:numPr>
              <w:ind w:leftChars="-15" w:left="180" w:hangingChars="90" w:hanging="216"/>
              <w:rPr>
                <w:rFonts w:ascii="Times New Roman" w:eastAsia="標楷體" w:hAnsi="Times New Roman" w:cs="Times New Roman"/>
                <w:szCs w:val="24"/>
              </w:rPr>
            </w:pPr>
            <w:r w:rsidRPr="00C77E77">
              <w:rPr>
                <w:rFonts w:ascii="Times New Roman" w:eastAsia="標楷體" w:hAnsi="Times New Roman" w:cs="Times New Roman"/>
                <w:szCs w:val="24"/>
              </w:rPr>
              <w:t>泰國政府推出</w:t>
            </w:r>
            <w:r w:rsidR="00D959C2" w:rsidRPr="00C77E77">
              <w:rPr>
                <w:rFonts w:ascii="Times New Roman" w:eastAsia="標楷體" w:hAnsi="Times New Roman" w:cs="Times New Roman"/>
                <w:szCs w:val="24"/>
              </w:rPr>
              <w:t>「專案價值」</w:t>
            </w:r>
            <w:r w:rsidRPr="00C77E77">
              <w:rPr>
                <w:rFonts w:ascii="Times New Roman" w:eastAsia="標楷體" w:hAnsi="Times New Roman" w:cs="Times New Roman"/>
                <w:szCs w:val="24"/>
              </w:rPr>
              <w:t>的投資地點</w:t>
            </w:r>
            <w:r w:rsidR="00D959C2" w:rsidRPr="00C77E77">
              <w:rPr>
                <w:rFonts w:ascii="Times New Roman" w:eastAsia="標楷體" w:hAnsi="Times New Roman" w:cs="Times New Roman"/>
                <w:szCs w:val="24"/>
              </w:rPr>
              <w:t>租稅優惠，距曼谷越遠或越貧窮的地方獎勵越高。若在其劃定的經濟特區或南方省份（指深入馬來半島省份）投資，最高可達</w:t>
            </w:r>
            <w:r w:rsidR="00D959C2" w:rsidRPr="00C77E77">
              <w:rPr>
                <w:rFonts w:ascii="Times New Roman" w:eastAsia="標楷體" w:hAnsi="Times New Roman" w:cs="Times New Roman"/>
                <w:szCs w:val="24"/>
              </w:rPr>
              <w:t>5</w:t>
            </w:r>
            <w:r w:rsidR="00D959C2" w:rsidRPr="00C77E77">
              <w:rPr>
                <w:rFonts w:ascii="Times New Roman" w:eastAsia="標楷體" w:hAnsi="Times New Roman" w:cs="Times New Roman"/>
                <w:szCs w:val="24"/>
              </w:rPr>
              <w:t>年所得稅減半優惠，且可與「行業類別」優惠</w:t>
            </w:r>
            <w:r w:rsidRPr="00C77E77">
              <w:rPr>
                <w:rFonts w:ascii="Times New Roman" w:eastAsia="標楷體" w:hAnsi="Times New Roman" w:cs="Times New Roman"/>
                <w:szCs w:val="24"/>
              </w:rPr>
              <w:t>享</w:t>
            </w:r>
            <w:r w:rsidR="00D959C2" w:rsidRPr="00C77E77">
              <w:rPr>
                <w:rFonts w:ascii="Times New Roman" w:eastAsia="標楷體" w:hAnsi="Times New Roman" w:cs="Times New Roman"/>
                <w:szCs w:val="24"/>
              </w:rPr>
              <w:t>雙重優惠。</w:t>
            </w:r>
          </w:p>
          <w:p w:rsidR="00D959C2" w:rsidRPr="00C77E77" w:rsidRDefault="00D959C2" w:rsidP="0001327A">
            <w:pPr>
              <w:pStyle w:val="ab"/>
              <w:numPr>
                <w:ilvl w:val="0"/>
                <w:numId w:val="70"/>
              </w:numPr>
              <w:ind w:leftChars="-15" w:left="180" w:hangingChars="90" w:hanging="216"/>
              <w:rPr>
                <w:rFonts w:ascii="Times New Roman" w:eastAsia="標楷體" w:hAnsi="Times New Roman" w:cs="Times New Roman"/>
                <w:szCs w:val="24"/>
              </w:rPr>
            </w:pPr>
            <w:r w:rsidRPr="00C77E77">
              <w:rPr>
                <w:rFonts w:ascii="Times New Roman" w:eastAsia="標楷體" w:hAnsi="Times New Roman" w:cs="Times New Roman"/>
                <w:szCs w:val="24"/>
              </w:rPr>
              <w:t>「七年投資促進戰略</w:t>
            </w:r>
            <w:r w:rsidR="00C02C48" w:rsidRPr="00C77E77">
              <w:rPr>
                <w:rFonts w:ascii="Times New Roman" w:eastAsia="標楷體" w:hAnsi="Times New Roman" w:cs="Times New Roman"/>
                <w:szCs w:val="24"/>
              </w:rPr>
              <w:t>（</w:t>
            </w:r>
            <w:r w:rsidR="00C02C48" w:rsidRPr="00C77E77">
              <w:rPr>
                <w:rFonts w:ascii="Times New Roman" w:eastAsia="標楷體" w:hAnsi="Times New Roman" w:cs="Times New Roman"/>
                <w:szCs w:val="24"/>
              </w:rPr>
              <w:t>2015-2021</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」對投資者提供稅務優惠及非稅務優惠，優先考慮投資於高科技和創意產業、數位服務業、善用本地資源之行業。</w:t>
            </w:r>
          </w:p>
        </w:tc>
      </w:tr>
      <w:tr w:rsidR="009551A7" w:rsidRPr="00C77E77" w:rsidTr="009551A7">
        <w:trPr>
          <w:cantSplit/>
          <w:trHeight w:val="1283"/>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馬來西亞</w:t>
            </w:r>
          </w:p>
        </w:tc>
        <w:tc>
          <w:tcPr>
            <w:tcW w:w="4576" w:type="pct"/>
          </w:tcPr>
          <w:p w:rsidR="00D959C2" w:rsidRPr="00C77E77" w:rsidRDefault="00D959C2" w:rsidP="0001327A">
            <w:pPr>
              <w:pStyle w:val="ab"/>
              <w:numPr>
                <w:ilvl w:val="0"/>
                <w:numId w:val="71"/>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積極吸引外商直接投資，促進高附加價值之製造業發展。</w:t>
            </w:r>
          </w:p>
          <w:p w:rsidR="00D959C2" w:rsidRPr="00C77E77" w:rsidRDefault="00BD6015" w:rsidP="0001327A">
            <w:pPr>
              <w:pStyle w:val="ab"/>
              <w:numPr>
                <w:ilvl w:val="0"/>
                <w:numId w:val="71"/>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投資</w:t>
            </w:r>
            <w:r w:rsidR="00D959C2" w:rsidRPr="00C77E77">
              <w:rPr>
                <w:rFonts w:ascii="Times New Roman" w:eastAsia="標楷體" w:hAnsi="Times New Roman" w:cs="Times New Roman"/>
                <w:szCs w:val="24"/>
              </w:rPr>
              <w:t>先進電子、醫療機械、生物技術</w:t>
            </w:r>
            <w:r w:rsidR="00603E8E" w:rsidRPr="00C77E77">
              <w:rPr>
                <w:rFonts w:ascii="Times New Roman" w:eastAsia="標楷體" w:hAnsi="Times New Roman" w:cs="Times New Roman"/>
                <w:szCs w:val="24"/>
              </w:rPr>
              <w:t>、綠色技術，免</w:t>
            </w:r>
            <w:r w:rsidR="00D959C2" w:rsidRPr="00C77E77">
              <w:rPr>
                <w:rFonts w:ascii="Times New Roman" w:eastAsia="標楷體" w:hAnsi="Times New Roman" w:cs="Times New Roman"/>
                <w:szCs w:val="24"/>
              </w:rPr>
              <w:t>企業所得稅及稅收抵減</w:t>
            </w:r>
          </w:p>
        </w:tc>
      </w:tr>
      <w:tr w:rsidR="009551A7" w:rsidRPr="00C77E77" w:rsidTr="009551A7">
        <w:trPr>
          <w:cantSplit/>
          <w:trHeight w:val="1491"/>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菲律賓</w:t>
            </w:r>
          </w:p>
        </w:tc>
        <w:tc>
          <w:tcPr>
            <w:tcW w:w="4576" w:type="pct"/>
          </w:tcPr>
          <w:p w:rsidR="00D959C2" w:rsidRPr="00C77E77" w:rsidRDefault="00D959C2" w:rsidP="0001327A">
            <w:pPr>
              <w:pStyle w:val="ab"/>
              <w:numPr>
                <w:ilvl w:val="0"/>
                <w:numId w:val="72"/>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2016</w:t>
            </w:r>
            <w:r w:rsidRPr="00C77E77">
              <w:rPr>
                <w:rFonts w:ascii="Times New Roman" w:eastAsia="標楷體" w:hAnsi="Times New Roman" w:cs="Times New Roman"/>
                <w:szCs w:val="24"/>
              </w:rPr>
              <w:t>年杜特地就任總統，嚴厲打擊犯罪，並在宏觀政策的基礎上調整法人稅，且考慮修憲以吸引外資和推進産業化，振興地方經濟。</w:t>
            </w:r>
          </w:p>
          <w:p w:rsidR="00D959C2" w:rsidRPr="00C77E77" w:rsidRDefault="00D959C2" w:rsidP="0001327A">
            <w:pPr>
              <w:pStyle w:val="ab"/>
              <w:numPr>
                <w:ilvl w:val="0"/>
                <w:numId w:val="72"/>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杜特地提出改變菲律賓政經的十個方法，包括：聯邦制政府；解決不平等問題；廢除限制性的外國投資法；與中國大陸發展更密切的關係。</w:t>
            </w:r>
          </w:p>
        </w:tc>
      </w:tr>
      <w:tr w:rsidR="009551A7" w:rsidRPr="00C77E77" w:rsidTr="009551A7">
        <w:trPr>
          <w:cantSplit/>
          <w:trHeight w:val="1134"/>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越南</w:t>
            </w:r>
          </w:p>
        </w:tc>
        <w:tc>
          <w:tcPr>
            <w:tcW w:w="4576" w:type="pct"/>
          </w:tcPr>
          <w:p w:rsidR="00D959C2" w:rsidRPr="00C77E77" w:rsidRDefault="00603E8E" w:rsidP="0001327A">
            <w:pPr>
              <w:pStyle w:val="ab"/>
              <w:numPr>
                <w:ilvl w:val="0"/>
                <w:numId w:val="73"/>
              </w:numPr>
              <w:ind w:leftChars="0" w:left="184" w:hanging="184"/>
              <w:rPr>
                <w:rFonts w:ascii="Times New Roman" w:eastAsia="標楷體" w:hAnsi="Times New Roman" w:cs="Times New Roman"/>
                <w:szCs w:val="24"/>
              </w:rPr>
            </w:pPr>
            <w:r w:rsidRPr="00C77E77">
              <w:rPr>
                <w:rFonts w:ascii="Times New Roman" w:eastAsia="標楷體" w:hAnsi="Times New Roman" w:cs="Times New Roman"/>
                <w:szCs w:val="24"/>
              </w:rPr>
              <w:t>除</w:t>
            </w:r>
            <w:r w:rsidR="00D959C2" w:rsidRPr="00C77E77">
              <w:rPr>
                <w:rFonts w:ascii="Times New Roman" w:eastAsia="標楷體" w:hAnsi="Times New Roman" w:cs="Times New Roman"/>
                <w:szCs w:val="24"/>
              </w:rPr>
              <w:t>負面清單所列</w:t>
            </w:r>
            <w:r w:rsidR="00D959C2" w:rsidRPr="00C77E77">
              <w:rPr>
                <w:rFonts w:ascii="Times New Roman" w:eastAsia="標楷體" w:hAnsi="Times New Roman" w:cs="Times New Roman"/>
                <w:szCs w:val="24"/>
              </w:rPr>
              <w:t>6</w:t>
            </w:r>
            <w:r w:rsidR="00D959C2" w:rsidRPr="00C77E77">
              <w:rPr>
                <w:rFonts w:ascii="Times New Roman" w:eastAsia="標楷體" w:hAnsi="Times New Roman" w:cs="Times New Roman"/>
                <w:szCs w:val="24"/>
              </w:rPr>
              <w:t>項禁止範疇外（毒品、禁止使用之化學品、禁使用之礦物質、天然野生珍貴或瀕臨絕滅之動植物、色情事業、販賣人口、販賣人體器官組織以及從事人類無性繁殖），外資企業可於越南各領域進行投資活動。</w:t>
            </w:r>
          </w:p>
          <w:p w:rsidR="00D959C2" w:rsidRPr="00C77E77" w:rsidRDefault="00D959C2" w:rsidP="0001327A">
            <w:pPr>
              <w:pStyle w:val="ab"/>
              <w:numPr>
                <w:ilvl w:val="0"/>
                <w:numId w:val="73"/>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對基礎建設、高科技產品製造、研發、教育及培訓等重點項目，提供企業所得稅減免、地租調降、進口關稅豁免等優惠。</w:t>
            </w:r>
          </w:p>
          <w:p w:rsidR="00D959C2" w:rsidRPr="00C77E77" w:rsidRDefault="00D959C2" w:rsidP="0001327A">
            <w:pPr>
              <w:pStyle w:val="ab"/>
              <w:numPr>
                <w:ilvl w:val="0"/>
                <w:numId w:val="73"/>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2014</w:t>
            </w:r>
            <w:r w:rsidRPr="00C77E77">
              <w:rPr>
                <w:rFonts w:ascii="Times New Roman" w:eastAsia="標楷體" w:hAnsi="Times New Roman" w:cs="Times New Roman"/>
                <w:szCs w:val="24"/>
              </w:rPr>
              <w:t>年起，外國策略性投資者對當地銀行支持股上限放寬至</w:t>
            </w:r>
            <w:r w:rsidRPr="00C77E77">
              <w:rPr>
                <w:rFonts w:ascii="Times New Roman" w:eastAsia="標楷體" w:hAnsi="Times New Roman" w:cs="Times New Roman"/>
                <w:szCs w:val="24"/>
              </w:rPr>
              <w:t>20</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2015</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9</w:t>
            </w:r>
            <w:r w:rsidRPr="00C77E77">
              <w:rPr>
                <w:rFonts w:ascii="Times New Roman" w:eastAsia="標楷體" w:hAnsi="Times New Roman" w:cs="Times New Roman"/>
                <w:szCs w:val="24"/>
              </w:rPr>
              <w:t>月起，提高外國投資者於大多數越南上市公司之持股比率至</w:t>
            </w:r>
            <w:r w:rsidRPr="00C77E77">
              <w:rPr>
                <w:rFonts w:ascii="Times New Roman" w:eastAsia="標楷體" w:hAnsi="Times New Roman" w:cs="Times New Roman"/>
                <w:szCs w:val="24"/>
              </w:rPr>
              <w:t>100</w:t>
            </w:r>
            <w:r w:rsidRPr="00C77E77">
              <w:rPr>
                <w:rFonts w:ascii="Times New Roman" w:eastAsia="標楷體" w:hAnsi="Times New Roman" w:cs="Times New Roman"/>
                <w:szCs w:val="24"/>
              </w:rPr>
              <w:t>％</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少數敏感行業除外，如銀行和國防</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w:t>
            </w:r>
          </w:p>
          <w:p w:rsidR="00D959C2" w:rsidRPr="00C77E77" w:rsidRDefault="00D959C2" w:rsidP="0001327A">
            <w:pPr>
              <w:pStyle w:val="ab"/>
              <w:numPr>
                <w:ilvl w:val="0"/>
                <w:numId w:val="73"/>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允許外國投資者經營外商獨資零售業務。</w:t>
            </w:r>
          </w:p>
        </w:tc>
      </w:tr>
      <w:tr w:rsidR="009551A7" w:rsidRPr="00C77E77" w:rsidTr="009551A7">
        <w:trPr>
          <w:cantSplit/>
          <w:trHeight w:val="1134"/>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緬甸</w:t>
            </w:r>
          </w:p>
        </w:tc>
        <w:tc>
          <w:tcPr>
            <w:tcW w:w="4576" w:type="pct"/>
          </w:tcPr>
          <w:p w:rsidR="00D959C2" w:rsidRPr="00C77E77" w:rsidRDefault="00D959C2" w:rsidP="0001327A">
            <w:pPr>
              <w:pStyle w:val="ab"/>
              <w:numPr>
                <w:ilvl w:val="0"/>
                <w:numId w:val="74"/>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2012</w:t>
            </w:r>
            <w:r w:rsidRPr="00C77E77">
              <w:rPr>
                <w:rFonts w:ascii="Times New Roman" w:eastAsia="標楷體" w:hAnsi="Times New Roman" w:cs="Times New Roman"/>
                <w:szCs w:val="24"/>
              </w:rPr>
              <w:t>年通過「外商投資法」，開放製造業、服務業、基礎設施建設、零售批發業予外商直接投資，營運前</w:t>
            </w:r>
            <w:r w:rsidRPr="00C77E77">
              <w:rPr>
                <w:rFonts w:ascii="Times New Roman" w:eastAsia="標楷體" w:hAnsi="Times New Roman" w:cs="Times New Roman"/>
                <w:szCs w:val="24"/>
              </w:rPr>
              <w:t>5</w:t>
            </w:r>
            <w:r w:rsidRPr="00C77E77">
              <w:rPr>
                <w:rFonts w:ascii="Times New Roman" w:eastAsia="標楷體" w:hAnsi="Times New Roman" w:cs="Times New Roman"/>
                <w:szCs w:val="24"/>
              </w:rPr>
              <w:t>年享有免稅及其他所得稅或關稅減免。</w:t>
            </w:r>
          </w:p>
          <w:p w:rsidR="00D959C2" w:rsidRPr="00C77E77" w:rsidRDefault="00D959C2" w:rsidP="0001327A">
            <w:pPr>
              <w:pStyle w:val="ab"/>
              <w:numPr>
                <w:ilvl w:val="0"/>
                <w:numId w:val="74"/>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2014</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1</w:t>
            </w:r>
            <w:r w:rsidRPr="00C77E77">
              <w:rPr>
                <w:rFonts w:ascii="Times New Roman" w:eastAsia="標楷體" w:hAnsi="Times New Roman" w:cs="Times New Roman"/>
                <w:szCs w:val="24"/>
              </w:rPr>
              <w:t>月「緬甸經濟特區法」生效，除相關所得稅減免、關稅豁免外，投資者可向政府租賃土地，期限</w:t>
            </w:r>
            <w:r w:rsidRPr="00C77E77">
              <w:rPr>
                <w:rFonts w:ascii="Times New Roman" w:eastAsia="標楷體" w:hAnsi="Times New Roman" w:cs="Times New Roman"/>
                <w:szCs w:val="24"/>
              </w:rPr>
              <w:t>50</w:t>
            </w:r>
            <w:r w:rsidRPr="00C77E77">
              <w:rPr>
                <w:rFonts w:ascii="Times New Roman" w:eastAsia="標楷體" w:hAnsi="Times New Roman" w:cs="Times New Roman"/>
                <w:szCs w:val="24"/>
              </w:rPr>
              <w:t>年且可再延長</w:t>
            </w:r>
            <w:r w:rsidRPr="00C77E77">
              <w:rPr>
                <w:rFonts w:ascii="Times New Roman" w:eastAsia="標楷體" w:hAnsi="Times New Roman" w:cs="Times New Roman"/>
                <w:szCs w:val="24"/>
              </w:rPr>
              <w:t>25</w:t>
            </w:r>
            <w:r w:rsidRPr="00C77E77">
              <w:rPr>
                <w:rFonts w:ascii="Times New Roman" w:eastAsia="標楷體" w:hAnsi="Times New Roman" w:cs="Times New Roman"/>
                <w:szCs w:val="24"/>
              </w:rPr>
              <w:t>年。</w:t>
            </w:r>
          </w:p>
          <w:p w:rsidR="00D959C2" w:rsidRPr="00C77E77" w:rsidRDefault="00D959C2" w:rsidP="0001327A">
            <w:pPr>
              <w:pStyle w:val="ab"/>
              <w:numPr>
                <w:ilvl w:val="0"/>
                <w:numId w:val="74"/>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2014</w:t>
            </w:r>
            <w:r w:rsidRPr="00C77E77">
              <w:rPr>
                <w:rFonts w:ascii="Times New Roman" w:eastAsia="標楷體" w:hAnsi="Times New Roman" w:cs="Times New Roman"/>
                <w:szCs w:val="24"/>
              </w:rPr>
              <w:t>年開始發放</w:t>
            </w:r>
            <w:r w:rsidRPr="00C77E77">
              <w:rPr>
                <w:rFonts w:ascii="Times New Roman" w:eastAsia="標楷體" w:hAnsi="Times New Roman" w:cs="Times New Roman"/>
                <w:szCs w:val="24"/>
              </w:rPr>
              <w:t>9</w:t>
            </w:r>
            <w:r w:rsidRPr="00C77E77">
              <w:rPr>
                <w:rFonts w:ascii="Times New Roman" w:eastAsia="標楷體" w:hAnsi="Times New Roman" w:cs="Times New Roman"/>
                <w:szCs w:val="24"/>
              </w:rPr>
              <w:t>家外資銀行</w:t>
            </w:r>
            <w:r w:rsidR="00BD6015" w:rsidRPr="00C77E77">
              <w:rPr>
                <w:rFonts w:ascii="Times New Roman" w:eastAsia="標楷體" w:hAnsi="Times New Roman" w:cs="Times New Roman"/>
                <w:szCs w:val="24"/>
              </w:rPr>
              <w:t>營業執照，但</w:t>
            </w:r>
            <w:r w:rsidRPr="00C77E77">
              <w:rPr>
                <w:rFonts w:ascii="Times New Roman" w:eastAsia="標楷體" w:hAnsi="Times New Roman" w:cs="Times New Roman"/>
                <w:szCs w:val="24"/>
              </w:rPr>
              <w:t>限於向外資企業提供外幣貸款。</w:t>
            </w:r>
          </w:p>
          <w:p w:rsidR="00D959C2" w:rsidRPr="00C77E77" w:rsidRDefault="00D959C2" w:rsidP="0001327A">
            <w:pPr>
              <w:pStyle w:val="ab"/>
              <w:numPr>
                <w:ilvl w:val="0"/>
                <w:numId w:val="74"/>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開放電信業，允許外國投資者競投全國電信牌照。</w:t>
            </w:r>
          </w:p>
        </w:tc>
      </w:tr>
      <w:tr w:rsidR="009551A7" w:rsidRPr="00C77E77" w:rsidTr="009551A7">
        <w:trPr>
          <w:cantSplit/>
          <w:trHeight w:val="1134"/>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柬埔寨</w:t>
            </w:r>
          </w:p>
        </w:tc>
        <w:tc>
          <w:tcPr>
            <w:tcW w:w="4576" w:type="pct"/>
          </w:tcPr>
          <w:p w:rsidR="00D959C2" w:rsidRPr="00C77E77" w:rsidRDefault="00D959C2" w:rsidP="0001327A">
            <w:pPr>
              <w:pStyle w:val="ab"/>
              <w:numPr>
                <w:ilvl w:val="0"/>
                <w:numId w:val="75"/>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實施自由的外商投資政策，重點投資領域為農業、運輸、電信、能源、勞力密集和出口為主的加工業、旅遊及人力資源開發等。</w:t>
            </w:r>
          </w:p>
          <w:p w:rsidR="00D959C2" w:rsidRPr="00C77E77" w:rsidRDefault="00D959C2" w:rsidP="0001327A">
            <w:pPr>
              <w:pStyle w:val="ab"/>
              <w:numPr>
                <w:ilvl w:val="0"/>
                <w:numId w:val="75"/>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合格投資項目擁有優惠</w:t>
            </w:r>
            <w:r w:rsidRPr="00C77E77">
              <w:rPr>
                <w:rFonts w:ascii="Times New Roman" w:eastAsia="標楷體" w:hAnsi="Times New Roman" w:cs="Times New Roman"/>
                <w:szCs w:val="24"/>
              </w:rPr>
              <w:t>: 100</w:t>
            </w:r>
            <w:r w:rsidRPr="00C77E77">
              <w:rPr>
                <w:rFonts w:ascii="Times New Roman" w:eastAsia="標楷體" w:hAnsi="Times New Roman" w:cs="Times New Roman"/>
                <w:szCs w:val="24"/>
              </w:rPr>
              <w:t>％外資擁有權</w:t>
            </w:r>
            <w:r w:rsidRPr="00C77E77">
              <w:rPr>
                <w:rFonts w:ascii="Times New Roman" w:eastAsia="標楷體" w:hAnsi="Times New Roman" w:cs="Times New Roman"/>
                <w:szCs w:val="24"/>
              </w:rPr>
              <w:t>8</w:t>
            </w:r>
            <w:r w:rsidRPr="00C77E77">
              <w:rPr>
                <w:rFonts w:ascii="Times New Roman" w:eastAsia="標楷體" w:hAnsi="Times New Roman" w:cs="Times New Roman"/>
                <w:szCs w:val="24"/>
              </w:rPr>
              <w:t>年的企業免稅期、免稅期後享有</w:t>
            </w:r>
            <w:r w:rsidRPr="00C77E77">
              <w:rPr>
                <w:rFonts w:ascii="Times New Roman" w:eastAsia="標楷體" w:hAnsi="Times New Roman" w:cs="Times New Roman"/>
                <w:szCs w:val="24"/>
              </w:rPr>
              <w:t>20</w:t>
            </w:r>
            <w:r w:rsidRPr="00C77E77">
              <w:rPr>
                <w:rFonts w:ascii="Times New Roman" w:eastAsia="標楷體" w:hAnsi="Times New Roman" w:cs="Times New Roman"/>
                <w:szCs w:val="24"/>
              </w:rPr>
              <w:t>％稅率、進口資本財免稅、資金匯出不設限制。</w:t>
            </w:r>
          </w:p>
          <w:p w:rsidR="00D959C2" w:rsidRPr="00C77E77" w:rsidRDefault="00D959C2" w:rsidP="0001327A">
            <w:pPr>
              <w:pStyle w:val="ab"/>
              <w:numPr>
                <w:ilvl w:val="0"/>
                <w:numId w:val="75"/>
              </w:numPr>
              <w:ind w:leftChars="0" w:left="182" w:hanging="182"/>
              <w:rPr>
                <w:rFonts w:ascii="Times New Roman" w:eastAsia="標楷體" w:hAnsi="Times New Roman" w:cs="Times New Roman"/>
                <w:szCs w:val="24"/>
              </w:rPr>
            </w:pPr>
            <w:r w:rsidRPr="00C77E77">
              <w:rPr>
                <w:rFonts w:ascii="Times New Roman" w:eastAsia="標楷體" w:hAnsi="Times New Roman" w:cs="Times New Roman"/>
                <w:szCs w:val="24"/>
              </w:rPr>
              <w:t>經濟特區之優惠</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免稅期、零增值稅、原物料和機器設備免進口稅</w:t>
            </w:r>
          </w:p>
        </w:tc>
      </w:tr>
      <w:tr w:rsidR="009551A7" w:rsidRPr="00C77E77" w:rsidTr="009551A7">
        <w:trPr>
          <w:cantSplit/>
          <w:trHeight w:val="1134"/>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lastRenderedPageBreak/>
              <w:t>寮國</w:t>
            </w:r>
          </w:p>
        </w:tc>
        <w:tc>
          <w:tcPr>
            <w:tcW w:w="4576" w:type="pct"/>
          </w:tcPr>
          <w:p w:rsidR="00D959C2" w:rsidRPr="00C77E77" w:rsidRDefault="00D959C2" w:rsidP="0001327A">
            <w:pPr>
              <w:pStyle w:val="ab"/>
              <w:numPr>
                <w:ilvl w:val="0"/>
                <w:numId w:val="76"/>
              </w:numPr>
              <w:ind w:leftChars="0" w:left="184" w:hanging="184"/>
              <w:rPr>
                <w:rFonts w:ascii="Times New Roman" w:eastAsia="標楷體" w:hAnsi="Times New Roman" w:cs="Times New Roman"/>
                <w:szCs w:val="24"/>
              </w:rPr>
            </w:pPr>
            <w:r w:rsidRPr="00C77E77">
              <w:rPr>
                <w:rFonts w:ascii="Times New Roman" w:eastAsia="標楷體" w:hAnsi="Times New Roman" w:cs="Times New Roman"/>
                <w:szCs w:val="24"/>
              </w:rPr>
              <w:t>正推行經濟多元化，以降低出口對資源和水電的依賴。旅遊業是新的經濟推動力，入境旅遊人數及旅遊收入快速增長。</w:t>
            </w:r>
          </w:p>
          <w:p w:rsidR="00D959C2" w:rsidRPr="00C77E77" w:rsidRDefault="00D959C2" w:rsidP="0001327A">
            <w:pPr>
              <w:pStyle w:val="ab"/>
              <w:numPr>
                <w:ilvl w:val="0"/>
                <w:numId w:val="76"/>
              </w:numPr>
              <w:ind w:leftChars="0" w:left="184" w:hanging="184"/>
              <w:rPr>
                <w:rFonts w:ascii="Times New Roman" w:eastAsia="標楷體" w:hAnsi="Times New Roman" w:cs="Times New Roman"/>
                <w:szCs w:val="24"/>
              </w:rPr>
            </w:pPr>
            <w:r w:rsidRPr="00C77E77">
              <w:rPr>
                <w:rFonts w:ascii="Times New Roman" w:eastAsia="標楷體" w:hAnsi="Times New Roman" w:cs="Times New Roman"/>
                <w:szCs w:val="24"/>
              </w:rPr>
              <w:t>於</w:t>
            </w:r>
            <w:r w:rsidRPr="00C77E77">
              <w:rPr>
                <w:rFonts w:ascii="Times New Roman" w:eastAsia="標楷體" w:hAnsi="Times New Roman" w:cs="Times New Roman"/>
                <w:szCs w:val="24"/>
              </w:rPr>
              <w:t>1953</w:t>
            </w:r>
            <w:r w:rsidRPr="00C77E77">
              <w:rPr>
                <w:rFonts w:ascii="Times New Roman" w:eastAsia="標楷體" w:hAnsi="Times New Roman" w:cs="Times New Roman"/>
                <w:szCs w:val="24"/>
              </w:rPr>
              <w:t>年獨立，但到</w:t>
            </w:r>
            <w:r w:rsidRPr="00C77E77">
              <w:rPr>
                <w:rFonts w:ascii="Times New Roman" w:eastAsia="標楷體" w:hAnsi="Times New Roman" w:cs="Times New Roman"/>
                <w:szCs w:val="24"/>
              </w:rPr>
              <w:t>20</w:t>
            </w:r>
            <w:r w:rsidRPr="00C77E77">
              <w:rPr>
                <w:rFonts w:ascii="Times New Roman" w:eastAsia="標楷體" w:hAnsi="Times New Roman" w:cs="Times New Roman"/>
                <w:szCs w:val="24"/>
              </w:rPr>
              <w:t>世紀</w:t>
            </w:r>
            <w:r w:rsidRPr="00C77E77">
              <w:rPr>
                <w:rFonts w:ascii="Times New Roman" w:eastAsia="標楷體" w:hAnsi="Times New Roman" w:cs="Times New Roman"/>
                <w:szCs w:val="24"/>
              </w:rPr>
              <w:t>80</w:t>
            </w:r>
            <w:r w:rsidRPr="00C77E77">
              <w:rPr>
                <w:rFonts w:ascii="Times New Roman" w:eastAsia="標楷體" w:hAnsi="Times New Roman" w:cs="Times New Roman"/>
                <w:szCs w:val="24"/>
              </w:rPr>
              <w:t>年代末才推行市場改革。該國致力推動大湄公河次區域內的貿易，並吸引外商直接投資，以支持基礎設施特別是水電項目的發展。</w:t>
            </w:r>
          </w:p>
          <w:p w:rsidR="00D959C2" w:rsidRPr="00C77E77" w:rsidRDefault="00D959C2" w:rsidP="0001327A">
            <w:pPr>
              <w:pStyle w:val="ab"/>
              <w:numPr>
                <w:ilvl w:val="0"/>
                <w:numId w:val="76"/>
              </w:numPr>
              <w:ind w:leftChars="0" w:left="184" w:hanging="184"/>
              <w:rPr>
                <w:rFonts w:ascii="Times New Roman" w:eastAsia="標楷體" w:hAnsi="Times New Roman" w:cs="Times New Roman"/>
                <w:szCs w:val="24"/>
              </w:rPr>
            </w:pPr>
            <w:r w:rsidRPr="00C77E77">
              <w:rPr>
                <w:rFonts w:ascii="Times New Roman" w:eastAsia="標楷體" w:hAnsi="Times New Roman" w:cs="Times New Roman"/>
                <w:szCs w:val="24"/>
              </w:rPr>
              <w:t>設立了多個經濟特區，提供多項優惠，如減免所得稅及增值稅。老撾投資優惠及規例詳情，請參見投資促進部網站。</w:t>
            </w:r>
          </w:p>
        </w:tc>
      </w:tr>
      <w:tr w:rsidR="009551A7" w:rsidRPr="00C77E77" w:rsidTr="009551A7">
        <w:trPr>
          <w:cantSplit/>
          <w:trHeight w:val="1134"/>
        </w:trPr>
        <w:tc>
          <w:tcPr>
            <w:tcW w:w="424" w:type="pct"/>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汶萊</w:t>
            </w:r>
          </w:p>
        </w:tc>
        <w:tc>
          <w:tcPr>
            <w:tcW w:w="4576" w:type="pct"/>
          </w:tcPr>
          <w:p w:rsidR="00D959C2" w:rsidRPr="00C77E77" w:rsidRDefault="00D959C2" w:rsidP="0001327A">
            <w:pPr>
              <w:pStyle w:val="ab"/>
              <w:numPr>
                <w:ilvl w:val="0"/>
                <w:numId w:val="77"/>
              </w:numPr>
              <w:ind w:leftChars="0" w:left="184" w:hanging="184"/>
              <w:rPr>
                <w:rFonts w:ascii="Times New Roman" w:eastAsia="標楷體" w:hAnsi="Times New Roman" w:cs="Times New Roman"/>
                <w:szCs w:val="24"/>
              </w:rPr>
            </w:pPr>
            <w:r w:rsidRPr="00C77E77">
              <w:rPr>
                <w:rFonts w:ascii="Times New Roman" w:eastAsia="標楷體" w:hAnsi="Times New Roman" w:cs="Times New Roman"/>
                <w:szCs w:val="24"/>
              </w:rPr>
              <w:t>雖然依賴石油和天然氣，但是也曾嘗試發展多元化經濟。該國政府定出政策目標，以發展資訊及通訊科技作為新的經濟動力。然而，國際貨幣基金組織指出，汶萊首先需要改善其財政支出，推行改革，並應推動私營部門發展，以及繼續改善制度。</w:t>
            </w:r>
          </w:p>
          <w:p w:rsidR="00D959C2" w:rsidRPr="00C77E77" w:rsidRDefault="00D959C2" w:rsidP="0001327A">
            <w:pPr>
              <w:pStyle w:val="ab"/>
              <w:numPr>
                <w:ilvl w:val="0"/>
                <w:numId w:val="77"/>
              </w:numPr>
              <w:ind w:leftChars="0" w:left="184" w:hanging="184"/>
              <w:rPr>
                <w:rFonts w:ascii="Times New Roman" w:eastAsia="標楷體" w:hAnsi="Times New Roman" w:cs="Times New Roman"/>
                <w:szCs w:val="24"/>
              </w:rPr>
            </w:pPr>
            <w:r w:rsidRPr="00C77E77">
              <w:rPr>
                <w:rFonts w:ascii="Times New Roman" w:eastAsia="標楷體" w:hAnsi="Times New Roman" w:cs="Times New Roman"/>
                <w:szCs w:val="24"/>
              </w:rPr>
              <w:t>汶萊經濟發展委員會</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Brunei Economic Development Board</w:t>
            </w:r>
            <w:r w:rsidRPr="00C77E77">
              <w:rPr>
                <w:rFonts w:ascii="Times New Roman" w:eastAsia="標楷體" w:hAnsi="Times New Roman" w:cs="Times New Roman"/>
                <w:szCs w:val="24"/>
              </w:rPr>
              <w:t>，簡稱</w:t>
            </w:r>
            <w:r w:rsidR="00C02C48" w:rsidRPr="00C77E77">
              <w:rPr>
                <w:rFonts w:ascii="Times New Roman" w:eastAsia="標楷體" w:hAnsi="Times New Roman" w:cs="Times New Roman"/>
                <w:szCs w:val="24"/>
              </w:rPr>
              <w:t>BEDB</w:t>
            </w:r>
            <w:r w:rsidR="00C02C48" w:rsidRPr="00C77E77">
              <w:rPr>
                <w:rFonts w:ascii="Times New Roman" w:eastAsia="標楷體" w:hAnsi="Times New Roman" w:cs="Times New Roman"/>
                <w:szCs w:val="24"/>
              </w:rPr>
              <w:t>）</w:t>
            </w:r>
            <w:r w:rsidRPr="00C77E77">
              <w:rPr>
                <w:rFonts w:ascii="Times New Roman" w:eastAsia="標楷體" w:hAnsi="Times New Roman" w:cs="Times New Roman"/>
                <w:szCs w:val="24"/>
              </w:rPr>
              <w:t>促進外商直接投資到當地，並向多個產業提供稅務優惠，包括飛機餐飲服務、紡織品以及電子產品和通訊設備製造。</w:t>
            </w:r>
          </w:p>
        </w:tc>
      </w:tr>
      <w:tr w:rsidR="009551A7" w:rsidRPr="00C77E77" w:rsidTr="009551A7">
        <w:trPr>
          <w:cantSplit/>
          <w:trHeight w:val="1134"/>
        </w:trPr>
        <w:tc>
          <w:tcPr>
            <w:tcW w:w="424" w:type="pct"/>
            <w:tcBorders>
              <w:bottom w:val="single" w:sz="4" w:space="0" w:color="auto"/>
            </w:tcBorders>
            <w:textDirection w:val="tbRlV"/>
            <w:vAlign w:val="center"/>
          </w:tcPr>
          <w:p w:rsidR="00D959C2" w:rsidRPr="00C77E77" w:rsidRDefault="00D959C2" w:rsidP="009551A7">
            <w:pPr>
              <w:ind w:left="113" w:right="113"/>
              <w:jc w:val="center"/>
              <w:rPr>
                <w:rFonts w:ascii="Times New Roman" w:eastAsia="標楷體" w:hAnsi="Times New Roman" w:cs="Times New Roman"/>
                <w:szCs w:val="24"/>
              </w:rPr>
            </w:pPr>
            <w:r w:rsidRPr="00C77E77">
              <w:rPr>
                <w:rFonts w:ascii="Times New Roman" w:eastAsia="標楷體" w:hAnsi="Times New Roman" w:cs="Times New Roman"/>
                <w:szCs w:val="24"/>
              </w:rPr>
              <w:t>印度</w:t>
            </w:r>
          </w:p>
        </w:tc>
        <w:tc>
          <w:tcPr>
            <w:tcW w:w="4576" w:type="pct"/>
            <w:tcBorders>
              <w:bottom w:val="single" w:sz="4" w:space="0" w:color="auto"/>
            </w:tcBorders>
          </w:tcPr>
          <w:p w:rsidR="00D959C2" w:rsidRPr="00C77E77" w:rsidRDefault="00D959C2" w:rsidP="0001327A">
            <w:pPr>
              <w:pStyle w:val="ab"/>
              <w:numPr>
                <w:ilvl w:val="0"/>
                <w:numId w:val="78"/>
              </w:numPr>
              <w:ind w:leftChars="0" w:left="184" w:hanging="184"/>
              <w:rPr>
                <w:rFonts w:ascii="Times New Roman" w:eastAsia="標楷體" w:hAnsi="Times New Roman" w:cs="Times New Roman"/>
                <w:szCs w:val="24"/>
              </w:rPr>
            </w:pPr>
            <w:r w:rsidRPr="00C77E77">
              <w:rPr>
                <w:rFonts w:ascii="Times New Roman" w:eastAsia="標楷體" w:hAnsi="Times New Roman" w:cs="Times New Roman"/>
                <w:szCs w:val="24"/>
              </w:rPr>
              <w:t>總理莫迪推行經濟改革，放寬外商直接投資上限及「印度製造」倡議，後者目標是透過外資製造商湧入將印度轉型為全球製造中心。</w:t>
            </w:r>
          </w:p>
          <w:p w:rsidR="00D959C2" w:rsidRPr="00C77E77" w:rsidRDefault="00D959C2" w:rsidP="0001327A">
            <w:pPr>
              <w:pStyle w:val="ab"/>
              <w:numPr>
                <w:ilvl w:val="0"/>
                <w:numId w:val="78"/>
              </w:numPr>
              <w:ind w:leftChars="0" w:left="184" w:hanging="184"/>
              <w:rPr>
                <w:rFonts w:ascii="Times New Roman" w:eastAsia="標楷體" w:hAnsi="Times New Roman" w:cs="Times New Roman"/>
                <w:szCs w:val="24"/>
              </w:rPr>
            </w:pPr>
            <w:r w:rsidRPr="00C77E77">
              <w:rPr>
                <w:rFonts w:ascii="Times New Roman" w:eastAsia="標楷體" w:hAnsi="Times New Roman" w:cs="Times New Roman"/>
                <w:szCs w:val="24"/>
              </w:rPr>
              <w:t>經濟政策旨在吸引大量資金持續流入，並鼓勵技術合作。除原子能、彩票、賭博和博彩，以及某些形式的零售業外，幾乎所有行業都開放外商投資。莫迪政府已放寬各個行業的外商直接投資規則</w:t>
            </w:r>
          </w:p>
        </w:tc>
      </w:tr>
      <w:tr w:rsidR="009551A7" w:rsidRPr="00C77E77" w:rsidTr="00D959C2">
        <w:tc>
          <w:tcPr>
            <w:tcW w:w="5000" w:type="pct"/>
            <w:gridSpan w:val="2"/>
            <w:tcBorders>
              <w:top w:val="single" w:sz="4" w:space="0" w:color="auto"/>
              <w:left w:val="nil"/>
              <w:bottom w:val="nil"/>
              <w:right w:val="nil"/>
            </w:tcBorders>
          </w:tcPr>
          <w:p w:rsidR="00D959C2" w:rsidRPr="00C77E77" w:rsidRDefault="00D959C2" w:rsidP="009551A7">
            <w:pPr>
              <w:ind w:left="1171" w:hangingChars="488" w:hanging="1171"/>
              <w:rPr>
                <w:rFonts w:ascii="Times New Roman" w:eastAsia="標楷體" w:hAnsi="Times New Roman" w:cs="Times New Roman"/>
                <w:szCs w:val="24"/>
              </w:rPr>
            </w:pPr>
            <w:r w:rsidRPr="00C77E77">
              <w:rPr>
                <w:rFonts w:ascii="Times New Roman" w:eastAsia="標楷體" w:hAnsi="Times New Roman" w:cs="Times New Roman"/>
                <w:szCs w:val="24"/>
              </w:rPr>
              <w:t>資料來源：統整本研究表</w:t>
            </w:r>
            <w:r w:rsidRPr="00C77E77">
              <w:rPr>
                <w:rFonts w:ascii="Times New Roman" w:eastAsia="標楷體" w:hAnsi="Times New Roman" w:cs="Times New Roman"/>
                <w:szCs w:val="24"/>
              </w:rPr>
              <w:t>2-3-1</w:t>
            </w:r>
            <w:r w:rsidRPr="00C77E77">
              <w:rPr>
                <w:rFonts w:ascii="Times New Roman" w:eastAsia="標楷體" w:hAnsi="Times New Roman" w:cs="Times New Roman"/>
                <w:szCs w:val="24"/>
              </w:rPr>
              <w:t>至</w:t>
            </w:r>
            <w:r w:rsidRPr="00C77E77">
              <w:rPr>
                <w:rFonts w:ascii="Times New Roman" w:eastAsia="標楷體" w:hAnsi="Times New Roman" w:cs="Times New Roman"/>
                <w:szCs w:val="24"/>
              </w:rPr>
              <w:t>2-3-11</w:t>
            </w:r>
            <w:r w:rsidRPr="00C77E77">
              <w:rPr>
                <w:rFonts w:ascii="Times New Roman" w:eastAsia="標楷體" w:hAnsi="Times New Roman" w:cs="Times New Roman"/>
                <w:szCs w:val="24"/>
              </w:rPr>
              <w:t>東南亞各國與印度之「開放外人投資」重點項目。</w:t>
            </w:r>
          </w:p>
        </w:tc>
      </w:tr>
    </w:tbl>
    <w:p w:rsidR="009E0EE3" w:rsidRPr="00C77E77" w:rsidRDefault="009E0EE3" w:rsidP="009551A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總結本章內容，我國當前所推出的「新南向政策」與</w:t>
      </w:r>
      <w:r w:rsidRPr="00C77E77">
        <w:rPr>
          <w:rFonts w:ascii="Times New Roman" w:eastAsia="標楷體" w:hAnsi="Times New Roman" w:cs="Times New Roman"/>
          <w:sz w:val="28"/>
          <w:szCs w:val="28"/>
        </w:rPr>
        <w:t>1990</w:t>
      </w:r>
      <w:r w:rsidRPr="00C77E77">
        <w:rPr>
          <w:rFonts w:ascii="Times New Roman" w:eastAsia="標楷體" w:hAnsi="Times New Roman" w:cs="Times New Roman"/>
          <w:sz w:val="28"/>
          <w:szCs w:val="28"/>
        </w:rPr>
        <w:t>年代之南向政策的政經情勢截然不同。近年來我國東南亞籍的外籍配偶、新二代、外籍勞工、留學生的數量增加，一方面為新南向政策的推行提供了社會的內部支撐；另一方面我國政府也應積極導正社會偏見，並塑造良好的工作環境吸引東南亞和印度的優秀人才在臺灣工作，並協助我國企業前進東南亞及印度。</w:t>
      </w:r>
    </w:p>
    <w:p w:rsidR="006A1123" w:rsidRPr="00C77E77" w:rsidRDefault="009E0EE3" w:rsidP="006A1123">
      <w:pPr>
        <w:spacing w:beforeLines="50" w:before="180" w:afterLines="50" w:after="180" w:line="500" w:lineRule="exact"/>
        <w:ind w:firstLine="480"/>
        <w:jc w:val="both"/>
        <w:rPr>
          <w:rFonts w:ascii="Times New Roman" w:eastAsia="標楷體" w:hAnsi="Times New Roman" w:cs="Times New Roman"/>
          <w:color w:val="000000" w:themeColor="text1"/>
          <w:spacing w:val="14"/>
          <w:sz w:val="28"/>
          <w:szCs w:val="28"/>
        </w:rPr>
      </w:pPr>
      <w:r w:rsidRPr="00C77E77">
        <w:rPr>
          <w:rFonts w:ascii="Times New Roman" w:eastAsia="標楷體" w:hAnsi="Times New Roman" w:cs="Times New Roman"/>
          <w:sz w:val="28"/>
          <w:szCs w:val="28"/>
        </w:rPr>
        <w:t>更為重要的是，</w:t>
      </w:r>
      <w:r w:rsidRPr="00C77E77">
        <w:rPr>
          <w:rFonts w:ascii="Times New Roman" w:eastAsia="標楷體" w:hAnsi="Times New Roman" w:cs="Times New Roman"/>
          <w:spacing w:val="14"/>
          <w:sz w:val="28"/>
          <w:szCs w:val="28"/>
        </w:rPr>
        <w:t>鞏固並擴大我國與東協國家和印度的雙邊往來，已成為具有迫切性的議題。東協長期以來為我國重要貿易及投資夥伴，</w:t>
      </w:r>
      <w:r w:rsidRPr="00C77E77">
        <w:rPr>
          <w:rFonts w:ascii="Times New Roman" w:eastAsia="標楷體" w:hAnsi="Times New Roman" w:cs="Times New Roman"/>
          <w:spacing w:val="14"/>
          <w:sz w:val="28"/>
          <w:szCs w:val="28"/>
        </w:rPr>
        <w:t>1952</w:t>
      </w:r>
      <w:r w:rsidRPr="00C77E77">
        <w:rPr>
          <w:rFonts w:ascii="Times New Roman" w:eastAsia="標楷體" w:hAnsi="Times New Roman" w:cs="Times New Roman"/>
          <w:spacing w:val="14"/>
          <w:sz w:val="28"/>
          <w:szCs w:val="28"/>
        </w:rPr>
        <w:t>至</w:t>
      </w:r>
      <w:r w:rsidRPr="00C77E77">
        <w:rPr>
          <w:rFonts w:ascii="Times New Roman" w:eastAsia="標楷體" w:hAnsi="Times New Roman" w:cs="Times New Roman"/>
          <w:spacing w:val="14"/>
          <w:sz w:val="28"/>
          <w:szCs w:val="28"/>
        </w:rPr>
        <w:t>2014</w:t>
      </w:r>
      <w:r w:rsidRPr="00C77E77">
        <w:rPr>
          <w:rFonts w:ascii="Times New Roman" w:eastAsia="標楷體" w:hAnsi="Times New Roman" w:cs="Times New Roman"/>
          <w:spacing w:val="14"/>
          <w:sz w:val="28"/>
          <w:szCs w:val="28"/>
        </w:rPr>
        <w:t>年我國對東協投資累計約達</w:t>
      </w:r>
      <w:r w:rsidRPr="00C77E77">
        <w:rPr>
          <w:rFonts w:ascii="Times New Roman" w:eastAsia="標楷體" w:hAnsi="Times New Roman" w:cs="Times New Roman"/>
          <w:spacing w:val="14"/>
          <w:sz w:val="28"/>
          <w:szCs w:val="28"/>
        </w:rPr>
        <w:t>841.24</w:t>
      </w:r>
      <w:r w:rsidRPr="00C77E77">
        <w:rPr>
          <w:rFonts w:ascii="Times New Roman" w:eastAsia="標楷體" w:hAnsi="Times New Roman" w:cs="Times New Roman"/>
          <w:spacing w:val="14"/>
          <w:sz w:val="28"/>
          <w:szCs w:val="28"/>
        </w:rPr>
        <w:t>億美元。</w:t>
      </w:r>
      <w:r w:rsidRPr="00C77E77">
        <w:rPr>
          <w:rFonts w:ascii="Times New Roman" w:eastAsia="標楷體" w:hAnsi="Times New Roman" w:cs="Times New Roman"/>
          <w:bCs/>
          <w:kern w:val="0"/>
          <w:sz w:val="28"/>
          <w:szCs w:val="28"/>
        </w:rPr>
        <w:t>臺商在東協十國的投資密集國分佈在新加坡、馬來西亞、印尼、泰國、越南、菲律賓；至於在汶萊、寮國、緬甸、柬埔寨等國的投資金額較低。</w:t>
      </w:r>
      <w:r w:rsidRPr="00C77E77">
        <w:rPr>
          <w:rFonts w:ascii="Times New Roman" w:eastAsia="標楷體" w:hAnsi="Times New Roman" w:cs="Times New Roman"/>
          <w:spacing w:val="14"/>
          <w:sz w:val="28"/>
          <w:szCs w:val="28"/>
        </w:rPr>
        <w:t>在貿易方面，</w:t>
      </w:r>
      <w:r w:rsidRPr="00C77E77">
        <w:rPr>
          <w:rFonts w:ascii="Times New Roman" w:eastAsia="標楷體" w:hAnsi="Times New Roman" w:cs="Times New Roman"/>
          <w:sz w:val="28"/>
          <w:szCs w:val="28"/>
        </w:rPr>
        <w:t>我國對東協十國出口金額占我出口比重逐年提高，由</w:t>
      </w:r>
      <w:r w:rsidRPr="00C77E77">
        <w:rPr>
          <w:rFonts w:ascii="Times New Roman" w:eastAsia="標楷體" w:hAnsi="Times New Roman" w:cs="Times New Roman"/>
          <w:sz w:val="28"/>
          <w:szCs w:val="28"/>
        </w:rPr>
        <w:t>2005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275.9</w:t>
      </w:r>
      <w:r w:rsidRPr="00C77E77">
        <w:rPr>
          <w:rFonts w:ascii="Times New Roman" w:eastAsia="標楷體" w:hAnsi="Times New Roman" w:cs="Times New Roman"/>
          <w:sz w:val="28"/>
          <w:szCs w:val="28"/>
        </w:rPr>
        <w:t>億美元，增至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516.5</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年擴大近九成。</w:t>
      </w:r>
      <w:r w:rsidRPr="00C77E77">
        <w:rPr>
          <w:rFonts w:ascii="Times New Roman" w:eastAsia="標楷體" w:hAnsi="Times New Roman" w:cs="Times New Roman"/>
          <w:spacing w:val="14"/>
          <w:sz w:val="28"/>
          <w:szCs w:val="28"/>
        </w:rPr>
        <w:t>2015</w:t>
      </w:r>
      <w:r w:rsidRPr="00C77E77">
        <w:rPr>
          <w:rFonts w:ascii="Times New Roman" w:eastAsia="標楷體" w:hAnsi="Times New Roman" w:cs="Times New Roman"/>
          <w:spacing w:val="14"/>
          <w:sz w:val="28"/>
          <w:szCs w:val="28"/>
        </w:rPr>
        <w:t>年我國與東協貿易金額</w:t>
      </w:r>
      <w:r w:rsidRPr="00C77E77">
        <w:rPr>
          <w:rFonts w:ascii="Times New Roman" w:eastAsia="標楷體" w:hAnsi="Times New Roman" w:cs="Times New Roman"/>
          <w:spacing w:val="14"/>
          <w:sz w:val="28"/>
          <w:szCs w:val="28"/>
        </w:rPr>
        <w:lastRenderedPageBreak/>
        <w:t>高達</w:t>
      </w:r>
      <w:r w:rsidRPr="00C77E77">
        <w:rPr>
          <w:rFonts w:ascii="Times New Roman" w:eastAsia="標楷體" w:hAnsi="Times New Roman" w:cs="Times New Roman"/>
          <w:spacing w:val="14"/>
          <w:sz w:val="28"/>
          <w:szCs w:val="28"/>
        </w:rPr>
        <w:t>793</w:t>
      </w:r>
      <w:r w:rsidRPr="00C77E77">
        <w:rPr>
          <w:rFonts w:ascii="Times New Roman" w:eastAsia="標楷體" w:hAnsi="Times New Roman" w:cs="Times New Roman"/>
          <w:spacing w:val="14"/>
          <w:sz w:val="28"/>
          <w:szCs w:val="28"/>
        </w:rPr>
        <w:t>億美元，占我國對外貿易總額</w:t>
      </w:r>
      <w:r w:rsidRPr="00C77E77">
        <w:rPr>
          <w:rFonts w:ascii="Times New Roman" w:eastAsia="標楷體" w:hAnsi="Times New Roman" w:cs="Times New Roman"/>
          <w:spacing w:val="14"/>
          <w:sz w:val="28"/>
          <w:szCs w:val="28"/>
        </w:rPr>
        <w:t>15.58%</w:t>
      </w:r>
      <w:r w:rsidRPr="00C77E77">
        <w:rPr>
          <w:rFonts w:ascii="Times New Roman" w:eastAsia="標楷體" w:hAnsi="Times New Roman" w:cs="Times New Roman"/>
          <w:spacing w:val="14"/>
          <w:sz w:val="28"/>
          <w:szCs w:val="28"/>
        </w:rPr>
        <w:t>，為我第二大貿易夥伴</w:t>
      </w:r>
      <w:r w:rsidRPr="00C77E77">
        <w:rPr>
          <w:rFonts w:ascii="Times New Roman" w:eastAsia="標楷體" w:hAnsi="Times New Roman" w:cs="Times New Roman"/>
          <w:color w:val="000000" w:themeColor="text1"/>
          <w:spacing w:val="14"/>
          <w:sz w:val="28"/>
          <w:szCs w:val="28"/>
        </w:rPr>
        <w:t>和第二大出口市場。</w:t>
      </w:r>
      <w:r w:rsidR="006A1123" w:rsidRPr="00C77E77">
        <w:rPr>
          <w:rFonts w:ascii="Times New Roman" w:eastAsia="標楷體" w:hAnsi="Times New Roman" w:cs="Times New Roman"/>
          <w:color w:val="000000" w:themeColor="text1"/>
          <w:spacing w:val="14"/>
          <w:sz w:val="28"/>
          <w:szCs w:val="28"/>
        </w:rPr>
        <w:t>據</w:t>
      </w:r>
      <w:r w:rsidR="00E524DA" w:rsidRPr="00C77E77">
        <w:rPr>
          <w:rFonts w:ascii="Times New Roman" w:eastAsia="標楷體" w:hAnsi="Times New Roman" w:cs="Times New Roman"/>
          <w:color w:val="000000" w:themeColor="text1"/>
          <w:spacing w:val="14"/>
          <w:sz w:val="28"/>
          <w:szCs w:val="28"/>
        </w:rPr>
        <w:t>臺</w:t>
      </w:r>
      <w:r w:rsidR="006A1123" w:rsidRPr="00C77E77">
        <w:rPr>
          <w:rFonts w:ascii="Times New Roman" w:eastAsia="標楷體" w:hAnsi="Times New Roman" w:cs="Times New Roman"/>
          <w:color w:val="000000" w:themeColor="text1"/>
          <w:spacing w:val="14"/>
          <w:sz w:val="28"/>
          <w:szCs w:val="28"/>
        </w:rPr>
        <w:t>經院相關研究報告指</w:t>
      </w:r>
      <w:r w:rsidR="00C03492" w:rsidRPr="00C77E77">
        <w:rPr>
          <w:rFonts w:ascii="Times New Roman" w:eastAsia="標楷體" w:hAnsi="Times New Roman" w:cs="Times New Roman"/>
          <w:color w:val="000000" w:themeColor="text1"/>
          <w:spacing w:val="14"/>
          <w:sz w:val="28"/>
          <w:szCs w:val="28"/>
        </w:rPr>
        <w:t>出，</w:t>
      </w:r>
      <w:r w:rsidR="00E524DA" w:rsidRPr="00C77E77">
        <w:rPr>
          <w:rFonts w:ascii="Times New Roman" w:eastAsia="標楷體" w:hAnsi="Times New Roman" w:cs="Times New Roman"/>
          <w:color w:val="000000" w:themeColor="text1"/>
          <w:spacing w:val="14"/>
          <w:sz w:val="28"/>
          <w:szCs w:val="28"/>
        </w:rPr>
        <w:t>臺</w:t>
      </w:r>
      <w:r w:rsidR="00C03492" w:rsidRPr="00C77E77">
        <w:rPr>
          <w:rFonts w:ascii="Times New Roman" w:eastAsia="標楷體" w:hAnsi="Times New Roman" w:cs="Times New Roman"/>
          <w:color w:val="000000" w:themeColor="text1"/>
          <w:spacing w:val="14"/>
          <w:sz w:val="28"/>
          <w:szCs w:val="28"/>
        </w:rPr>
        <w:t>灣出口到東協市場的產品</w:t>
      </w:r>
      <w:r w:rsidR="006A1123" w:rsidRPr="00C77E77">
        <w:rPr>
          <w:rFonts w:ascii="Times New Roman" w:eastAsia="標楷體" w:hAnsi="Times New Roman" w:cs="Times New Roman"/>
          <w:color w:val="000000" w:themeColor="text1"/>
          <w:spacing w:val="14"/>
          <w:sz w:val="28"/>
          <w:szCs w:val="28"/>
        </w:rPr>
        <w:t>以中間財居多，</w:t>
      </w:r>
      <w:r w:rsidR="00C03492" w:rsidRPr="00C77E77">
        <w:rPr>
          <w:rFonts w:ascii="Times New Roman" w:eastAsia="標楷體" w:hAnsi="Times New Roman" w:cs="Times New Roman"/>
          <w:color w:val="000000" w:themeColor="text1"/>
          <w:spacing w:val="14"/>
          <w:sz w:val="28"/>
          <w:szCs w:val="28"/>
        </w:rPr>
        <w:t>由</w:t>
      </w:r>
      <w:r w:rsidR="00E524DA" w:rsidRPr="00C77E77">
        <w:rPr>
          <w:rFonts w:ascii="Times New Roman" w:eastAsia="標楷體" w:hAnsi="Times New Roman" w:cs="Times New Roman"/>
          <w:color w:val="000000" w:themeColor="text1"/>
          <w:spacing w:val="14"/>
          <w:sz w:val="28"/>
          <w:szCs w:val="28"/>
        </w:rPr>
        <w:t>臺</w:t>
      </w:r>
      <w:r w:rsidR="00C03492" w:rsidRPr="00C77E77">
        <w:rPr>
          <w:rFonts w:ascii="Times New Roman" w:eastAsia="標楷體" w:hAnsi="Times New Roman" w:cs="Times New Roman"/>
          <w:color w:val="000000" w:themeColor="text1"/>
          <w:spacing w:val="14"/>
          <w:sz w:val="28"/>
          <w:szCs w:val="28"/>
        </w:rPr>
        <w:t>灣出口關鍵零組件到東協去生產、組裝成最終產品；只有對於馬來西亞是以輸出最終財為主</w:t>
      </w:r>
      <w:r w:rsidR="00C97C5C" w:rsidRPr="00C77E77">
        <w:rPr>
          <w:rFonts w:ascii="Times New Roman" w:eastAsia="標楷體" w:hAnsi="Times New Roman" w:cs="Times New Roman"/>
          <w:color w:val="000000" w:themeColor="text1"/>
          <w:spacing w:val="14"/>
          <w:sz w:val="28"/>
          <w:szCs w:val="28"/>
        </w:rPr>
        <w:t>。</w:t>
      </w:r>
      <w:r w:rsidR="00C03492" w:rsidRPr="00C77E77">
        <w:rPr>
          <w:rFonts w:ascii="Times New Roman" w:eastAsia="標楷體" w:hAnsi="Times New Roman" w:cs="Times New Roman"/>
          <w:color w:val="000000" w:themeColor="text1"/>
          <w:spacing w:val="14"/>
          <w:sz w:val="28"/>
          <w:szCs w:val="28"/>
        </w:rPr>
        <w:t>以紡織業為例</w:t>
      </w:r>
      <w:r w:rsidR="00184C65" w:rsidRPr="00C77E77">
        <w:rPr>
          <w:rFonts w:ascii="Times New Roman" w:eastAsia="標楷體" w:hAnsi="Times New Roman" w:cs="Times New Roman"/>
          <w:color w:val="000000" w:themeColor="text1"/>
          <w:spacing w:val="14"/>
          <w:sz w:val="28"/>
          <w:szCs w:val="28"/>
        </w:rPr>
        <w:t>，我國紡織業對外投資以下游成衣服飾品業為主，中上游為次。就下游業對外投資原因而言，勞力成本、市場、當地貿易條件均是考量重點，故多以東協國家做為主要投資設廠對象。</w:t>
      </w:r>
      <w:r w:rsidR="00C03492" w:rsidRPr="00C77E77">
        <w:rPr>
          <w:rStyle w:val="a9"/>
          <w:rFonts w:ascii="Times New Roman" w:eastAsia="標楷體" w:hAnsi="Times New Roman" w:cs="Times New Roman"/>
          <w:color w:val="000000" w:themeColor="text1"/>
          <w:spacing w:val="14"/>
          <w:sz w:val="28"/>
          <w:szCs w:val="28"/>
        </w:rPr>
        <w:footnoteReference w:id="28"/>
      </w:r>
      <w:r w:rsidR="00C97C5C" w:rsidRPr="00C77E77">
        <w:rPr>
          <w:rFonts w:ascii="Times New Roman" w:eastAsia="標楷體" w:hAnsi="Times New Roman" w:cs="Times New Roman"/>
          <w:color w:val="000000" w:themeColor="text1"/>
          <w:spacing w:val="14"/>
          <w:sz w:val="28"/>
          <w:szCs w:val="28"/>
        </w:rPr>
        <w:t>若進一步將各國區分為臺商投資密集或尚待開發兩個群體，</w:t>
      </w:r>
      <w:r w:rsidR="00E524DA" w:rsidRPr="00C77E77">
        <w:rPr>
          <w:rFonts w:ascii="Times New Roman" w:eastAsia="標楷體" w:hAnsi="Times New Roman" w:cs="Times New Roman"/>
          <w:color w:val="000000" w:themeColor="text1"/>
          <w:spacing w:val="14"/>
          <w:sz w:val="28"/>
          <w:szCs w:val="28"/>
        </w:rPr>
        <w:t>臺</w:t>
      </w:r>
      <w:r w:rsidR="00DA1590" w:rsidRPr="00C77E77">
        <w:rPr>
          <w:rFonts w:ascii="Times New Roman" w:eastAsia="標楷體" w:hAnsi="Times New Roman" w:cs="Times New Roman"/>
          <w:color w:val="000000" w:themeColor="text1"/>
          <w:spacing w:val="14"/>
          <w:sz w:val="28"/>
          <w:szCs w:val="28"/>
        </w:rPr>
        <w:t>灣在</w:t>
      </w:r>
      <w:r w:rsidR="00C97C5C" w:rsidRPr="00C77E77">
        <w:rPr>
          <w:rFonts w:ascii="Times New Roman" w:eastAsia="標楷體" w:hAnsi="Times New Roman" w:cs="Times New Roman"/>
          <w:color w:val="000000" w:themeColor="text1"/>
          <w:spacing w:val="14"/>
          <w:sz w:val="28"/>
          <w:szCs w:val="28"/>
        </w:rPr>
        <w:t>投資密集的國家（印尼、菲律賓、新加坡、越南、泰國）具潛力拓銷產品仍以中間財為主；但在臺商投資尚待開發的國家（柬埔寨、寮國、緬甸、汶萊），臺灣出口最終財的比重較投資密集國略高。</w:t>
      </w:r>
      <w:r w:rsidR="00DA1590" w:rsidRPr="00C77E77">
        <w:rPr>
          <w:rStyle w:val="a9"/>
          <w:rFonts w:ascii="Times New Roman" w:eastAsia="標楷體" w:hAnsi="Times New Roman" w:cs="Times New Roman"/>
          <w:color w:val="000000" w:themeColor="text1"/>
          <w:spacing w:val="14"/>
          <w:sz w:val="28"/>
          <w:szCs w:val="28"/>
        </w:rPr>
        <w:footnoteReference w:id="29"/>
      </w:r>
    </w:p>
    <w:p w:rsidR="009E0EE3" w:rsidRPr="00C77E77" w:rsidRDefault="009E0EE3" w:rsidP="009551A7">
      <w:pPr>
        <w:spacing w:beforeLines="50" w:before="180" w:afterLines="50" w:after="180" w:line="500" w:lineRule="exact"/>
        <w:ind w:firstLine="480"/>
        <w:jc w:val="both"/>
        <w:rPr>
          <w:rFonts w:ascii="Times New Roman" w:eastAsia="標楷體" w:hAnsi="Times New Roman" w:cs="Times New Roman"/>
          <w:color w:val="000000" w:themeColor="text1"/>
          <w:spacing w:val="14"/>
          <w:sz w:val="28"/>
          <w:szCs w:val="28"/>
        </w:rPr>
      </w:pPr>
      <w:r w:rsidRPr="00C77E77">
        <w:rPr>
          <w:rFonts w:ascii="Times New Roman" w:eastAsia="標楷體" w:hAnsi="Times New Roman" w:cs="Times New Roman"/>
          <w:color w:val="000000" w:themeColor="text1"/>
          <w:spacing w:val="14"/>
          <w:sz w:val="28"/>
          <w:szCs w:val="28"/>
        </w:rPr>
        <w:t>然而，</w:t>
      </w:r>
      <w:r w:rsidRPr="00C77E77">
        <w:rPr>
          <w:rFonts w:ascii="Times New Roman" w:eastAsia="標楷體" w:hAnsi="Times New Roman" w:cs="Times New Roman"/>
          <w:color w:val="000000" w:themeColor="text1"/>
          <w:spacing w:val="14"/>
          <w:sz w:val="28"/>
          <w:szCs w:val="28"/>
        </w:rPr>
        <w:t>2015</w:t>
      </w:r>
      <w:r w:rsidRPr="00C77E77">
        <w:rPr>
          <w:rFonts w:ascii="Times New Roman" w:eastAsia="標楷體" w:hAnsi="Times New Roman" w:cs="Times New Roman"/>
          <w:color w:val="000000" w:themeColor="text1"/>
          <w:spacing w:val="14"/>
          <w:sz w:val="28"/>
          <w:szCs w:val="28"/>
        </w:rPr>
        <w:t>年我國與東協貿易總值較</w:t>
      </w:r>
      <w:r w:rsidRPr="00C77E77">
        <w:rPr>
          <w:rFonts w:ascii="Times New Roman" w:eastAsia="標楷體" w:hAnsi="Times New Roman" w:cs="Times New Roman"/>
          <w:color w:val="000000" w:themeColor="text1"/>
          <w:spacing w:val="14"/>
          <w:sz w:val="28"/>
          <w:szCs w:val="28"/>
        </w:rPr>
        <w:t>2014</w:t>
      </w:r>
      <w:r w:rsidRPr="00C77E77">
        <w:rPr>
          <w:rFonts w:ascii="Times New Roman" w:eastAsia="標楷體" w:hAnsi="Times New Roman" w:cs="Times New Roman"/>
          <w:color w:val="000000" w:themeColor="text1"/>
          <w:spacing w:val="14"/>
          <w:sz w:val="28"/>
          <w:szCs w:val="28"/>
        </w:rPr>
        <w:t>年衰退</w:t>
      </w:r>
      <w:r w:rsidRPr="00C77E77">
        <w:rPr>
          <w:rFonts w:ascii="Times New Roman" w:eastAsia="標楷體" w:hAnsi="Times New Roman" w:cs="Times New Roman"/>
          <w:color w:val="000000" w:themeColor="text1"/>
          <w:spacing w:val="14"/>
          <w:sz w:val="28"/>
          <w:szCs w:val="28"/>
        </w:rPr>
        <w:t>15.37</w:t>
      </w:r>
      <w:r w:rsidR="00C02C48" w:rsidRPr="00C77E77">
        <w:rPr>
          <w:rFonts w:ascii="Times New Roman" w:eastAsia="標楷體" w:hAnsi="Times New Roman" w:cs="Times New Roman"/>
          <w:color w:val="000000" w:themeColor="text1"/>
          <w:spacing w:val="14"/>
          <w:sz w:val="28"/>
          <w:szCs w:val="28"/>
        </w:rPr>
        <w:t>％（</w:t>
      </w:r>
      <w:r w:rsidRPr="00C77E77">
        <w:rPr>
          <w:rFonts w:ascii="Times New Roman" w:eastAsia="標楷體" w:hAnsi="Times New Roman" w:cs="Times New Roman"/>
          <w:color w:val="000000" w:themeColor="text1"/>
          <w:spacing w:val="14"/>
          <w:sz w:val="28"/>
          <w:szCs w:val="28"/>
        </w:rPr>
        <w:t>出口減少</w:t>
      </w:r>
      <w:r w:rsidRPr="00C77E77">
        <w:rPr>
          <w:rFonts w:ascii="Times New Roman" w:eastAsia="標楷體" w:hAnsi="Times New Roman" w:cs="Times New Roman"/>
          <w:color w:val="000000" w:themeColor="text1"/>
          <w:spacing w:val="14"/>
          <w:sz w:val="28"/>
          <w:szCs w:val="28"/>
        </w:rPr>
        <w:t>14.45</w:t>
      </w:r>
      <w:r w:rsidRPr="00C77E77">
        <w:rPr>
          <w:rFonts w:ascii="Times New Roman" w:eastAsia="標楷體" w:hAnsi="Times New Roman" w:cs="Times New Roman"/>
          <w:color w:val="000000" w:themeColor="text1"/>
          <w:spacing w:val="14"/>
          <w:sz w:val="28"/>
          <w:szCs w:val="28"/>
        </w:rPr>
        <w:t>％，進口減少</w:t>
      </w:r>
      <w:r w:rsidRPr="00C77E77">
        <w:rPr>
          <w:rFonts w:ascii="Times New Roman" w:eastAsia="標楷體" w:hAnsi="Times New Roman" w:cs="Times New Roman"/>
          <w:color w:val="000000" w:themeColor="text1"/>
          <w:spacing w:val="14"/>
          <w:sz w:val="28"/>
          <w:szCs w:val="28"/>
        </w:rPr>
        <w:t>16.98</w:t>
      </w:r>
      <w:r w:rsidR="00C02C48" w:rsidRPr="00C77E77">
        <w:rPr>
          <w:rFonts w:ascii="Times New Roman" w:eastAsia="標楷體" w:hAnsi="Times New Roman" w:cs="Times New Roman"/>
          <w:color w:val="000000" w:themeColor="text1"/>
          <w:spacing w:val="14"/>
          <w:sz w:val="28"/>
          <w:szCs w:val="28"/>
        </w:rPr>
        <w:t>％）</w:t>
      </w:r>
      <w:r w:rsidRPr="00C77E77">
        <w:rPr>
          <w:rFonts w:ascii="Times New Roman" w:eastAsia="標楷體" w:hAnsi="Times New Roman" w:cs="Times New Roman"/>
          <w:color w:val="000000" w:themeColor="text1"/>
          <w:spacing w:val="14"/>
          <w:sz w:val="28"/>
          <w:szCs w:val="28"/>
        </w:rPr>
        <w:t>，其比例高於我國對外貿易總值之衰退幅度；而我國對東協出超也減少</w:t>
      </w:r>
      <w:r w:rsidRPr="00C77E77">
        <w:rPr>
          <w:rFonts w:ascii="Times New Roman" w:eastAsia="標楷體" w:hAnsi="Times New Roman" w:cs="Times New Roman"/>
          <w:color w:val="000000" w:themeColor="text1"/>
          <w:spacing w:val="14"/>
          <w:sz w:val="28"/>
          <w:szCs w:val="28"/>
        </w:rPr>
        <w:t>11.05</w:t>
      </w:r>
      <w:r w:rsidRPr="00C77E77">
        <w:rPr>
          <w:rFonts w:ascii="Times New Roman" w:eastAsia="標楷體" w:hAnsi="Times New Roman" w:cs="Times New Roman"/>
          <w:color w:val="000000" w:themeColor="text1"/>
          <w:spacing w:val="14"/>
          <w:sz w:val="28"/>
          <w:szCs w:val="28"/>
        </w:rPr>
        <w:t>％。</w:t>
      </w:r>
      <w:r w:rsidRPr="00C77E77">
        <w:rPr>
          <w:rStyle w:val="a9"/>
          <w:rFonts w:ascii="Times New Roman" w:eastAsia="標楷體" w:hAnsi="Times New Roman" w:cs="Times New Roman"/>
          <w:color w:val="000000" w:themeColor="text1"/>
          <w:spacing w:val="14"/>
          <w:sz w:val="28"/>
          <w:szCs w:val="28"/>
        </w:rPr>
        <w:footnoteReference w:id="30"/>
      </w:r>
      <w:r w:rsidRPr="00C77E77">
        <w:rPr>
          <w:rFonts w:ascii="Times New Roman" w:eastAsia="標楷體" w:hAnsi="Times New Roman" w:cs="Times New Roman"/>
          <w:color w:val="000000" w:themeColor="text1"/>
          <w:spacing w:val="14"/>
          <w:sz w:val="28"/>
          <w:szCs w:val="28"/>
        </w:rPr>
        <w:t>檢視</w:t>
      </w:r>
      <w:r w:rsidRPr="00C77E77">
        <w:rPr>
          <w:rFonts w:ascii="Times New Roman" w:eastAsia="標楷體" w:hAnsi="Times New Roman" w:cs="Times New Roman"/>
          <w:color w:val="000000" w:themeColor="text1"/>
          <w:sz w:val="28"/>
          <w:szCs w:val="28"/>
        </w:rPr>
        <w:t>我國與東協貿易下降的原因，</w:t>
      </w:r>
      <w:r w:rsidR="00DD4728" w:rsidRPr="00C77E77">
        <w:rPr>
          <w:rFonts w:ascii="Times New Roman" w:eastAsia="標楷體" w:hAnsi="Times New Roman" w:cs="Times New Roman"/>
          <w:color w:val="000000" w:themeColor="text1"/>
          <w:sz w:val="28"/>
          <w:szCs w:val="28"/>
        </w:rPr>
        <w:t>首先</w:t>
      </w:r>
      <w:r w:rsidR="001720A8" w:rsidRPr="00C77E77">
        <w:rPr>
          <w:rFonts w:ascii="Times New Roman" w:eastAsia="標楷體" w:hAnsi="Times New Roman" w:cs="Times New Roman"/>
          <w:color w:val="000000" w:themeColor="text1"/>
          <w:sz w:val="28"/>
          <w:szCs w:val="28"/>
        </w:rPr>
        <w:t>是</w:t>
      </w:r>
      <w:r w:rsidR="00DD4728" w:rsidRPr="00C77E77">
        <w:rPr>
          <w:rFonts w:ascii="Times New Roman" w:eastAsia="標楷體" w:hAnsi="Times New Roman" w:cs="Times New Roman"/>
          <w:color w:val="000000" w:themeColor="text1"/>
          <w:sz w:val="28"/>
          <w:szCs w:val="28"/>
        </w:rPr>
        <w:t>來自貿易移轉</w:t>
      </w:r>
      <w:r w:rsidR="00424D0E" w:rsidRPr="00C77E77">
        <w:rPr>
          <w:rFonts w:ascii="Times New Roman" w:eastAsia="標楷體" w:hAnsi="Times New Roman" w:cs="Times New Roman"/>
          <w:color w:val="000000" w:themeColor="text1"/>
          <w:sz w:val="28"/>
          <w:szCs w:val="28"/>
        </w:rPr>
        <w:t>效果。</w:t>
      </w:r>
      <w:r w:rsidR="00DD4728" w:rsidRPr="00C77E77">
        <w:rPr>
          <w:rFonts w:ascii="Times New Roman" w:eastAsia="標楷體" w:hAnsi="Times New Roman" w:cs="Times New Roman"/>
          <w:color w:val="000000" w:themeColor="text1"/>
          <w:sz w:val="28"/>
          <w:szCs w:val="28"/>
        </w:rPr>
        <w:t>東協已整合成共同體，內部成員間關稅大幅降低，同時東協已經完成與中國大陸、日本、韓國等國家之</w:t>
      </w:r>
      <w:r w:rsidR="00DD4728" w:rsidRPr="00C77E77">
        <w:rPr>
          <w:rFonts w:ascii="Times New Roman" w:eastAsia="標楷體" w:hAnsi="Times New Roman" w:cs="Times New Roman"/>
          <w:color w:val="000000" w:themeColor="text1"/>
          <w:sz w:val="28"/>
          <w:szCs w:val="28"/>
        </w:rPr>
        <w:t>FTA</w:t>
      </w:r>
      <w:r w:rsidR="00DD4728" w:rsidRPr="00C77E77">
        <w:rPr>
          <w:rFonts w:ascii="Times New Roman" w:eastAsia="標楷體" w:hAnsi="Times New Roman" w:cs="Times New Roman"/>
          <w:color w:val="000000" w:themeColor="text1"/>
          <w:sz w:val="28"/>
          <w:szCs w:val="28"/>
        </w:rPr>
        <w:t>簽署，不利我國出口產品競爭力。面對新一輪區域經濟整合（</w:t>
      </w:r>
      <w:r w:rsidR="00DD4728" w:rsidRPr="00C77E77">
        <w:rPr>
          <w:rFonts w:ascii="Times New Roman" w:eastAsia="標楷體" w:hAnsi="Times New Roman" w:cs="Times New Roman"/>
          <w:color w:val="000000" w:themeColor="text1"/>
          <w:sz w:val="28"/>
          <w:szCs w:val="28"/>
        </w:rPr>
        <w:t>RCEP</w:t>
      </w:r>
      <w:r w:rsidR="00DD4728" w:rsidRPr="00C77E77">
        <w:rPr>
          <w:rFonts w:ascii="Times New Roman" w:eastAsia="標楷體" w:hAnsi="Times New Roman" w:cs="Times New Roman"/>
          <w:color w:val="000000" w:themeColor="text1"/>
          <w:sz w:val="28"/>
          <w:szCs w:val="28"/>
        </w:rPr>
        <w:t>）的浪潮，</w:t>
      </w:r>
      <w:r w:rsidR="00E524DA" w:rsidRPr="00C77E77">
        <w:rPr>
          <w:rFonts w:ascii="Times New Roman" w:eastAsia="標楷體" w:hAnsi="Times New Roman" w:cs="Times New Roman"/>
          <w:color w:val="000000" w:themeColor="text1"/>
          <w:sz w:val="28"/>
          <w:szCs w:val="28"/>
        </w:rPr>
        <w:t>臺</w:t>
      </w:r>
      <w:r w:rsidR="00DD4728" w:rsidRPr="00C77E77">
        <w:rPr>
          <w:rFonts w:ascii="Times New Roman" w:eastAsia="標楷體" w:hAnsi="Times New Roman" w:cs="Times New Roman"/>
          <w:color w:val="000000" w:themeColor="text1"/>
          <w:sz w:val="28"/>
          <w:szCs w:val="28"/>
        </w:rPr>
        <w:t>灣需及早擬定因應措施。第二，</w:t>
      </w:r>
      <w:r w:rsidR="00E524DA" w:rsidRPr="00C77E77">
        <w:rPr>
          <w:rFonts w:ascii="Times New Roman" w:eastAsia="標楷體" w:hAnsi="Times New Roman" w:cs="Times New Roman"/>
          <w:color w:val="000000" w:themeColor="text1"/>
          <w:sz w:val="28"/>
          <w:szCs w:val="28"/>
        </w:rPr>
        <w:t>臺</w:t>
      </w:r>
      <w:r w:rsidR="0075204A" w:rsidRPr="00C77E77">
        <w:rPr>
          <w:rFonts w:ascii="Times New Roman" w:eastAsia="標楷體" w:hAnsi="Times New Roman" w:cs="Times New Roman"/>
          <w:color w:val="000000" w:themeColor="text1"/>
          <w:sz w:val="28"/>
          <w:szCs w:val="28"/>
        </w:rPr>
        <w:t>灣</w:t>
      </w:r>
      <w:r w:rsidR="001720A8" w:rsidRPr="00C77E77">
        <w:rPr>
          <w:rFonts w:ascii="Times New Roman" w:eastAsia="標楷體" w:hAnsi="Times New Roman" w:cs="Times New Roman"/>
          <w:color w:val="000000" w:themeColor="text1"/>
          <w:sz w:val="28"/>
          <w:szCs w:val="28"/>
        </w:rPr>
        <w:t>產業</w:t>
      </w:r>
      <w:r w:rsidR="0075204A" w:rsidRPr="00C77E77">
        <w:rPr>
          <w:rFonts w:ascii="Times New Roman" w:eastAsia="標楷體" w:hAnsi="Times New Roman" w:cs="Times New Roman"/>
          <w:color w:val="000000" w:themeColor="text1"/>
          <w:sz w:val="28"/>
          <w:szCs w:val="28"/>
        </w:rPr>
        <w:t>出口結構</w:t>
      </w:r>
      <w:r w:rsidR="001720A8" w:rsidRPr="00C77E77">
        <w:rPr>
          <w:rFonts w:ascii="Times New Roman" w:eastAsia="標楷體" w:hAnsi="Times New Roman" w:cs="Times New Roman"/>
          <w:color w:val="000000" w:themeColor="text1"/>
          <w:sz w:val="28"/>
          <w:szCs w:val="28"/>
        </w:rPr>
        <w:t>失衡，紅海式價格競爭面臨瓶頸。</w:t>
      </w:r>
      <w:r w:rsidR="00DD4728" w:rsidRPr="00C77E77">
        <w:rPr>
          <w:rFonts w:ascii="Times New Roman" w:eastAsia="標楷體" w:hAnsi="Times New Roman" w:cs="Times New Roman"/>
          <w:color w:val="000000" w:themeColor="text1"/>
          <w:sz w:val="28"/>
          <w:szCs w:val="28"/>
        </w:rPr>
        <w:t>臺灣出口至東協國家的產品以商品為主，服務業所占份額較小，其中又以中間財為大宗</w:t>
      </w:r>
      <w:r w:rsidR="0075204A" w:rsidRPr="00C77E77">
        <w:rPr>
          <w:rFonts w:ascii="Times New Roman" w:eastAsia="標楷體" w:hAnsi="Times New Roman" w:cs="Times New Roman"/>
          <w:color w:val="000000" w:themeColor="text1"/>
          <w:sz w:val="28"/>
          <w:szCs w:val="28"/>
        </w:rPr>
        <w:t>。</w:t>
      </w:r>
      <w:r w:rsidR="00DD4728" w:rsidRPr="00C77E77">
        <w:rPr>
          <w:rFonts w:ascii="Times New Roman" w:eastAsia="標楷體" w:hAnsi="Times New Roman" w:cs="Times New Roman"/>
          <w:color w:val="000000" w:themeColor="text1"/>
          <w:sz w:val="28"/>
          <w:szCs w:val="28"/>
        </w:rPr>
        <w:t>未來我國必須進行貿易結構調整並</w:t>
      </w:r>
      <w:r w:rsidR="0075204A" w:rsidRPr="00C77E77">
        <w:rPr>
          <w:rFonts w:ascii="Times New Roman" w:eastAsia="標楷體" w:hAnsi="Times New Roman" w:cs="Times New Roman"/>
          <w:color w:val="000000" w:themeColor="text1"/>
          <w:sz w:val="28"/>
          <w:szCs w:val="28"/>
        </w:rPr>
        <w:t>積極</w:t>
      </w:r>
      <w:r w:rsidR="00DD4728" w:rsidRPr="00C77E77">
        <w:rPr>
          <w:rFonts w:ascii="Times New Roman" w:eastAsia="標楷體" w:hAnsi="Times New Roman" w:cs="Times New Roman"/>
          <w:color w:val="000000" w:themeColor="text1"/>
          <w:sz w:val="28"/>
          <w:szCs w:val="28"/>
        </w:rPr>
        <w:t>開拓東協內需市場。</w:t>
      </w:r>
      <w:r w:rsidR="001720A8" w:rsidRPr="00C77E77">
        <w:rPr>
          <w:rFonts w:ascii="Times New Roman" w:eastAsia="標楷體" w:hAnsi="Times New Roman" w:cs="Times New Roman"/>
          <w:color w:val="000000" w:themeColor="text1"/>
          <w:sz w:val="28"/>
          <w:szCs w:val="28"/>
        </w:rPr>
        <w:t>第三，臺灣為小型而高度開放的經濟體，對外貿易依存度高，易受</w:t>
      </w:r>
      <w:r w:rsidR="00D17097" w:rsidRPr="00C77E77">
        <w:rPr>
          <w:rFonts w:ascii="Times New Roman" w:eastAsia="標楷體" w:hAnsi="Times New Roman" w:cs="Times New Roman"/>
          <w:color w:val="000000" w:themeColor="text1"/>
          <w:sz w:val="28"/>
          <w:szCs w:val="28"/>
        </w:rPr>
        <w:t>國際景氣的影響。</w:t>
      </w:r>
      <w:r w:rsidR="001720A8" w:rsidRPr="00C77E77">
        <w:rPr>
          <w:rFonts w:ascii="Times New Roman" w:eastAsia="標楷體" w:hAnsi="Times New Roman" w:cs="Times New Roman"/>
          <w:color w:val="000000" w:themeColor="text1"/>
          <w:sz w:val="28"/>
          <w:szCs w:val="28"/>
        </w:rPr>
        <w:t>近年各國逐步降低自國外進口零組件，改由國內生產或轉向當地採購，</w:t>
      </w:r>
      <w:r w:rsidRPr="00C77E77">
        <w:rPr>
          <w:rFonts w:ascii="Times New Roman" w:eastAsia="標楷體" w:hAnsi="Times New Roman" w:cs="Times New Roman"/>
          <w:color w:val="000000" w:themeColor="text1"/>
          <w:sz w:val="28"/>
          <w:szCs w:val="28"/>
        </w:rPr>
        <w:t>則</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灣的出口必然會受到影響。</w:t>
      </w:r>
      <w:r w:rsidR="00AD03ED" w:rsidRPr="00C77E77">
        <w:rPr>
          <w:rFonts w:ascii="Times New Roman" w:eastAsia="標楷體" w:hAnsi="Times New Roman" w:cs="Times New Roman"/>
          <w:color w:val="000000" w:themeColor="text1"/>
          <w:sz w:val="28"/>
          <w:szCs w:val="28"/>
        </w:rPr>
        <w:t>我</w:t>
      </w:r>
      <w:r w:rsidR="00AD03ED" w:rsidRPr="00C77E77">
        <w:rPr>
          <w:rFonts w:ascii="Times New Roman" w:eastAsia="標楷體" w:hAnsi="Times New Roman" w:cs="Times New Roman"/>
          <w:color w:val="000000" w:themeColor="text1"/>
          <w:spacing w:val="14"/>
          <w:sz w:val="28"/>
          <w:szCs w:val="28"/>
        </w:rPr>
        <w:t>國與東協貿易雙邊貿易由盛轉衰</w:t>
      </w:r>
      <w:r w:rsidR="00954281" w:rsidRPr="00C77E77">
        <w:rPr>
          <w:rFonts w:ascii="Times New Roman" w:eastAsia="標楷體" w:hAnsi="Times New Roman" w:cs="Times New Roman"/>
          <w:color w:val="000000" w:themeColor="text1"/>
          <w:spacing w:val="14"/>
          <w:sz w:val="28"/>
          <w:szCs w:val="28"/>
        </w:rPr>
        <w:t>情勢引發關注，務需採取有效的政策</w:t>
      </w:r>
      <w:r w:rsidR="00AD03ED" w:rsidRPr="00C77E77">
        <w:rPr>
          <w:rFonts w:ascii="Times New Roman" w:eastAsia="標楷體" w:hAnsi="Times New Roman" w:cs="Times New Roman"/>
          <w:color w:val="000000" w:themeColor="text1"/>
          <w:spacing w:val="14"/>
          <w:sz w:val="28"/>
          <w:szCs w:val="28"/>
        </w:rPr>
        <w:t>加</w:t>
      </w:r>
      <w:r w:rsidR="00954281" w:rsidRPr="00C77E77">
        <w:rPr>
          <w:rFonts w:ascii="Times New Roman" w:eastAsia="標楷體" w:hAnsi="Times New Roman" w:cs="Times New Roman"/>
          <w:color w:val="000000" w:themeColor="text1"/>
          <w:spacing w:val="14"/>
          <w:sz w:val="28"/>
          <w:szCs w:val="28"/>
        </w:rPr>
        <w:t>以扭轉。</w:t>
      </w:r>
    </w:p>
    <w:p w:rsidR="009E0EE3" w:rsidRPr="00C77E77" w:rsidRDefault="009E0EE3" w:rsidP="009551A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另一方面，我國還長期忽視印度這個的龐大市場，</w:t>
      </w:r>
      <w:r w:rsidRPr="00C77E77">
        <w:rPr>
          <w:rFonts w:ascii="Times New Roman" w:eastAsia="標楷體" w:hAnsi="Times New Roman" w:cs="Times New Roman"/>
          <w:spacing w:val="14"/>
          <w:sz w:val="28"/>
          <w:szCs w:val="28"/>
        </w:rPr>
        <w:t>應高度重視印度經濟持續成長加上龐大人口所帶來的發展潛力，並積極擴大合作關係</w:t>
      </w:r>
      <w:r w:rsidRPr="00C77E77">
        <w:rPr>
          <w:rFonts w:ascii="Times New Roman" w:eastAsia="標楷體" w:hAnsi="Times New Roman" w:cs="Times New Roman"/>
          <w:sz w:val="28"/>
          <w:szCs w:val="28"/>
        </w:rPr>
        <w:t>。臺灣在</w:t>
      </w:r>
      <w:r w:rsidRPr="00C77E77">
        <w:rPr>
          <w:rFonts w:ascii="Times New Roman" w:eastAsia="標楷體" w:hAnsi="Times New Roman" w:cs="Times New Roman"/>
          <w:sz w:val="28"/>
          <w:szCs w:val="28"/>
        </w:rPr>
        <w:t>1990</w:t>
      </w:r>
      <w:r w:rsidRPr="00C77E77">
        <w:rPr>
          <w:rFonts w:ascii="Times New Roman" w:eastAsia="標楷體" w:hAnsi="Times New Roman" w:cs="Times New Roman"/>
          <w:sz w:val="28"/>
          <w:szCs w:val="28"/>
        </w:rPr>
        <w:t>年以前皆無赴印度之投資。據印度商工部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月統計資料顯示，臺商對印度直接投資（</w:t>
      </w:r>
      <w:r w:rsidRPr="00C77E77">
        <w:rPr>
          <w:rFonts w:ascii="Times New Roman" w:eastAsia="標楷體" w:hAnsi="Times New Roman" w:cs="Times New Roman"/>
          <w:sz w:val="28"/>
          <w:szCs w:val="28"/>
        </w:rPr>
        <w:t>FDI</w:t>
      </w:r>
      <w:r w:rsidRPr="00C77E77">
        <w:rPr>
          <w:rFonts w:ascii="Times New Roman" w:eastAsia="標楷體" w:hAnsi="Times New Roman" w:cs="Times New Roman"/>
          <w:sz w:val="28"/>
          <w:szCs w:val="28"/>
        </w:rPr>
        <w:t>）印尼累計金額為</w:t>
      </w:r>
      <w:r w:rsidRPr="00C77E77">
        <w:rPr>
          <w:rFonts w:ascii="Times New Roman" w:eastAsia="標楷體" w:hAnsi="Times New Roman" w:cs="Times New Roman"/>
          <w:sz w:val="28"/>
          <w:szCs w:val="28"/>
        </w:rPr>
        <w:t>9,712</w:t>
      </w:r>
      <w:r w:rsidRPr="00C77E77">
        <w:rPr>
          <w:rFonts w:ascii="Times New Roman" w:eastAsia="標楷體" w:hAnsi="Times New Roman" w:cs="Times New Roman"/>
          <w:sz w:val="28"/>
          <w:szCs w:val="28"/>
        </w:rPr>
        <w:t>萬美元，居外人投資第</w:t>
      </w:r>
      <w:r w:rsidRPr="00C77E77">
        <w:rPr>
          <w:rFonts w:ascii="Times New Roman" w:eastAsia="標楷體" w:hAnsi="Times New Roman" w:cs="Times New Roman"/>
          <w:sz w:val="28"/>
          <w:szCs w:val="28"/>
        </w:rPr>
        <w:t>43</w:t>
      </w:r>
      <w:r w:rsidRPr="00C77E77">
        <w:rPr>
          <w:rFonts w:ascii="Times New Roman" w:eastAsia="標楷體" w:hAnsi="Times New Roman" w:cs="Times New Roman"/>
          <w:sz w:val="28"/>
          <w:szCs w:val="28"/>
        </w:rPr>
        <w:t>位，占印度</w:t>
      </w:r>
      <w:r w:rsidRPr="00C77E77">
        <w:rPr>
          <w:rFonts w:ascii="Times New Roman" w:eastAsia="標楷體" w:hAnsi="Times New Roman" w:cs="Times New Roman"/>
          <w:sz w:val="28"/>
          <w:szCs w:val="28"/>
        </w:rPr>
        <w:t>FDI</w:t>
      </w:r>
      <w:r w:rsidRPr="00C77E77">
        <w:rPr>
          <w:rFonts w:ascii="Times New Roman" w:eastAsia="標楷體" w:hAnsi="Times New Roman" w:cs="Times New Roman"/>
          <w:sz w:val="28"/>
          <w:szCs w:val="28"/>
        </w:rPr>
        <w:t>比重</w:t>
      </w:r>
      <w:r w:rsidRPr="00C77E77">
        <w:rPr>
          <w:rFonts w:ascii="Times New Roman" w:eastAsia="標楷體" w:hAnsi="Times New Roman" w:cs="Times New Roman"/>
          <w:sz w:val="28"/>
          <w:szCs w:val="28"/>
        </w:rPr>
        <w:t>0.04%</w:t>
      </w:r>
      <w:r w:rsidRPr="00C77E77">
        <w:rPr>
          <w:rFonts w:ascii="Times New Roman" w:eastAsia="標楷體" w:hAnsi="Times New Roman" w:cs="Times New Roman"/>
          <w:sz w:val="28"/>
          <w:szCs w:val="28"/>
        </w:rPr>
        <w:t>。</w:t>
      </w:r>
      <w:r w:rsidRPr="00C77E77">
        <w:rPr>
          <w:rFonts w:ascii="Times New Roman" w:eastAsia="標楷體" w:hAnsi="Times New Roman" w:cs="Times New Roman"/>
          <w:spacing w:val="14"/>
          <w:sz w:val="28"/>
          <w:szCs w:val="28"/>
        </w:rPr>
        <w:t>過去</w:t>
      </w:r>
      <w:r w:rsidRPr="00C77E77">
        <w:rPr>
          <w:rFonts w:ascii="Times New Roman" w:eastAsia="標楷體" w:hAnsi="Times New Roman" w:cs="Times New Roman"/>
          <w:spacing w:val="14"/>
          <w:sz w:val="28"/>
          <w:szCs w:val="28"/>
        </w:rPr>
        <w:t>20</w:t>
      </w:r>
      <w:r w:rsidRPr="00C77E77">
        <w:rPr>
          <w:rFonts w:ascii="Times New Roman" w:eastAsia="標楷體" w:hAnsi="Times New Roman" w:cs="Times New Roman"/>
          <w:spacing w:val="14"/>
          <w:sz w:val="28"/>
          <w:szCs w:val="28"/>
        </w:rPr>
        <w:t>年來，印度平均經濟成長率為</w:t>
      </w:r>
      <w:r w:rsidRPr="00C77E77">
        <w:rPr>
          <w:rFonts w:ascii="Times New Roman" w:eastAsia="標楷體" w:hAnsi="Times New Roman" w:cs="Times New Roman"/>
          <w:spacing w:val="14"/>
          <w:sz w:val="28"/>
          <w:szCs w:val="28"/>
        </w:rPr>
        <w:t>5.8%</w:t>
      </w:r>
      <w:r w:rsidRPr="00C77E77">
        <w:rPr>
          <w:rFonts w:ascii="Times New Roman" w:eastAsia="標楷體" w:hAnsi="Times New Roman" w:cs="Times New Roman"/>
          <w:spacing w:val="14"/>
          <w:sz w:val="28"/>
          <w:szCs w:val="28"/>
        </w:rPr>
        <w:t>，</w:t>
      </w:r>
      <w:r w:rsidRPr="00C77E77">
        <w:rPr>
          <w:rFonts w:ascii="Times New Roman" w:eastAsia="標楷體" w:hAnsi="Times New Roman" w:cs="Times New Roman"/>
          <w:spacing w:val="14"/>
          <w:sz w:val="28"/>
          <w:szCs w:val="28"/>
        </w:rPr>
        <w:t>2015</w:t>
      </w:r>
      <w:r w:rsidRPr="00C77E77">
        <w:rPr>
          <w:rFonts w:ascii="Times New Roman" w:eastAsia="標楷體" w:hAnsi="Times New Roman" w:cs="Times New Roman"/>
          <w:spacing w:val="14"/>
          <w:sz w:val="28"/>
          <w:szCs w:val="28"/>
        </w:rPr>
        <w:t>年預計為</w:t>
      </w:r>
      <w:r w:rsidRPr="00C77E77">
        <w:rPr>
          <w:rFonts w:ascii="Times New Roman" w:eastAsia="標楷體" w:hAnsi="Times New Roman" w:cs="Times New Roman"/>
          <w:spacing w:val="14"/>
          <w:sz w:val="28"/>
          <w:szCs w:val="28"/>
        </w:rPr>
        <w:t>7.5%</w:t>
      </w:r>
      <w:r w:rsidRPr="00C77E77">
        <w:rPr>
          <w:rFonts w:ascii="Times New Roman" w:eastAsia="標楷體" w:hAnsi="Times New Roman" w:cs="Times New Roman"/>
          <w:spacing w:val="14"/>
          <w:sz w:val="28"/>
          <w:szCs w:val="28"/>
        </w:rPr>
        <w:t>。</w:t>
      </w:r>
      <w:r w:rsidRPr="00C77E77">
        <w:rPr>
          <w:rFonts w:ascii="Times New Roman" w:eastAsia="標楷體" w:hAnsi="Times New Roman" w:cs="Times New Roman"/>
          <w:spacing w:val="14"/>
          <w:sz w:val="28"/>
          <w:szCs w:val="28"/>
        </w:rPr>
        <w:t>2015</w:t>
      </w:r>
      <w:r w:rsidRPr="00C77E77">
        <w:rPr>
          <w:rFonts w:ascii="Times New Roman" w:eastAsia="標楷體" w:hAnsi="Times New Roman" w:cs="Times New Roman"/>
          <w:spacing w:val="14"/>
          <w:sz w:val="28"/>
          <w:szCs w:val="28"/>
        </w:rPr>
        <w:t>年我國與印度貿易金額達</w:t>
      </w:r>
      <w:r w:rsidRPr="00C77E77">
        <w:rPr>
          <w:rFonts w:ascii="Times New Roman" w:eastAsia="標楷體" w:hAnsi="Times New Roman" w:cs="Times New Roman"/>
          <w:spacing w:val="14"/>
          <w:sz w:val="28"/>
          <w:szCs w:val="28"/>
        </w:rPr>
        <w:t>48</w:t>
      </w:r>
      <w:r w:rsidRPr="00C77E77">
        <w:rPr>
          <w:rFonts w:ascii="Times New Roman" w:eastAsia="標楷體" w:hAnsi="Times New Roman" w:cs="Times New Roman"/>
          <w:spacing w:val="14"/>
          <w:sz w:val="28"/>
          <w:szCs w:val="28"/>
        </w:rPr>
        <w:t>億美元，占我國對外貿易總額</w:t>
      </w:r>
      <w:r w:rsidRPr="00C77E77">
        <w:rPr>
          <w:rFonts w:ascii="Times New Roman" w:eastAsia="標楷體" w:hAnsi="Times New Roman" w:cs="Times New Roman"/>
          <w:spacing w:val="14"/>
          <w:sz w:val="28"/>
          <w:szCs w:val="28"/>
        </w:rPr>
        <w:t>0.95%</w:t>
      </w:r>
      <w:r w:rsidRPr="00C77E77">
        <w:rPr>
          <w:rFonts w:ascii="Times New Roman" w:eastAsia="標楷體" w:hAnsi="Times New Roman" w:cs="Times New Roman"/>
          <w:spacing w:val="14"/>
          <w:sz w:val="28"/>
          <w:szCs w:val="28"/>
        </w:rPr>
        <w:t>，為我國第</w:t>
      </w:r>
      <w:r w:rsidRPr="00C77E77">
        <w:rPr>
          <w:rFonts w:ascii="Times New Roman" w:eastAsia="標楷體" w:hAnsi="Times New Roman" w:cs="Times New Roman"/>
          <w:spacing w:val="14"/>
          <w:sz w:val="28"/>
          <w:szCs w:val="28"/>
        </w:rPr>
        <w:t>18</w:t>
      </w:r>
      <w:r w:rsidRPr="00C77E77">
        <w:rPr>
          <w:rFonts w:ascii="Times New Roman" w:eastAsia="標楷體" w:hAnsi="Times New Roman" w:cs="Times New Roman"/>
          <w:spacing w:val="14"/>
          <w:sz w:val="28"/>
          <w:szCs w:val="28"/>
        </w:rPr>
        <w:t>大貿易夥伴也是第</w:t>
      </w:r>
      <w:r w:rsidRPr="00C77E77">
        <w:rPr>
          <w:rFonts w:ascii="Times New Roman" w:eastAsia="標楷體" w:hAnsi="Times New Roman" w:cs="Times New Roman"/>
          <w:spacing w:val="14"/>
          <w:sz w:val="28"/>
          <w:szCs w:val="28"/>
        </w:rPr>
        <w:t>16</w:t>
      </w:r>
      <w:r w:rsidRPr="00C77E77">
        <w:rPr>
          <w:rFonts w:ascii="Times New Roman" w:eastAsia="標楷體" w:hAnsi="Times New Roman" w:cs="Times New Roman"/>
          <w:spacing w:val="14"/>
          <w:sz w:val="28"/>
          <w:szCs w:val="28"/>
        </w:rPr>
        <w:t>大出口市場。</w:t>
      </w:r>
      <w:r w:rsidRPr="00C77E77">
        <w:rPr>
          <w:rFonts w:ascii="Times New Roman" w:eastAsia="標楷體" w:hAnsi="Times New Roman" w:cs="Times New Roman"/>
          <w:sz w:val="28"/>
          <w:szCs w:val="28"/>
        </w:rPr>
        <w:t>不過，</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年對印度的貿易額僅占臺灣對外貿易額的</w:t>
      </w:r>
      <w:r w:rsidRPr="00C77E77">
        <w:rPr>
          <w:rFonts w:ascii="Times New Roman" w:eastAsia="標楷體" w:hAnsi="Times New Roman" w:cs="Times New Roman"/>
          <w:sz w:val="28"/>
          <w:szCs w:val="28"/>
        </w:rPr>
        <w:t>0.95%</w:t>
      </w:r>
      <w:r w:rsidRPr="00C77E77">
        <w:rPr>
          <w:rFonts w:ascii="Times New Roman" w:eastAsia="標楷體" w:hAnsi="Times New Roman" w:cs="Times New Roman"/>
          <w:sz w:val="28"/>
          <w:szCs w:val="28"/>
        </w:rPr>
        <w:t>。</w:t>
      </w:r>
    </w:p>
    <w:p w:rsidR="009E0EE3" w:rsidRPr="00C77E77" w:rsidRDefault="009E0EE3" w:rsidP="009551A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pacing w:val="14"/>
          <w:sz w:val="28"/>
          <w:szCs w:val="28"/>
        </w:rPr>
        <w:t>換言之，</w:t>
      </w:r>
      <w:r w:rsidRPr="00C77E77">
        <w:rPr>
          <w:rFonts w:ascii="Times New Roman" w:eastAsia="標楷體" w:hAnsi="Times New Roman" w:cs="Times New Roman"/>
          <w:sz w:val="28"/>
          <w:szCs w:val="28"/>
        </w:rPr>
        <w:t>臺灣長期被排除在亞太經濟整合之外，而當前中國大陸投資環境的改變，增加了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商西進投資的成本；且隨著大陸供應鏈益日趨完整，將直接衝擊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灣中間財出口，兩岸競爭加劇，影響</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灣在國際分工體系的位置。相較於中國大陸市場，雖然</w:t>
      </w:r>
      <w:r w:rsidRPr="00C77E77">
        <w:rPr>
          <w:rFonts w:ascii="Times New Roman" w:eastAsia="標楷體" w:hAnsi="Times New Roman" w:cs="Times New Roman"/>
          <w:spacing w:val="14"/>
          <w:sz w:val="28"/>
          <w:szCs w:val="28"/>
        </w:rPr>
        <w:t>印度與東協</w:t>
      </w:r>
      <w:r w:rsidRPr="00C77E77">
        <w:rPr>
          <w:rFonts w:ascii="Times New Roman" w:eastAsia="標楷體" w:hAnsi="Times New Roman" w:cs="Times New Roman"/>
          <w:sz w:val="28"/>
          <w:szCs w:val="28"/>
        </w:rPr>
        <w:t>已經歷了快速的經濟發展，成為</w:t>
      </w:r>
      <w:r w:rsidRPr="00C77E77">
        <w:rPr>
          <w:rFonts w:ascii="Times New Roman" w:eastAsia="標楷體" w:hAnsi="Times New Roman" w:cs="Times New Roman"/>
          <w:spacing w:val="14"/>
          <w:sz w:val="28"/>
          <w:szCs w:val="28"/>
        </w:rPr>
        <w:t>全球最受矚目的兩個新興市場，不過</w:t>
      </w:r>
      <w:r w:rsidRPr="00C77E77">
        <w:rPr>
          <w:rFonts w:ascii="Times New Roman" w:eastAsia="標楷體" w:hAnsi="Times New Roman" w:cs="Times New Roman"/>
          <w:sz w:val="28"/>
          <w:szCs w:val="28"/>
        </w:rPr>
        <w:t>我國近年來與東南亞國家的互動卻呈現下滑，而與印度的互動也仍處持續低迷的狀態，亟待加以鞏固與擴大。</w:t>
      </w:r>
    </w:p>
    <w:p w:rsidR="009E0EE3" w:rsidRPr="00C77E77" w:rsidRDefault="009E0EE3" w:rsidP="009551A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在此國際趨勢下，推動新南向政策是我國產業謀求發展的一條必要路線。臺灣是海島型經濟國家，出口占</w:t>
      </w:r>
      <w:r w:rsidRPr="00C77E77">
        <w:rPr>
          <w:rFonts w:ascii="Times New Roman" w:eastAsia="標楷體" w:hAnsi="Times New Roman" w:cs="Times New Roman"/>
          <w:sz w:val="28"/>
          <w:szCs w:val="28"/>
        </w:rPr>
        <w:t>GDP</w:t>
      </w:r>
      <w:r w:rsidRPr="00C77E77">
        <w:rPr>
          <w:rFonts w:ascii="Times New Roman" w:eastAsia="標楷體" w:hAnsi="Times New Roman" w:cs="Times New Roman"/>
          <w:sz w:val="28"/>
          <w:szCs w:val="28"/>
        </w:rPr>
        <w:t>比重達</w:t>
      </w:r>
      <w:r w:rsidRPr="00C77E77">
        <w:rPr>
          <w:rFonts w:ascii="Times New Roman" w:eastAsia="標楷體" w:hAnsi="Times New Roman" w:cs="Times New Roman"/>
          <w:sz w:val="28"/>
          <w:szCs w:val="28"/>
        </w:rPr>
        <w:t>70%</w:t>
      </w:r>
      <w:r w:rsidRPr="00C77E77">
        <w:rPr>
          <w:rFonts w:ascii="Times New Roman" w:eastAsia="標楷體" w:hAnsi="Times New Roman" w:cs="Times New Roman"/>
          <w:sz w:val="28"/>
          <w:szCs w:val="28"/>
        </w:rPr>
        <w:t>，新興國家紛紛採行進口替代策略，壓縮我國出口空間，對於著墨在低毛利紅海市場的傳統出口策略已</w:t>
      </w:r>
      <w:r w:rsidR="00D039C1" w:rsidRPr="00C77E77">
        <w:rPr>
          <w:rFonts w:ascii="Times New Roman" w:eastAsia="標楷體" w:hAnsi="Times New Roman" w:cs="Times New Roman"/>
          <w:sz w:val="28"/>
          <w:szCs w:val="28"/>
        </w:rPr>
        <w:t>構成</w:t>
      </w:r>
      <w:r w:rsidRPr="00C77E77">
        <w:rPr>
          <w:rFonts w:ascii="Times New Roman" w:eastAsia="標楷體" w:hAnsi="Times New Roman" w:cs="Times New Roman"/>
          <w:sz w:val="28"/>
          <w:szCs w:val="28"/>
        </w:rPr>
        <w:t>極大挑戰。為尋找附加價值高的系統性、規模性產品與服務，重新塑造產業價值鏈，開拓海外新興市場，經濟部在行政院</w:t>
      </w:r>
      <w:r w:rsidRPr="00C77E77">
        <w:rPr>
          <w:rFonts w:ascii="Times New Roman" w:eastAsia="標楷體" w:hAnsi="Times New Roman" w:cs="Times New Roman"/>
          <w:sz w:val="28"/>
          <w:szCs w:val="28"/>
        </w:rPr>
        <w:t>104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日「系統整合藍海出口」政策決議指導下，於</w:t>
      </w:r>
      <w:r w:rsidRPr="00C77E77">
        <w:rPr>
          <w:rFonts w:ascii="Times New Roman" w:eastAsia="標楷體" w:hAnsi="Times New Roman" w:cs="Times New Roman"/>
          <w:sz w:val="28"/>
          <w:szCs w:val="28"/>
        </w:rPr>
        <w:t>104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日成立「系統整合推動平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」，挑選十大具有出口實績與潛力產業，電子收費、電子化政府、智慧校園、雲端系統、智慧物流、綠色運輸、太陽能、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照明、智慧健康、石化等，列為我國現階段輸出國外之方案。</w:t>
      </w:r>
      <w:r w:rsidRPr="00C77E77">
        <w:rPr>
          <w:rStyle w:val="a9"/>
          <w:rFonts w:ascii="Times New Roman" w:eastAsia="標楷體" w:hAnsi="Times New Roman" w:cs="Times New Roman"/>
          <w:sz w:val="28"/>
          <w:szCs w:val="28"/>
        </w:rPr>
        <w:footnoteReference w:id="31"/>
      </w:r>
      <w:r w:rsidRPr="00C77E77">
        <w:rPr>
          <w:rFonts w:ascii="Times New Roman" w:eastAsia="標楷體" w:hAnsi="Times New Roman" w:cs="Times New Roman"/>
          <w:sz w:val="28"/>
          <w:szCs w:val="28"/>
        </w:rPr>
        <w:t>加上新政府力推之「電子商務」、「新農業」，希望挖掘具有外銷潛力的系統化產品與服務，加強對外推廣行銷，開拓出口動能。</w:t>
      </w:r>
    </w:p>
    <w:p w:rsidR="009E0EE3" w:rsidRPr="00C77E77" w:rsidRDefault="009E0EE3" w:rsidP="009551A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有鑒於此，本研究著眼於評估該「</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」產業推廣至東南亞國家及印度的</w:t>
      </w:r>
      <w:r w:rsidRPr="00C77E77">
        <w:rPr>
          <w:rFonts w:ascii="Times New Roman" w:eastAsia="標楷體" w:hAnsi="Times New Roman" w:cs="Times New Roman"/>
          <w:sz w:val="28"/>
          <w:szCs w:val="28"/>
        </w:rPr>
        <w:t>SWOT</w:t>
      </w:r>
      <w:r w:rsidRPr="00C77E77">
        <w:rPr>
          <w:rFonts w:ascii="Times New Roman" w:eastAsia="標楷體" w:hAnsi="Times New Roman" w:cs="Times New Roman"/>
          <w:sz w:val="28"/>
          <w:szCs w:val="28"/>
        </w:rPr>
        <w:t>分析，並因應不同國家的當地發展條件，提出不同階段可採取的合作策略建議。短期目標為收斂行銷產業與目標國別，凝聚資源積極行銷現階段較適宜的目標市場，以發揮高附加價值的系統化商品與服務成效。中長期目標則需透過服務與孵育機制，協助東南亞國家及印度當地達成發展「</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」產業的意識與條件，以塑造長遠雙向合作的潛力產業價值鏈。</w:t>
      </w:r>
    </w:p>
    <w:p w:rsidR="00D372B9" w:rsidRPr="00C77E77" w:rsidRDefault="00D372B9" w:rsidP="009551A7">
      <w:pPr>
        <w:widowControl/>
        <w:spacing w:before="50" w:after="50" w:line="500" w:lineRule="exact"/>
        <w:rPr>
          <w:rFonts w:ascii="Times New Roman" w:eastAsia="標楷體" w:hAnsi="Times New Roman" w:cs="Times New Roman"/>
          <w:sz w:val="28"/>
          <w:szCs w:val="28"/>
        </w:rPr>
      </w:pPr>
    </w:p>
    <w:p w:rsidR="00D372B9" w:rsidRPr="00C77E77" w:rsidRDefault="00D372B9">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D465D7" w:rsidRPr="00C77E77" w:rsidRDefault="009E0EE3" w:rsidP="009551A7">
      <w:pPr>
        <w:widowControl/>
        <w:spacing w:before="50" w:after="50" w:line="500" w:lineRule="exact"/>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br w:type="page"/>
      </w:r>
    </w:p>
    <w:p w:rsidR="00FA44BA" w:rsidRPr="00C77E77" w:rsidRDefault="00FA44BA" w:rsidP="00B22D66">
      <w:pPr>
        <w:pStyle w:val="1"/>
        <w:spacing w:line="500" w:lineRule="exact"/>
        <w:ind w:left="1205" w:hangingChars="354" w:hanging="1205"/>
        <w:jc w:val="center"/>
        <w:rPr>
          <w:rFonts w:ascii="Times New Roman" w:eastAsia="標楷體" w:hAnsi="Times New Roman" w:cs="Times New Roman"/>
          <w:sz w:val="34"/>
          <w:szCs w:val="34"/>
        </w:rPr>
      </w:pPr>
      <w:bookmarkStart w:id="76" w:name="_Toc470676313"/>
      <w:r w:rsidRPr="00C77E77">
        <w:rPr>
          <w:rFonts w:ascii="Times New Roman" w:eastAsia="標楷體" w:hAnsi="Times New Roman" w:cs="Times New Roman"/>
          <w:sz w:val="34"/>
          <w:szCs w:val="34"/>
        </w:rPr>
        <w:lastRenderedPageBreak/>
        <w:t>第三章</w:t>
      </w:r>
      <w:r w:rsidRPr="00C77E77">
        <w:rPr>
          <w:rFonts w:ascii="Times New Roman" w:eastAsia="標楷體" w:hAnsi="Times New Roman" w:cs="Times New Roman"/>
          <w:sz w:val="34"/>
          <w:szCs w:val="34"/>
        </w:rPr>
        <w:t xml:space="preserve"> </w:t>
      </w:r>
      <w:r w:rsidRPr="00C77E77">
        <w:rPr>
          <w:rFonts w:ascii="Times New Roman" w:eastAsia="標楷體" w:hAnsi="Times New Roman" w:cs="Times New Roman"/>
          <w:sz w:val="34"/>
          <w:szCs w:val="34"/>
        </w:rPr>
        <w:t>我國十大系統輸出及新農業、電子商務產業發展現況</w:t>
      </w:r>
      <w:bookmarkEnd w:id="76"/>
    </w:p>
    <w:p w:rsidR="005D0348" w:rsidRPr="00C77E77" w:rsidRDefault="00881CEA" w:rsidP="009B3E64">
      <w:pPr>
        <w:pStyle w:val="ab"/>
        <w:spacing w:beforeLines="50" w:before="180" w:afterLines="50" w:after="180" w:line="500" w:lineRule="exact"/>
        <w:ind w:leftChars="0" w:left="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本章分組依序探討電子收費、電子化政府、智慧校園、雲端系統、智慧物流、綠色運輸、太陽能、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照明、智慧健康、石化，以及電子商務、新農業等，共十二項產業的發展現況，並評估該產業競爭力的優勢（</w:t>
      </w:r>
      <w:r w:rsidRPr="00C77E77">
        <w:rPr>
          <w:rFonts w:ascii="Times New Roman" w:eastAsia="標楷體" w:hAnsi="Times New Roman" w:cs="Times New Roman"/>
          <w:sz w:val="28"/>
          <w:szCs w:val="28"/>
        </w:rPr>
        <w:t>S</w:t>
      </w:r>
      <w:r w:rsidRPr="00C77E77">
        <w:rPr>
          <w:rFonts w:ascii="Times New Roman" w:eastAsia="標楷體" w:hAnsi="Times New Roman" w:cs="Times New Roman"/>
          <w:sz w:val="28"/>
          <w:szCs w:val="28"/>
        </w:rPr>
        <w:t>）與劣勢（</w:t>
      </w:r>
      <w:r w:rsidRPr="00C77E77">
        <w:rPr>
          <w:rFonts w:ascii="Times New Roman" w:eastAsia="標楷體" w:hAnsi="Times New Roman" w:cs="Times New Roman"/>
          <w:sz w:val="28"/>
          <w:szCs w:val="28"/>
        </w:rPr>
        <w:t>W</w:t>
      </w:r>
      <w:r w:rsidRPr="00C77E77">
        <w:rPr>
          <w:rFonts w:ascii="Times New Roman" w:eastAsia="標楷體" w:hAnsi="Times New Roman" w:cs="Times New Roman"/>
          <w:sz w:val="28"/>
          <w:szCs w:val="28"/>
        </w:rPr>
        <w:t>）。</w:t>
      </w:r>
    </w:p>
    <w:p w:rsidR="00FA44BA" w:rsidRPr="00C77E77" w:rsidRDefault="00FA44BA" w:rsidP="00764ED7">
      <w:pPr>
        <w:pStyle w:val="ab"/>
        <w:numPr>
          <w:ilvl w:val="0"/>
          <w:numId w:val="19"/>
        </w:numPr>
        <w:spacing w:before="180" w:after="180" w:line="500" w:lineRule="exact"/>
        <w:ind w:leftChars="0" w:left="0" w:firstLine="0"/>
        <w:jc w:val="both"/>
        <w:outlineLvl w:val="1"/>
        <w:rPr>
          <w:rFonts w:ascii="Times New Roman" w:eastAsia="標楷體" w:hAnsi="Times New Roman" w:cs="Times New Roman"/>
          <w:b/>
          <w:sz w:val="32"/>
          <w:szCs w:val="32"/>
        </w:rPr>
      </w:pPr>
      <w:bookmarkStart w:id="77" w:name="_Toc470676314"/>
      <w:r w:rsidRPr="00C77E77">
        <w:rPr>
          <w:rFonts w:ascii="Times New Roman" w:eastAsia="標楷體" w:hAnsi="Times New Roman" w:cs="Times New Roman"/>
          <w:b/>
          <w:sz w:val="32"/>
          <w:szCs w:val="32"/>
        </w:rPr>
        <w:t>我國電子收費、電子化政府、智慧校園產業發展現況</w:t>
      </w:r>
      <w:bookmarkEnd w:id="77"/>
    </w:p>
    <w:p w:rsidR="005D0348" w:rsidRPr="00C77E77" w:rsidRDefault="005D0348" w:rsidP="005D0348">
      <w:pPr>
        <w:pStyle w:val="ab"/>
        <w:spacing w:before="180" w:after="180" w:line="500" w:lineRule="exact"/>
        <w:ind w:leftChars="0" w:left="0" w:firstLineChars="202" w:firstLine="566"/>
        <w:jc w:val="both"/>
        <w:rPr>
          <w:rFonts w:ascii="Times New Roman" w:eastAsia="標楷體" w:hAnsi="Times New Roman" w:cs="Times New Roman"/>
          <w:b/>
          <w:sz w:val="32"/>
          <w:szCs w:val="32"/>
        </w:rPr>
      </w:pPr>
      <w:r w:rsidRPr="00C77E77">
        <w:rPr>
          <w:rFonts w:ascii="Times New Roman" w:eastAsia="標楷體" w:hAnsi="Times New Roman" w:cs="Times New Roman"/>
          <w:sz w:val="28"/>
          <w:szCs w:val="28"/>
        </w:rPr>
        <w:t>隨著資通訊產業的發達，越來越多產業可與其相連結應用，以提升服務層級，增進服務品質。細究政府推行之十大系統輸出方案，電子收費、電子化政府以及智慧校園，皆偏向公共服務層面，但與以往不同的是結合</w:t>
      </w:r>
      <w:r w:rsidRPr="00C77E77">
        <w:rPr>
          <w:rFonts w:ascii="Times New Roman" w:eastAsia="標楷體" w:hAnsi="Times New Roman" w:cs="Times New Roman"/>
          <w:sz w:val="28"/>
          <w:szCs w:val="28"/>
        </w:rPr>
        <w:t>e</w:t>
      </w:r>
      <w:r w:rsidRPr="00C77E77">
        <w:rPr>
          <w:rFonts w:ascii="Times New Roman" w:eastAsia="標楷體" w:hAnsi="Times New Roman" w:cs="Times New Roman"/>
          <w:sz w:val="28"/>
          <w:szCs w:val="28"/>
        </w:rPr>
        <w:t>化模式，提供更便利、更加完善的服務給社會大眾。</w:t>
      </w:r>
    </w:p>
    <w:p w:rsidR="00BC5143" w:rsidRPr="00C77E77" w:rsidRDefault="00BC5143" w:rsidP="00705F8A">
      <w:pPr>
        <w:spacing w:before="18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一、電子收費</w:t>
      </w:r>
    </w:p>
    <w:p w:rsidR="00FA44BA" w:rsidRPr="00C77E77" w:rsidRDefault="00FA44BA" w:rsidP="00705F8A">
      <w:pPr>
        <w:spacing w:before="18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電子收費系統（</w:t>
      </w:r>
      <w:r w:rsidRPr="00C77E77">
        <w:rPr>
          <w:rFonts w:ascii="Times New Roman" w:eastAsia="標楷體" w:hAnsi="Times New Roman" w:cs="Times New Roman"/>
          <w:sz w:val="28"/>
          <w:szCs w:val="28"/>
        </w:rPr>
        <w:t>electronic toll collection, ETC</w:t>
      </w:r>
      <w:r w:rsidRPr="00C77E77">
        <w:rPr>
          <w:rFonts w:ascii="Times New Roman" w:eastAsia="標楷體" w:hAnsi="Times New Roman" w:cs="Times New Roman"/>
          <w:sz w:val="28"/>
          <w:szCs w:val="28"/>
        </w:rPr>
        <w:t>）為一自動收費方式，使用於高速公路或任何需收費的道路、橋樑以及隧道，以減輕交通路網的擁塞。</w:t>
      </w:r>
      <w:r w:rsidRPr="00C77E77">
        <w:rPr>
          <w:rStyle w:val="a9"/>
          <w:rFonts w:ascii="Times New Roman" w:eastAsia="標楷體" w:hAnsi="Times New Roman" w:cs="Times New Roman"/>
          <w:sz w:val="28"/>
          <w:szCs w:val="28"/>
        </w:rPr>
        <w:footnoteReference w:id="32"/>
      </w:r>
      <w:r w:rsidRPr="00C77E77">
        <w:rPr>
          <w:rFonts w:ascii="Times New Roman" w:eastAsia="標楷體" w:hAnsi="Times New Roman" w:cs="Times New Roman"/>
          <w:sz w:val="28"/>
          <w:szCs w:val="28"/>
        </w:rPr>
        <w:t>我國國道高速公路計次電子收費系統自</w:t>
      </w:r>
      <w:r w:rsidRPr="00C77E77">
        <w:rPr>
          <w:rFonts w:ascii="Times New Roman" w:eastAsia="標楷體" w:hAnsi="Times New Roman" w:cs="Times New Roman"/>
          <w:sz w:val="28"/>
          <w:szCs w:val="28"/>
        </w:rPr>
        <w:t>2006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日正式啟用，計程電子收費系統則在</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年建置完成，</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日正式啟用，是目前世界上收費路網最長的公路電子收費系統，也是世界第一個高速公路全面電子收費的國家，高公局將前述經驗，以「臺灣高速公路人工計次收費轉換電子計程收費計畫」（</w:t>
      </w:r>
      <w:r w:rsidRPr="00C77E77">
        <w:rPr>
          <w:rFonts w:ascii="Times New Roman" w:eastAsia="標楷體" w:hAnsi="Times New Roman" w:cs="Times New Roman"/>
          <w:sz w:val="28"/>
          <w:szCs w:val="28"/>
        </w:rPr>
        <w:t>Program for Transition to Electronic Distance-based Toll Collection on Taiwan’s Freeways</w:t>
      </w:r>
      <w:r w:rsidRPr="00C77E77">
        <w:rPr>
          <w:rFonts w:ascii="Times New Roman" w:eastAsia="標楷體" w:hAnsi="Times New Roman" w:cs="Times New Roman"/>
          <w:sz w:val="28"/>
          <w:szCs w:val="28"/>
        </w:rPr>
        <w:t>）參與「國際橋梁隧道及收費公路協會」（</w:t>
      </w:r>
      <w:r w:rsidRPr="00C77E77">
        <w:rPr>
          <w:rFonts w:ascii="Times New Roman" w:eastAsia="標楷體" w:hAnsi="Times New Roman" w:cs="Times New Roman"/>
          <w:sz w:val="28"/>
          <w:szCs w:val="28"/>
        </w:rPr>
        <w:t>International Bridge, Tunnel and Turnpike Association, IBTTA</w:t>
      </w:r>
      <w:r w:rsidRPr="00C77E77">
        <w:rPr>
          <w:rFonts w:ascii="Times New Roman" w:eastAsia="標楷體" w:hAnsi="Times New Roman" w:cs="Times New Roman"/>
          <w:sz w:val="28"/>
          <w:szCs w:val="28"/>
        </w:rPr>
        <w:t>）舉辦之年度參獎計畫，經</w:t>
      </w:r>
      <w:r w:rsidRPr="00C77E77">
        <w:rPr>
          <w:rFonts w:ascii="Times New Roman" w:eastAsia="標楷體" w:hAnsi="Times New Roman" w:cs="Times New Roman"/>
          <w:sz w:val="28"/>
          <w:szCs w:val="28"/>
        </w:rPr>
        <w:t>IBTTA</w:t>
      </w:r>
      <w:r w:rsidRPr="00C77E77">
        <w:rPr>
          <w:rFonts w:ascii="Times New Roman" w:eastAsia="標楷體" w:hAnsi="Times New Roman" w:cs="Times New Roman"/>
          <w:sz w:val="28"/>
          <w:szCs w:val="28"/>
        </w:rPr>
        <w:t>於公告獲選為「</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年收費系統卓越獎</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服務及推廣類」之得獎單位，更於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月獲得</w:t>
      </w:r>
      <w:r w:rsidRPr="00C77E77">
        <w:rPr>
          <w:rFonts w:ascii="Times New Roman" w:eastAsia="標楷體" w:hAnsi="Times New Roman" w:cs="Times New Roman"/>
          <w:sz w:val="28"/>
          <w:szCs w:val="28"/>
        </w:rPr>
        <w:t>IBTTA</w:t>
      </w:r>
      <w:r w:rsidRPr="00C77E77">
        <w:rPr>
          <w:rFonts w:ascii="Times New Roman" w:eastAsia="標楷體" w:hAnsi="Times New Roman" w:cs="Times New Roman"/>
          <w:sz w:val="28"/>
          <w:szCs w:val="28"/>
        </w:rPr>
        <w:t>最高榮譽的年度首獎，</w:t>
      </w:r>
      <w:r w:rsidR="00676DAF" w:rsidRPr="00C77E77">
        <w:rPr>
          <w:rFonts w:ascii="Times New Roman" w:eastAsia="標楷體" w:hAnsi="Times New Roman" w:cs="Times New Roman"/>
          <w:sz w:val="28"/>
          <w:szCs w:val="28"/>
        </w:rPr>
        <w:t>回</w:t>
      </w:r>
      <w:r w:rsidRPr="00C77E77">
        <w:rPr>
          <w:rFonts w:ascii="Times New Roman" w:eastAsia="標楷體" w:hAnsi="Times New Roman" w:cs="Times New Roman"/>
          <w:sz w:val="28"/>
          <w:szCs w:val="28"/>
        </w:rPr>
        <w:t>顧</w:t>
      </w:r>
      <w:r w:rsidRPr="00C77E77">
        <w:rPr>
          <w:rFonts w:ascii="Times New Roman" w:eastAsia="標楷體" w:hAnsi="Times New Roman" w:cs="Times New Roman"/>
          <w:sz w:val="28"/>
          <w:szCs w:val="28"/>
        </w:rPr>
        <w:t>IBTTA</w:t>
      </w:r>
      <w:r w:rsidRPr="00C77E77">
        <w:rPr>
          <w:rFonts w:ascii="Times New Roman" w:eastAsia="標楷體" w:hAnsi="Times New Roman" w:cs="Times New Roman"/>
          <w:sz w:val="28"/>
          <w:szCs w:val="28"/>
        </w:rPr>
        <w:t>近年得獎單位，</w:t>
      </w:r>
      <w:r w:rsidR="00676DAF" w:rsidRPr="00C77E77">
        <w:rPr>
          <w:rFonts w:ascii="Times New Roman" w:eastAsia="標楷體" w:hAnsi="Times New Roman" w:cs="Times New Roman"/>
          <w:sz w:val="28"/>
          <w:szCs w:val="28"/>
        </w:rPr>
        <w:t>其中不乏是</w:t>
      </w:r>
      <w:r w:rsidRPr="00C77E77">
        <w:rPr>
          <w:rFonts w:ascii="Times New Roman" w:eastAsia="標楷體" w:hAnsi="Times New Roman" w:cs="Times New Roman"/>
          <w:sz w:val="28"/>
          <w:szCs w:val="28"/>
        </w:rPr>
        <w:t>世界知名收費道路組織，</w:t>
      </w:r>
      <w:r w:rsidR="00676DAF" w:rsidRPr="00C77E77">
        <w:rPr>
          <w:rFonts w:ascii="Times New Roman" w:eastAsia="標楷體" w:hAnsi="Times New Roman" w:cs="Times New Roman"/>
          <w:sz w:val="28"/>
          <w:szCs w:val="28"/>
        </w:rPr>
        <w:t>我國</w:t>
      </w:r>
      <w:r w:rsidRPr="00C77E77">
        <w:rPr>
          <w:rFonts w:ascii="Times New Roman" w:eastAsia="標楷體" w:hAnsi="Times New Roman" w:cs="Times New Roman"/>
          <w:sz w:val="28"/>
          <w:szCs w:val="28"/>
        </w:rPr>
        <w:t>計程電子收費計畫</w:t>
      </w:r>
      <w:r w:rsidR="00676DAF" w:rsidRPr="00C77E77">
        <w:rPr>
          <w:rFonts w:ascii="Times New Roman" w:eastAsia="標楷體" w:hAnsi="Times New Roman" w:cs="Times New Roman"/>
          <w:sz w:val="28"/>
          <w:szCs w:val="28"/>
        </w:rPr>
        <w:t>能</w:t>
      </w:r>
      <w:r w:rsidRPr="00C77E77">
        <w:rPr>
          <w:rFonts w:ascii="Times New Roman" w:eastAsia="標楷體" w:hAnsi="Times New Roman" w:cs="Times New Roman"/>
          <w:sz w:val="28"/>
          <w:szCs w:val="28"/>
        </w:rPr>
        <w:t>一舉獲</w:t>
      </w:r>
      <w:r w:rsidR="00676DAF" w:rsidRPr="00C77E77">
        <w:rPr>
          <w:rFonts w:ascii="Times New Roman" w:eastAsia="標楷體" w:hAnsi="Times New Roman" w:cs="Times New Roman"/>
          <w:sz w:val="28"/>
          <w:szCs w:val="28"/>
        </w:rPr>
        <w:t>得</w:t>
      </w:r>
      <w:r w:rsidRPr="00C77E77">
        <w:rPr>
          <w:rFonts w:ascii="Times New Roman" w:eastAsia="標楷體" w:hAnsi="Times New Roman" w:cs="Times New Roman"/>
          <w:sz w:val="28"/>
          <w:szCs w:val="28"/>
        </w:rPr>
        <w:t>IBTTA</w:t>
      </w:r>
      <w:r w:rsidR="00676DAF" w:rsidRPr="00C77E77">
        <w:rPr>
          <w:rFonts w:ascii="Times New Roman" w:eastAsia="標楷體" w:hAnsi="Times New Roman" w:cs="Times New Roman"/>
          <w:sz w:val="28"/>
          <w:szCs w:val="28"/>
        </w:rPr>
        <w:t>頒發「收費卓越獎」與最高榮譽之年度「首獎」</w:t>
      </w:r>
      <w:r w:rsidRPr="00C77E77">
        <w:rPr>
          <w:rFonts w:ascii="Times New Roman" w:eastAsia="標楷體" w:hAnsi="Times New Roman" w:cs="Times New Roman"/>
          <w:sz w:val="28"/>
          <w:szCs w:val="28"/>
        </w:rPr>
        <w:t>實屬不易，</w:t>
      </w:r>
      <w:r w:rsidRPr="00C77E77">
        <w:rPr>
          <w:rFonts w:ascii="Times New Roman" w:eastAsia="標楷體" w:hAnsi="Times New Roman" w:cs="Times New Roman"/>
          <w:sz w:val="28"/>
          <w:szCs w:val="28"/>
        </w:rPr>
        <w:lastRenderedPageBreak/>
        <w:t>堪稱「臺灣之光」。</w:t>
      </w:r>
      <w:r w:rsidRPr="00C77E77">
        <w:rPr>
          <w:rStyle w:val="a9"/>
          <w:rFonts w:ascii="Times New Roman" w:eastAsia="標楷體" w:hAnsi="Times New Roman" w:cs="Times New Roman"/>
          <w:sz w:val="28"/>
          <w:szCs w:val="28"/>
        </w:rPr>
        <w:footnoteReference w:id="33"/>
      </w:r>
      <w:r w:rsidRPr="00C77E77">
        <w:rPr>
          <w:rFonts w:ascii="Times New Roman" w:eastAsia="標楷體" w:hAnsi="Times New Roman" w:cs="Times New Roman"/>
          <w:sz w:val="28"/>
          <w:szCs w:val="28"/>
        </w:rPr>
        <w:t>截至</w:t>
      </w:r>
      <w:r w:rsidRPr="00C77E77">
        <w:rPr>
          <w:rFonts w:ascii="Times New Roman" w:eastAsia="標楷體" w:hAnsi="Times New Roman" w:cs="Times New Roman"/>
          <w:sz w:val="28"/>
          <w:szCs w:val="28"/>
        </w:rPr>
        <w:t>2016</w:t>
      </w:r>
      <w:r w:rsidR="005F635A"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 xml:space="preserve">ETC </w:t>
      </w:r>
      <w:r w:rsidRPr="00C77E77">
        <w:rPr>
          <w:rFonts w:ascii="Times New Roman" w:eastAsia="標楷體" w:hAnsi="Times New Roman" w:cs="Times New Roman"/>
          <w:sz w:val="28"/>
          <w:szCs w:val="28"/>
        </w:rPr>
        <w:t>總累計有效客戶數共</w:t>
      </w:r>
      <w:r w:rsidRPr="00C77E77">
        <w:rPr>
          <w:rFonts w:ascii="Times New Roman" w:eastAsia="標楷體" w:hAnsi="Times New Roman" w:cs="Times New Roman"/>
          <w:sz w:val="28"/>
          <w:szCs w:val="28"/>
        </w:rPr>
        <w:t>6,542,126</w:t>
      </w:r>
      <w:r w:rsidRPr="00C77E77">
        <w:rPr>
          <w:rFonts w:ascii="Times New Roman" w:eastAsia="標楷體" w:hAnsi="Times New Roman" w:cs="Times New Roman"/>
          <w:sz w:val="28"/>
          <w:szCs w:val="28"/>
        </w:rPr>
        <w:t>輛（</w:t>
      </w:r>
      <w:r w:rsidRPr="00C77E77">
        <w:rPr>
          <w:rFonts w:ascii="Times New Roman" w:eastAsia="標楷體" w:hAnsi="Times New Roman" w:cs="Times New Roman"/>
          <w:sz w:val="28"/>
          <w:szCs w:val="28"/>
        </w:rPr>
        <w:t xml:space="preserve">eTag 6,523,109 </w:t>
      </w:r>
      <w:r w:rsidRPr="00C77E77">
        <w:rPr>
          <w:rFonts w:ascii="Times New Roman" w:eastAsia="標楷體" w:hAnsi="Times New Roman" w:cs="Times New Roman"/>
          <w:sz w:val="28"/>
          <w:szCs w:val="28"/>
        </w:rPr>
        <w:t>輛，預約服務</w:t>
      </w:r>
      <w:r w:rsidRPr="00C77E77">
        <w:rPr>
          <w:rFonts w:ascii="Times New Roman" w:eastAsia="標楷體" w:hAnsi="Times New Roman" w:cs="Times New Roman"/>
          <w:sz w:val="28"/>
          <w:szCs w:val="28"/>
        </w:rPr>
        <w:t xml:space="preserve"> 19,017 </w:t>
      </w:r>
      <w:r w:rsidRPr="00C77E77">
        <w:rPr>
          <w:rFonts w:ascii="Times New Roman" w:eastAsia="標楷體" w:hAnsi="Times New Roman" w:cs="Times New Roman"/>
          <w:sz w:val="28"/>
          <w:szCs w:val="28"/>
        </w:rPr>
        <w:t>輛），</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使用率為</w:t>
      </w:r>
      <w:r w:rsidRPr="00C77E77">
        <w:rPr>
          <w:rFonts w:ascii="Times New Roman" w:eastAsia="標楷體" w:hAnsi="Times New Roman" w:cs="Times New Roman"/>
          <w:sz w:val="28"/>
          <w:szCs w:val="28"/>
        </w:rPr>
        <w:t>92.81</w:t>
      </w:r>
      <w:r w:rsidRPr="00C77E77">
        <w:rPr>
          <w:rFonts w:ascii="Times New Roman" w:eastAsia="標楷體" w:hAnsi="Times New Roman" w:cs="Times New Roman"/>
          <w:sz w:val="28"/>
          <w:szCs w:val="28"/>
        </w:rPr>
        <w:t>％，系統可收費成功率達</w:t>
      </w:r>
      <w:r w:rsidRPr="00C77E77">
        <w:rPr>
          <w:rFonts w:ascii="Times New Roman" w:eastAsia="標楷體" w:hAnsi="Times New Roman" w:cs="Times New Roman"/>
          <w:sz w:val="28"/>
          <w:szCs w:val="28"/>
        </w:rPr>
        <w:t>99.989</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34"/>
      </w:r>
    </w:p>
    <w:p w:rsidR="00FA44BA" w:rsidRPr="00C77E77" w:rsidRDefault="00FA44BA" w:rsidP="00705F8A">
      <w:pPr>
        <w:spacing w:before="18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電子收費系統使用無線射頻辨識系統（</w:t>
      </w:r>
      <w:r w:rsidRPr="00C77E77">
        <w:rPr>
          <w:rFonts w:ascii="Times New Roman" w:eastAsia="標楷體" w:hAnsi="Times New Roman" w:cs="Times New Roman"/>
          <w:sz w:val="28"/>
          <w:szCs w:val="28"/>
        </w:rPr>
        <w:t>Radio Frequency Identification, RFID</w:t>
      </w:r>
      <w:r w:rsidRPr="00C77E77">
        <w:rPr>
          <w:rFonts w:ascii="Times New Roman" w:eastAsia="標楷體" w:hAnsi="Times New Roman" w:cs="Times New Roman"/>
          <w:sz w:val="28"/>
          <w:szCs w:val="28"/>
        </w:rPr>
        <w:t>）在車輛通過門架瞬間立即自動感應扣款，為物聯網的最佳例證，此系統由</w:t>
      </w:r>
      <w:r w:rsidRPr="00C77E77">
        <w:rPr>
          <w:rFonts w:ascii="Times New Roman" w:eastAsia="標楷體" w:hAnsi="Times New Roman" w:cs="Times New Roman"/>
          <w:sz w:val="28"/>
          <w:szCs w:val="28"/>
        </w:rPr>
        <w:t>RFID</w:t>
      </w:r>
      <w:r w:rsidRPr="00C77E77">
        <w:rPr>
          <w:rFonts w:ascii="Times New Roman" w:eastAsia="標楷體" w:hAnsi="Times New Roman" w:cs="Times New Roman"/>
          <w:sz w:val="28"/>
          <w:szCs w:val="28"/>
        </w:rPr>
        <w:t>扣款感應器、車輛雷射偵測器、光源偵測器、照相／補光設備，以及</w:t>
      </w:r>
      <w:r w:rsidRPr="00C77E77">
        <w:rPr>
          <w:rFonts w:ascii="Times New Roman" w:eastAsia="標楷體" w:hAnsi="Times New Roman" w:cs="Times New Roman"/>
          <w:sz w:val="28"/>
          <w:szCs w:val="28"/>
        </w:rPr>
        <w:t>24</w:t>
      </w:r>
      <w:r w:rsidRPr="00C77E77">
        <w:rPr>
          <w:rFonts w:ascii="Times New Roman" w:eastAsia="標楷體" w:hAnsi="Times New Roman" w:cs="Times New Roman"/>
          <w:sz w:val="28"/>
          <w:szCs w:val="28"/>
        </w:rPr>
        <w:t>小時錄影設備等五大設備串連，除此之外，我國電子收費系統還有多項獨步全球的特色，「例如『單一門架之多車道自由流』」，因為不同設備在感應及拍照上，需要不同的角度和距離，國外通常設置兩個門架來處理電子收費，但我國</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卻能將設備整合在單一門架上，不僅技術創新，更有降低成本的優點。</w:t>
      </w:r>
      <w:r w:rsidR="000705E1" w:rsidRPr="00C77E77">
        <w:rPr>
          <w:rFonts w:ascii="Times New Roman" w:eastAsia="標楷體" w:hAnsi="Times New Roman" w:cs="Times New Roman"/>
          <w:sz w:val="28"/>
          <w:szCs w:val="28"/>
        </w:rPr>
        <w:t>我國</w:t>
      </w:r>
      <w:r w:rsidR="000705E1"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系統</w:t>
      </w:r>
      <w:r w:rsidR="001630F8" w:rsidRPr="00C77E77">
        <w:rPr>
          <w:rFonts w:ascii="Times New Roman" w:eastAsia="標楷體" w:hAnsi="Times New Roman" w:cs="Times New Roman"/>
          <w:sz w:val="28"/>
          <w:szCs w:val="28"/>
        </w:rPr>
        <w:t>完全</w:t>
      </w:r>
      <w:r w:rsidRPr="00C77E77">
        <w:rPr>
          <w:rFonts w:ascii="Times New Roman" w:eastAsia="標楷體" w:hAnsi="Times New Roman" w:cs="Times New Roman"/>
          <w:sz w:val="28"/>
          <w:szCs w:val="28"/>
        </w:rPr>
        <w:t>由臺灣廠商自行整合開發，不受國外原廠</w:t>
      </w:r>
      <w:r w:rsidR="003E4BC8" w:rsidRPr="00C77E77">
        <w:rPr>
          <w:rFonts w:ascii="Times New Roman" w:eastAsia="標楷體" w:hAnsi="Times New Roman" w:cs="Times New Roman"/>
          <w:sz w:val="28"/>
          <w:szCs w:val="28"/>
        </w:rPr>
        <w:t>限</w:t>
      </w:r>
      <w:r w:rsidR="001630F8" w:rsidRPr="00C77E77">
        <w:rPr>
          <w:rFonts w:ascii="Times New Roman" w:eastAsia="標楷體" w:hAnsi="Times New Roman" w:cs="Times New Roman"/>
          <w:sz w:val="28"/>
          <w:szCs w:val="28"/>
        </w:rPr>
        <w:t>制</w:t>
      </w:r>
      <w:r w:rsidRPr="00C77E77">
        <w:rPr>
          <w:rFonts w:ascii="Times New Roman" w:eastAsia="標楷體" w:hAnsi="Times New Roman" w:cs="Times New Roman"/>
          <w:sz w:val="28"/>
          <w:szCs w:val="28"/>
        </w:rPr>
        <w:t>，</w:t>
      </w:r>
      <w:r w:rsidR="001630F8" w:rsidRPr="00C77E77">
        <w:rPr>
          <w:rFonts w:ascii="Times New Roman" w:eastAsia="標楷體" w:hAnsi="Times New Roman" w:cs="Times New Roman"/>
          <w:sz w:val="28"/>
          <w:szCs w:val="28"/>
        </w:rPr>
        <w:t>更</w:t>
      </w:r>
      <w:r w:rsidRPr="00C77E77">
        <w:rPr>
          <w:rFonts w:ascii="Times New Roman" w:eastAsia="標楷體" w:hAnsi="Times New Roman" w:cs="Times New Roman"/>
          <w:sz w:val="28"/>
          <w:szCs w:val="28"/>
        </w:rPr>
        <w:t>可以進一步將技術輸出至國外，帶動相關產業鏈發展。至於開放性標準系統</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ISO 18000-6C</w:t>
      </w:r>
      <w:r w:rsidRPr="00C77E77">
        <w:rPr>
          <w:rFonts w:ascii="Times New Roman" w:eastAsia="標楷體" w:hAnsi="Times New Roman" w:cs="Times New Roman"/>
          <w:sz w:val="28"/>
          <w:szCs w:val="28"/>
        </w:rPr>
        <w:t>）、支援彈性費率與道路定價（</w:t>
      </w:r>
      <w:r w:rsidRPr="00C77E77">
        <w:rPr>
          <w:rFonts w:ascii="Times New Roman" w:eastAsia="標楷體" w:hAnsi="Times New Roman" w:cs="Times New Roman"/>
          <w:sz w:val="28"/>
          <w:szCs w:val="28"/>
        </w:rPr>
        <w:t>Electronic Road Pricing, ERP</w:t>
      </w:r>
      <w:r w:rsidRPr="00C77E77">
        <w:rPr>
          <w:rFonts w:ascii="Times New Roman" w:eastAsia="標楷體" w:hAnsi="Times New Roman" w:cs="Times New Roman"/>
          <w:sz w:val="28"/>
          <w:szCs w:val="28"/>
        </w:rPr>
        <w:t>），以及每天</w:t>
      </w:r>
      <w:r w:rsidRPr="00C77E77">
        <w:rPr>
          <w:rFonts w:ascii="Times New Roman" w:eastAsia="標楷體" w:hAnsi="Times New Roman" w:cs="Times New Roman"/>
          <w:sz w:val="28"/>
          <w:szCs w:val="28"/>
        </w:rPr>
        <w:t>24</w:t>
      </w:r>
      <w:r w:rsidRPr="00C77E77">
        <w:rPr>
          <w:rFonts w:ascii="Times New Roman" w:eastAsia="標楷體" w:hAnsi="Times New Roman" w:cs="Times New Roman"/>
          <w:sz w:val="28"/>
          <w:szCs w:val="28"/>
        </w:rPr>
        <w:t>小時不中斷的服務等，</w:t>
      </w:r>
      <w:r w:rsidR="001630F8" w:rsidRPr="00C77E77">
        <w:rPr>
          <w:rFonts w:ascii="Times New Roman" w:eastAsia="標楷體" w:hAnsi="Times New Roman" w:cs="Times New Roman"/>
          <w:sz w:val="28"/>
          <w:szCs w:val="28"/>
        </w:rPr>
        <w:t>也</w:t>
      </w:r>
      <w:r w:rsidRPr="00C77E77">
        <w:rPr>
          <w:rFonts w:ascii="Times New Roman" w:eastAsia="標楷體" w:hAnsi="Times New Roman" w:cs="Times New Roman"/>
          <w:sz w:val="28"/>
          <w:szCs w:val="28"/>
        </w:rPr>
        <w:t>都是</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系統的優勢。除了完成交通收費作業，後續的網路平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還能處理雲端感知訊號與大數據整合分析，進而發展各項以</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為基礎之行動物聯網應用。</w:t>
      </w:r>
      <w:r w:rsidRPr="00C77E77">
        <w:rPr>
          <w:rStyle w:val="a9"/>
          <w:rFonts w:ascii="Times New Roman" w:eastAsia="標楷體" w:hAnsi="Times New Roman" w:cs="Times New Roman"/>
          <w:sz w:val="28"/>
          <w:szCs w:val="28"/>
        </w:rPr>
        <w:footnoteReference w:id="35"/>
      </w:r>
    </w:p>
    <w:p w:rsidR="00FA44BA" w:rsidRPr="00C77E77" w:rsidRDefault="00FA44BA" w:rsidP="00705F8A">
      <w:pPr>
        <w:spacing w:before="18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舉例來說，</w:t>
      </w:r>
      <w:r w:rsidR="000705E1" w:rsidRPr="00C77E77">
        <w:rPr>
          <w:rFonts w:ascii="Times New Roman" w:eastAsia="標楷體" w:hAnsi="Times New Roman" w:cs="Times New Roman"/>
          <w:sz w:val="28"/>
          <w:szCs w:val="28"/>
        </w:rPr>
        <w:t>現行</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技術</w:t>
      </w:r>
      <w:r w:rsidR="000705E1" w:rsidRPr="00C77E77">
        <w:rPr>
          <w:rFonts w:ascii="Times New Roman" w:eastAsia="標楷體" w:hAnsi="Times New Roman" w:cs="Times New Roman"/>
          <w:sz w:val="28"/>
          <w:szCs w:val="28"/>
        </w:rPr>
        <w:t>運用在「交通收費」上，亦可針對特定時間、路段執行差別費率，實施道路定價；未來若</w:t>
      </w:r>
      <w:r w:rsidRPr="00C77E77">
        <w:rPr>
          <w:rFonts w:ascii="Times New Roman" w:eastAsia="標楷體" w:hAnsi="Times New Roman" w:cs="Times New Roman"/>
          <w:sz w:val="28"/>
          <w:szCs w:val="28"/>
        </w:rPr>
        <w:t>運用在「智慧停車」上，車輛感應後即可自動開啟柵欄、自動扣款，可減少人員管理成本，增進時間與環保效益；</w:t>
      </w:r>
      <w:r w:rsidR="000705E1" w:rsidRPr="00C77E77">
        <w:rPr>
          <w:rFonts w:ascii="Times New Roman" w:eastAsia="標楷體" w:hAnsi="Times New Roman" w:cs="Times New Roman"/>
          <w:sz w:val="28"/>
          <w:szCs w:val="28"/>
        </w:rPr>
        <w:t>運用在「交通管理」上，則能收集市區交通資訊、即時交通訊息與行車時間預測，有效幫助駕駛人掌握路況；</w:t>
      </w:r>
      <w:r w:rsidRPr="00C77E77">
        <w:rPr>
          <w:rFonts w:ascii="Times New Roman" w:eastAsia="標楷體" w:hAnsi="Times New Roman" w:cs="Times New Roman"/>
          <w:sz w:val="28"/>
          <w:szCs w:val="28"/>
        </w:rPr>
        <w:t>運用在「交通安全」管理上，可在危險地區進行車輛追蹤管理、水門</w:t>
      </w:r>
      <w:r w:rsidR="000705E1" w:rsidRPr="00C77E77">
        <w:rPr>
          <w:rFonts w:ascii="Times New Roman" w:eastAsia="標楷體" w:hAnsi="Times New Roman" w:cs="Times New Roman"/>
          <w:sz w:val="28"/>
          <w:szCs w:val="28"/>
        </w:rPr>
        <w:t>管制區</w:t>
      </w:r>
      <w:r w:rsidRPr="00C77E77">
        <w:rPr>
          <w:rFonts w:ascii="Times New Roman" w:eastAsia="標楷體" w:hAnsi="Times New Roman" w:cs="Times New Roman"/>
          <w:sz w:val="28"/>
          <w:szCs w:val="28"/>
        </w:rPr>
        <w:t>進出拖吊管理、</w:t>
      </w:r>
      <w:r w:rsidR="000705E1" w:rsidRPr="00C77E77">
        <w:rPr>
          <w:rFonts w:ascii="Times New Roman" w:eastAsia="標楷體" w:hAnsi="Times New Roman" w:cs="Times New Roman"/>
          <w:sz w:val="28"/>
          <w:szCs w:val="28"/>
        </w:rPr>
        <w:t>違規</w:t>
      </w:r>
      <w:r w:rsidRPr="00C77E77">
        <w:rPr>
          <w:rFonts w:ascii="Times New Roman" w:eastAsia="標楷體" w:hAnsi="Times New Roman" w:cs="Times New Roman"/>
          <w:sz w:val="28"/>
          <w:szCs w:val="28"/>
        </w:rPr>
        <w:t>車輛拖吊管理，</w:t>
      </w:r>
      <w:r w:rsidRPr="00C77E77">
        <w:rPr>
          <w:rFonts w:ascii="Times New Roman" w:eastAsia="標楷體" w:hAnsi="Times New Roman" w:cs="Times New Roman"/>
          <w:sz w:val="28"/>
          <w:szCs w:val="28"/>
        </w:rPr>
        <w:lastRenderedPageBreak/>
        <w:t>並針對駕駛人發送提醒簡訊，甚至即時通知救援</w:t>
      </w:r>
      <w:r w:rsidR="000705E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這些都是運用電子收費系統可發展的商機。詳細運用面向如下圖</w:t>
      </w:r>
      <w:r w:rsidRPr="00C77E77">
        <w:rPr>
          <w:rFonts w:ascii="Times New Roman" w:eastAsia="標楷體" w:hAnsi="Times New Roman" w:cs="Times New Roman"/>
          <w:sz w:val="28"/>
          <w:szCs w:val="28"/>
        </w:rPr>
        <w:t>3-1-1</w:t>
      </w:r>
      <w:r w:rsidRPr="00C77E77">
        <w:rPr>
          <w:rFonts w:ascii="Times New Roman" w:eastAsia="標楷體" w:hAnsi="Times New Roman" w:cs="Times New Roman"/>
          <w:sz w:val="28"/>
          <w:szCs w:val="28"/>
        </w:rPr>
        <w:t>。</w:t>
      </w:r>
    </w:p>
    <w:p w:rsidR="000B4A76" w:rsidRPr="00C77E77" w:rsidRDefault="000B4A76" w:rsidP="00705F8A">
      <w:pPr>
        <w:spacing w:before="180" w:after="180" w:line="500" w:lineRule="exact"/>
        <w:ind w:firstLineChars="202" w:firstLine="566"/>
        <w:jc w:val="both"/>
        <w:rPr>
          <w:rFonts w:ascii="Times New Roman" w:eastAsia="標楷體" w:hAnsi="Times New Roman" w:cs="Times New Roman"/>
          <w:sz w:val="28"/>
          <w:szCs w:val="28"/>
        </w:rPr>
      </w:pPr>
    </w:p>
    <w:p w:rsidR="00FA44BA" w:rsidRPr="00C77E77" w:rsidRDefault="00FA44BA" w:rsidP="00FA44BA">
      <w:pPr>
        <w:pStyle w:val="ab"/>
        <w:ind w:leftChars="0"/>
        <w:jc w:val="both"/>
        <w:rPr>
          <w:rFonts w:ascii="Times New Roman" w:eastAsia="標楷體" w:hAnsi="Times New Roman" w:cs="Times New Roman"/>
          <w:sz w:val="28"/>
          <w:szCs w:val="28"/>
        </w:rPr>
      </w:pPr>
      <w:r w:rsidRPr="00C77E77">
        <w:rPr>
          <w:rFonts w:ascii="Times New Roman" w:hAnsi="Times New Roman" w:cs="Times New Roman"/>
          <w:noProof/>
        </w:rPr>
        <w:drawing>
          <wp:inline distT="0" distB="0" distL="0" distR="0" wp14:anchorId="135DF11F" wp14:editId="15F7F9AC">
            <wp:extent cx="5274310" cy="3268817"/>
            <wp:effectExtent l="0" t="0" r="0" b="8255"/>
            <wp:docPr id="6" name="資料庫圖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AC152F" w:rsidRPr="00C77E77" w:rsidRDefault="00AC152F" w:rsidP="00AC152F">
      <w:pPr>
        <w:pStyle w:val="af7"/>
      </w:pPr>
      <w:bookmarkStart w:id="78" w:name="_Toc470676633"/>
      <w:r w:rsidRPr="00C77E77">
        <w:t>圖</w:t>
      </w:r>
      <w:r w:rsidRPr="00C77E77">
        <w:t xml:space="preserve">3-1-1 </w:t>
      </w:r>
      <w:r w:rsidRPr="00C77E77">
        <w:t>電子收費系統發展面向</w:t>
      </w:r>
      <w:bookmarkEnd w:id="78"/>
    </w:p>
    <w:p w:rsidR="00FA44BA" w:rsidRPr="00C77E77" w:rsidRDefault="00FA44BA" w:rsidP="002F5134">
      <w:pPr>
        <w:ind w:left="1316" w:hangingChars="506" w:hanging="1316"/>
        <w:rPr>
          <w:rFonts w:ascii="Times New Roman" w:eastAsia="標楷體" w:hAnsi="Times New Roman" w:cs="Times New Roman"/>
          <w:sz w:val="26"/>
          <w:szCs w:val="26"/>
        </w:rPr>
      </w:pPr>
      <w:r w:rsidRPr="00C77E77">
        <w:rPr>
          <w:rFonts w:ascii="Times New Roman" w:eastAsia="標楷體" w:hAnsi="Times New Roman" w:cs="Times New Roman"/>
          <w:sz w:val="26"/>
          <w:szCs w:val="26"/>
        </w:rPr>
        <w:t>資料來源：遠東人月刊編輯室編，</w:t>
      </w:r>
      <w:r w:rsidRPr="00C77E77">
        <w:rPr>
          <w:rFonts w:ascii="Times New Roman" w:eastAsia="標楷體" w:hAnsi="Times New Roman" w:cs="Times New Roman"/>
          <w:sz w:val="26"/>
          <w:szCs w:val="26"/>
        </w:rPr>
        <w:t>2012</w:t>
      </w:r>
      <w:r w:rsidRPr="00C77E77">
        <w:rPr>
          <w:rFonts w:ascii="Times New Roman" w:eastAsia="標楷體" w:hAnsi="Times New Roman" w:cs="Times New Roman"/>
          <w:sz w:val="26"/>
          <w:szCs w:val="26"/>
        </w:rPr>
        <w:t>年，〈智慧國道的推手</w:t>
      </w:r>
      <w:r w:rsidRPr="00C77E77">
        <w:rPr>
          <w:rFonts w:ascii="Times New Roman" w:eastAsia="標楷體" w:hAnsi="Times New Roman" w:cs="Times New Roman"/>
          <w:sz w:val="26"/>
          <w:szCs w:val="26"/>
        </w:rPr>
        <w:t xml:space="preserve">  </w:t>
      </w:r>
      <w:r w:rsidRPr="00C77E77">
        <w:rPr>
          <w:rFonts w:ascii="Times New Roman" w:eastAsia="標楷體" w:hAnsi="Times New Roman" w:cs="Times New Roman"/>
          <w:sz w:val="26"/>
          <w:szCs w:val="26"/>
        </w:rPr>
        <w:t>遠通電收創新交通服務〉，《遠東人月刊》，</w:t>
      </w:r>
      <w:r w:rsidRPr="00C77E77">
        <w:rPr>
          <w:rFonts w:ascii="Times New Roman" w:eastAsia="標楷體" w:hAnsi="Times New Roman" w:cs="Times New Roman"/>
          <w:sz w:val="26"/>
          <w:szCs w:val="26"/>
        </w:rPr>
        <w:t>2012</w:t>
      </w:r>
      <w:r w:rsidRPr="00C77E77">
        <w:rPr>
          <w:rFonts w:ascii="Times New Roman" w:eastAsia="標楷體" w:hAnsi="Times New Roman" w:cs="Times New Roman"/>
          <w:sz w:val="26"/>
          <w:szCs w:val="26"/>
        </w:rPr>
        <w:t>年</w:t>
      </w:r>
      <w:r w:rsidRPr="00C77E77">
        <w:rPr>
          <w:rFonts w:ascii="Times New Roman" w:eastAsia="標楷體" w:hAnsi="Times New Roman" w:cs="Times New Roman"/>
          <w:sz w:val="26"/>
          <w:szCs w:val="26"/>
        </w:rPr>
        <w:t>11</w:t>
      </w:r>
      <w:r w:rsidRPr="00C77E77">
        <w:rPr>
          <w:rFonts w:ascii="Times New Roman" w:eastAsia="標楷體" w:hAnsi="Times New Roman" w:cs="Times New Roman"/>
          <w:sz w:val="26"/>
          <w:szCs w:val="26"/>
        </w:rPr>
        <w:t>月號。</w:t>
      </w:r>
      <w:hyperlink r:id="rId27" w:history="1">
        <w:r w:rsidRPr="00C77E77">
          <w:rPr>
            <w:rStyle w:val="aa"/>
            <w:rFonts w:ascii="Times New Roman" w:eastAsia="標楷體" w:hAnsi="Times New Roman" w:cs="Times New Roman"/>
            <w:sz w:val="26"/>
            <w:szCs w:val="26"/>
            <w:u w:val="none"/>
          </w:rPr>
          <w:t>http://www.fenc.com/magazine/show_faq_new.aspx?SN=6667</w:t>
        </w:r>
      </w:hyperlink>
      <w:r w:rsidRPr="00C77E77">
        <w:rPr>
          <w:rFonts w:ascii="Times New Roman" w:eastAsia="標楷體" w:hAnsi="Times New Roman" w:cs="Times New Roman"/>
          <w:sz w:val="26"/>
          <w:szCs w:val="26"/>
        </w:rPr>
        <w:t xml:space="preserve"> </w:t>
      </w:r>
    </w:p>
    <w:p w:rsidR="000B4A76" w:rsidRPr="00C77E77" w:rsidRDefault="000B4A76"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p>
    <w:p w:rsidR="00FA44BA" w:rsidRPr="00C77E77" w:rsidRDefault="00FA44BA"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除了致力於臺灣國內的電子收費系統發展，將現有的技術拓展至更多元的服務範圍，更積極前進國際市場，近幾年來臺參訪的眾多國家，對我國</w:t>
      </w:r>
      <w:r w:rsidRPr="00C77E77">
        <w:rPr>
          <w:rFonts w:ascii="Times New Roman" w:eastAsia="標楷體" w:hAnsi="Times New Roman" w:cs="Times New Roman"/>
          <w:sz w:val="28"/>
          <w:szCs w:val="28"/>
        </w:rPr>
        <w:t>ETC</w:t>
      </w:r>
      <w:r w:rsidR="000705E1" w:rsidRPr="00C77E77">
        <w:rPr>
          <w:rFonts w:ascii="Times New Roman" w:eastAsia="標楷體" w:hAnsi="Times New Roman" w:cs="Times New Roman"/>
          <w:sz w:val="28"/>
          <w:szCs w:val="28"/>
        </w:rPr>
        <w:t>技術深感興趣，紛紛表達要引進收費系統，越南已和遠通簽約進行系統</w:t>
      </w:r>
      <w:r w:rsidRPr="00C77E77">
        <w:rPr>
          <w:rFonts w:ascii="Times New Roman" w:eastAsia="標楷體" w:hAnsi="Times New Roman" w:cs="Times New Roman"/>
          <w:sz w:val="28"/>
          <w:szCs w:val="28"/>
        </w:rPr>
        <w:t>建置並開始收費，馬來西亞、哈薩克、菲律賓、泰國、土耳其、印度、義大利、印尼、香港等也表達高度興趣，探尋未來合作商機。不僅僅只是技術、營運經驗的輸出，連同周邊相關服務，包括營建業、土木工程、機電、攝影設備、偵測系統等產業，透過整體產業鏈的共同輸出，擴大輸出規模與效益，爭取</w:t>
      </w:r>
      <w:r w:rsidRPr="00C77E77">
        <w:rPr>
          <w:rFonts w:ascii="Times New Roman" w:eastAsia="標楷體" w:hAnsi="Times New Roman" w:cs="Times New Roman"/>
          <w:sz w:val="28"/>
          <w:szCs w:val="28"/>
        </w:rPr>
        <w:lastRenderedPageBreak/>
        <w:t>海外商機。</w:t>
      </w:r>
      <w:r w:rsidRPr="00C77E77">
        <w:rPr>
          <w:rStyle w:val="a9"/>
          <w:rFonts w:ascii="Times New Roman" w:eastAsia="標楷體" w:hAnsi="Times New Roman" w:cs="Times New Roman"/>
          <w:sz w:val="28"/>
          <w:szCs w:val="28"/>
        </w:rPr>
        <w:footnoteReference w:id="36"/>
      </w:r>
      <w:r w:rsidR="000F07AB" w:rsidRPr="00C77E77">
        <w:rPr>
          <w:rFonts w:ascii="Times New Roman" w:eastAsia="標楷體" w:hAnsi="Times New Roman" w:cs="Times New Roman"/>
          <w:sz w:val="28"/>
          <w:szCs w:val="28"/>
        </w:rPr>
        <w:t xml:space="preserve"> </w:t>
      </w:r>
    </w:p>
    <w:p w:rsidR="00FA44BA" w:rsidRPr="00C77E77" w:rsidRDefault="00FA44BA" w:rsidP="001C67E8">
      <w:pPr>
        <w:spacing w:beforeLines="50" w:before="180" w:afterLines="50" w:after="180" w:line="500" w:lineRule="exact"/>
        <w:ind w:firstLineChars="202" w:firstLine="566"/>
        <w:jc w:val="both"/>
        <w:rPr>
          <w:rFonts w:ascii="Times New Roman" w:eastAsia="標楷體" w:hAnsi="Times New Roman" w:cs="Times New Roman"/>
          <w:color w:val="FF0000"/>
          <w:sz w:val="28"/>
          <w:szCs w:val="28"/>
        </w:rPr>
      </w:pPr>
      <w:r w:rsidRPr="00C77E77">
        <w:rPr>
          <w:rFonts w:ascii="Times New Roman" w:eastAsia="標楷體" w:hAnsi="Times New Roman" w:cs="Times New Roman"/>
          <w:sz w:val="28"/>
          <w:szCs w:val="28"/>
        </w:rPr>
        <w:t>我國電子收費系統率先採用全面性計程收費，目前並無其他國家有相關經驗，因此我國在此領域並無競爭對手，身為領頭羊的角色，我應把握此優勢積極發展海外市場，加上採用的</w:t>
      </w:r>
      <w:r w:rsidRPr="00C77E77">
        <w:rPr>
          <w:rFonts w:ascii="Times New Roman" w:eastAsia="標楷體" w:hAnsi="Times New Roman" w:cs="Times New Roman"/>
          <w:sz w:val="28"/>
          <w:szCs w:val="28"/>
        </w:rPr>
        <w:t>RFID</w:t>
      </w:r>
      <w:r w:rsidRPr="00C77E77">
        <w:rPr>
          <w:rFonts w:ascii="Times New Roman" w:eastAsia="標楷體" w:hAnsi="Times New Roman" w:cs="Times New Roman"/>
          <w:sz w:val="28"/>
          <w:szCs w:val="28"/>
        </w:rPr>
        <w:t>沒有技術專利問題，單一成本只要</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美元，在現今利潤微薄的時代中，更是一大利基。但由於</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為民間企業與政府簽訂</w:t>
      </w:r>
      <w:r w:rsidRPr="00C77E77">
        <w:rPr>
          <w:rFonts w:ascii="Times New Roman" w:eastAsia="標楷體" w:hAnsi="Times New Roman" w:cs="Times New Roman"/>
          <w:sz w:val="28"/>
          <w:szCs w:val="28"/>
        </w:rPr>
        <w:t>BOT</w:t>
      </w:r>
      <w:r w:rsidRPr="00C77E77">
        <w:rPr>
          <w:rFonts w:ascii="Times New Roman" w:eastAsia="標楷體" w:hAnsi="Times New Roman" w:cs="Times New Roman"/>
          <w:sz w:val="28"/>
          <w:szCs w:val="28"/>
        </w:rPr>
        <w:t>的形式運作，在</w:t>
      </w:r>
      <w:r w:rsidRPr="00C77E77">
        <w:rPr>
          <w:rFonts w:ascii="Times New Roman" w:eastAsia="標楷體" w:hAnsi="Times New Roman" w:cs="Times New Roman"/>
          <w:sz w:val="28"/>
          <w:szCs w:val="28"/>
        </w:rPr>
        <w:t>2025</w:t>
      </w:r>
      <w:r w:rsidRPr="00C77E77">
        <w:rPr>
          <w:rFonts w:ascii="Times New Roman" w:eastAsia="標楷體" w:hAnsi="Times New Roman" w:cs="Times New Roman"/>
          <w:sz w:val="28"/>
          <w:szCs w:val="28"/>
        </w:rPr>
        <w:t>年營運期滿，屆時後續移轉問題將有待雙方進一步溝通協調，以免影響</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的全面發展。</w:t>
      </w:r>
      <w:r w:rsidR="005D4CEA" w:rsidRPr="00C77E77">
        <w:rPr>
          <w:rFonts w:ascii="Times New Roman" w:eastAsia="標楷體" w:hAnsi="Times New Roman" w:cs="Times New Roman"/>
          <w:sz w:val="28"/>
          <w:szCs w:val="28"/>
        </w:rPr>
        <w:t>政府針對</w:t>
      </w:r>
      <w:r w:rsidR="005D4CEA" w:rsidRPr="00C77E77">
        <w:rPr>
          <w:rFonts w:ascii="Times New Roman" w:eastAsia="標楷體" w:hAnsi="Times New Roman" w:cs="Times New Roman"/>
          <w:sz w:val="28"/>
          <w:szCs w:val="28"/>
        </w:rPr>
        <w:t>ETC</w:t>
      </w:r>
      <w:r w:rsidR="005D4CEA" w:rsidRPr="00C77E77">
        <w:rPr>
          <w:rFonts w:ascii="Times New Roman" w:eastAsia="標楷體" w:hAnsi="Times New Roman" w:cs="Times New Roman"/>
          <w:sz w:val="28"/>
          <w:szCs w:val="28"/>
        </w:rPr>
        <w:t>在世界上數一數二的成果，也應加強宣傳，打響我國品牌、建立國際知名度</w:t>
      </w:r>
      <w:r w:rsidR="001C67E8" w:rsidRPr="00C77E77">
        <w:rPr>
          <w:rFonts w:ascii="Times New Roman" w:eastAsia="標楷體" w:hAnsi="Times New Roman" w:cs="Times New Roman"/>
          <w:sz w:val="28"/>
          <w:szCs w:val="28"/>
        </w:rPr>
        <w:t>，協助業者蒐集海外情資，做為推銷我國產業之一大助力。而為因應海外拓展業務，業者也需加強國際化能力，包含提升外語能力、熟習拓銷國法規、制度，才能降低風險。</w:t>
      </w:r>
      <w:r w:rsidRPr="00C77E77">
        <w:rPr>
          <w:rFonts w:ascii="Times New Roman" w:eastAsia="標楷體" w:hAnsi="Times New Roman" w:cs="Times New Roman"/>
          <w:sz w:val="28"/>
          <w:szCs w:val="28"/>
        </w:rPr>
        <w:t>另外，由於</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可透過行動物聯網進行廣泛的衍伸應用，因此，委外單位的營業範疇相關限制法規，需要更加謹慎訂定，有待各部會、立法機構進行審慎的協商規劃，才能將</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的運用真正落實。</w:t>
      </w:r>
    </w:p>
    <w:p w:rsidR="006177D0" w:rsidRPr="00C77E77" w:rsidRDefault="000F07AB"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以現行</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系統輸出至越南的個案為例，將帶動我國電子收費相關產業出口成長，包括系統服務、系統開發、工程技術和相關硬體設備，預估在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年總出口值規模將達新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億元，隨著未來海外輸出國家逐漸增加，至</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年我國電子收費出口值規模預計可達新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116</w:t>
      </w:r>
      <w:r w:rsidRPr="00C77E77">
        <w:rPr>
          <w:rFonts w:ascii="Times New Roman" w:eastAsia="標楷體" w:hAnsi="Times New Roman" w:cs="Times New Roman"/>
          <w:sz w:val="28"/>
          <w:szCs w:val="28"/>
        </w:rPr>
        <w:t>億元。</w:t>
      </w:r>
      <w:r w:rsidRPr="00C77E77">
        <w:rPr>
          <w:rStyle w:val="a9"/>
          <w:rFonts w:ascii="Times New Roman" w:eastAsia="標楷體" w:hAnsi="Times New Roman" w:cs="Times New Roman"/>
          <w:sz w:val="28"/>
          <w:szCs w:val="28"/>
        </w:rPr>
        <w:footnoteReference w:id="37"/>
      </w:r>
    </w:p>
    <w:p w:rsidR="00BC5143" w:rsidRPr="00C77E77" w:rsidRDefault="00BC5143" w:rsidP="00705F8A">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二、電子化政府</w:t>
      </w:r>
    </w:p>
    <w:p w:rsidR="00FA44BA" w:rsidRPr="00C77E77" w:rsidRDefault="00FA44BA"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1990</w:t>
      </w:r>
      <w:r w:rsidRPr="00C77E77">
        <w:rPr>
          <w:rFonts w:ascii="Times New Roman" w:eastAsia="標楷體" w:hAnsi="Times New Roman" w:cs="Times New Roman"/>
          <w:sz w:val="28"/>
          <w:szCs w:val="28"/>
        </w:rPr>
        <w:t>年代</w:t>
      </w:r>
      <w:r w:rsidR="00486460" w:rsidRPr="00C77E77">
        <w:rPr>
          <w:rFonts w:ascii="Times New Roman" w:eastAsia="標楷體" w:hAnsi="Times New Roman" w:cs="Times New Roman"/>
          <w:sz w:val="28"/>
          <w:szCs w:val="28"/>
        </w:rPr>
        <w:t>開始，</w:t>
      </w:r>
      <w:r w:rsidRPr="00C77E77">
        <w:rPr>
          <w:rFonts w:ascii="Times New Roman" w:eastAsia="標楷體" w:hAnsi="Times New Roman" w:cs="Times New Roman"/>
          <w:sz w:val="28"/>
          <w:szCs w:val="28"/>
        </w:rPr>
        <w:t>電子化政府在</w:t>
      </w:r>
      <w:r w:rsidR="00486460" w:rsidRPr="00C77E77">
        <w:rPr>
          <w:rFonts w:ascii="Times New Roman" w:eastAsia="標楷體" w:hAnsi="Times New Roman" w:cs="Times New Roman"/>
          <w:sz w:val="28"/>
          <w:szCs w:val="28"/>
        </w:rPr>
        <w:t>世界各</w:t>
      </w:r>
      <w:r w:rsidRPr="00C77E77">
        <w:rPr>
          <w:rFonts w:ascii="Times New Roman" w:eastAsia="標楷體" w:hAnsi="Times New Roman" w:cs="Times New Roman"/>
          <w:sz w:val="28"/>
          <w:szCs w:val="28"/>
        </w:rPr>
        <w:t>國形成風潮，歐、美、澳、日等先進國家相繼推動「國家資訊基礎建設」（</w:t>
      </w:r>
      <w:r w:rsidRPr="00C77E77">
        <w:rPr>
          <w:rFonts w:ascii="Times New Roman" w:eastAsia="標楷體" w:hAnsi="Times New Roman" w:cs="Times New Roman"/>
          <w:sz w:val="28"/>
          <w:szCs w:val="28"/>
        </w:rPr>
        <w:t>National Information Infrastructure, NII</w:t>
      </w:r>
      <w:r w:rsidRPr="00C77E77">
        <w:rPr>
          <w:rFonts w:ascii="Times New Roman" w:eastAsia="標楷體" w:hAnsi="Times New Roman" w:cs="Times New Roman"/>
          <w:sz w:val="28"/>
          <w:szCs w:val="28"/>
        </w:rPr>
        <w:t>），積極運用資訊與通訊技術（</w:t>
      </w:r>
      <w:r w:rsidRPr="00C77E77">
        <w:rPr>
          <w:rFonts w:ascii="Times New Roman" w:eastAsia="標楷體" w:hAnsi="Times New Roman" w:cs="Times New Roman"/>
          <w:sz w:val="28"/>
          <w:szCs w:val="28"/>
        </w:rPr>
        <w:t>Information and Communication Technology, ICT</w:t>
      </w:r>
      <w:r w:rsidRPr="00C77E77">
        <w:rPr>
          <w:rFonts w:ascii="Times New Roman" w:eastAsia="標楷體" w:hAnsi="Times New Roman" w:cs="Times New Roman"/>
          <w:sz w:val="28"/>
          <w:szCs w:val="28"/>
        </w:rPr>
        <w:t>）來打造「電子化政府」（</w:t>
      </w:r>
      <w:r w:rsidRPr="00C77E77">
        <w:rPr>
          <w:rFonts w:ascii="Times New Roman" w:eastAsia="標楷體" w:hAnsi="Times New Roman" w:cs="Times New Roman"/>
          <w:sz w:val="28"/>
          <w:szCs w:val="28"/>
        </w:rPr>
        <w:t>E-Government</w:t>
      </w:r>
      <w:r w:rsidRPr="00C77E77">
        <w:rPr>
          <w:rFonts w:ascii="Times New Roman" w:eastAsia="標楷體" w:hAnsi="Times New Roman" w:cs="Times New Roman"/>
          <w:sz w:val="28"/>
          <w:szCs w:val="28"/>
        </w:rPr>
        <w:t>），這項發展被視為提升政府運作效能與國家競爭力的重要策略。</w:t>
      </w:r>
    </w:p>
    <w:p w:rsidR="00FA44BA" w:rsidRPr="00C77E77" w:rsidRDefault="00FA44BA" w:rsidP="000E5252">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聯合國</w:t>
      </w:r>
      <w:r w:rsidR="006D4986" w:rsidRPr="00C77E77">
        <w:rPr>
          <w:rFonts w:ascii="Times New Roman" w:eastAsia="標楷體" w:hAnsi="Times New Roman" w:cs="Times New Roman"/>
          <w:sz w:val="28"/>
          <w:szCs w:val="28"/>
        </w:rPr>
        <w:t>、世界銀行</w:t>
      </w:r>
      <w:r w:rsidR="000E5252" w:rsidRPr="00C77E77">
        <w:rPr>
          <w:rFonts w:ascii="Times New Roman" w:eastAsia="標楷體" w:hAnsi="Times New Roman" w:cs="Times New Roman"/>
          <w:sz w:val="28"/>
          <w:szCs w:val="28"/>
        </w:rPr>
        <w:t>對於電子化政府的意義</w:t>
      </w:r>
      <w:r w:rsidRPr="00C77E77">
        <w:rPr>
          <w:rFonts w:ascii="Times New Roman" w:eastAsia="標楷體" w:hAnsi="Times New Roman" w:cs="Times New Roman"/>
          <w:sz w:val="28"/>
          <w:szCs w:val="28"/>
        </w:rPr>
        <w:t>有不同的</w:t>
      </w:r>
      <w:r w:rsidR="000705E1" w:rsidRPr="00C77E77">
        <w:rPr>
          <w:rFonts w:ascii="Times New Roman" w:eastAsia="標楷體" w:hAnsi="Times New Roman" w:cs="Times New Roman"/>
          <w:sz w:val="28"/>
          <w:szCs w:val="28"/>
        </w:rPr>
        <w:t>解讀</w:t>
      </w:r>
      <w:r w:rsidRPr="00C77E77">
        <w:rPr>
          <w:rFonts w:ascii="Times New Roman" w:eastAsia="標楷體" w:hAnsi="Times New Roman" w:cs="Times New Roman"/>
          <w:sz w:val="28"/>
          <w:szCs w:val="28"/>
        </w:rPr>
        <w:t>，</w:t>
      </w:r>
      <w:r w:rsidR="00A767D5" w:rsidRPr="00C77E77">
        <w:rPr>
          <w:rStyle w:val="a9"/>
          <w:rFonts w:ascii="Times New Roman" w:eastAsia="標楷體" w:hAnsi="Times New Roman" w:cs="Times New Roman"/>
          <w:sz w:val="28"/>
          <w:szCs w:val="28"/>
        </w:rPr>
        <w:footnoteReference w:id="38"/>
      </w:r>
      <w:r w:rsidRPr="00C77E77">
        <w:rPr>
          <w:rFonts w:ascii="Times New Roman" w:eastAsia="標楷體" w:hAnsi="Times New Roman" w:cs="Times New Roman"/>
          <w:sz w:val="28"/>
          <w:szCs w:val="28"/>
        </w:rPr>
        <w:t>但</w:t>
      </w:r>
      <w:r w:rsidR="000E5252" w:rsidRPr="00C77E77">
        <w:rPr>
          <w:rFonts w:ascii="Times New Roman" w:eastAsia="標楷體" w:hAnsi="Times New Roman" w:cs="Times New Roman"/>
          <w:sz w:val="28"/>
          <w:szCs w:val="28"/>
        </w:rPr>
        <w:t>整體來說</w:t>
      </w:r>
      <w:r w:rsidRPr="00C77E77">
        <w:rPr>
          <w:rFonts w:ascii="Times New Roman" w:eastAsia="標楷體" w:hAnsi="Times New Roman" w:cs="Times New Roman"/>
          <w:sz w:val="28"/>
          <w:szCs w:val="28"/>
        </w:rPr>
        <w:t>，電子化政府是</w:t>
      </w:r>
      <w:r w:rsidR="000E5252" w:rsidRPr="00C77E77">
        <w:rPr>
          <w:rFonts w:ascii="Times New Roman" w:eastAsia="標楷體" w:hAnsi="Times New Roman" w:cs="Times New Roman"/>
          <w:sz w:val="28"/>
          <w:szCs w:val="28"/>
        </w:rPr>
        <w:t>指</w:t>
      </w:r>
      <w:r w:rsidRPr="00C77E77">
        <w:rPr>
          <w:rFonts w:ascii="Times New Roman" w:eastAsia="標楷體" w:hAnsi="Times New Roman" w:cs="Times New Roman"/>
          <w:sz w:val="28"/>
          <w:szCs w:val="28"/>
        </w:rPr>
        <w:t>利用資通訊技術和</w:t>
      </w:r>
      <w:r w:rsidR="00486460" w:rsidRPr="00C77E77">
        <w:rPr>
          <w:rFonts w:ascii="Times New Roman" w:eastAsia="標楷體" w:hAnsi="Times New Roman" w:cs="Times New Roman"/>
          <w:sz w:val="28"/>
          <w:szCs w:val="28"/>
        </w:rPr>
        <w:t>網際網路無遠弗屆的特性，將各級政府間以及政府對企業、民眾</w:t>
      </w:r>
      <w:r w:rsidRPr="00C77E77">
        <w:rPr>
          <w:rFonts w:ascii="Times New Roman" w:eastAsia="標楷體" w:hAnsi="Times New Roman" w:cs="Times New Roman"/>
          <w:sz w:val="28"/>
          <w:szCs w:val="28"/>
        </w:rPr>
        <w:t>串聯成一個巨大的聯網，藉由</w:t>
      </w:r>
      <w:r w:rsidR="00486460" w:rsidRPr="00C77E77">
        <w:rPr>
          <w:rFonts w:ascii="Times New Roman" w:eastAsia="標楷體" w:hAnsi="Times New Roman" w:cs="Times New Roman"/>
          <w:sz w:val="28"/>
          <w:szCs w:val="28"/>
        </w:rPr>
        <w:t>提升</w:t>
      </w:r>
      <w:r w:rsidRPr="00C77E77">
        <w:rPr>
          <w:rFonts w:ascii="Times New Roman" w:eastAsia="標楷體" w:hAnsi="Times New Roman" w:cs="Times New Roman"/>
          <w:sz w:val="28"/>
          <w:szCs w:val="28"/>
        </w:rPr>
        <w:t>行政效率、縮短工作流程，</w:t>
      </w:r>
      <w:r w:rsidR="00486460" w:rsidRPr="00C77E77">
        <w:rPr>
          <w:rFonts w:ascii="Times New Roman" w:eastAsia="標楷體" w:hAnsi="Times New Roman" w:cs="Times New Roman"/>
          <w:sz w:val="28"/>
          <w:szCs w:val="28"/>
        </w:rPr>
        <w:t>讓</w:t>
      </w:r>
      <w:r w:rsidRPr="00C77E77">
        <w:rPr>
          <w:rFonts w:ascii="Times New Roman" w:eastAsia="標楷體" w:hAnsi="Times New Roman" w:cs="Times New Roman"/>
          <w:sz w:val="28"/>
          <w:szCs w:val="28"/>
        </w:rPr>
        <w:t>民眾能夠在任何時間、地點取得所需要的資訊與服務</w:t>
      </w:r>
      <w:r w:rsidR="00486460" w:rsidRPr="00C77E77">
        <w:rPr>
          <w:rFonts w:ascii="Times New Roman" w:eastAsia="標楷體" w:hAnsi="Times New Roman" w:cs="Times New Roman"/>
          <w:sz w:val="28"/>
          <w:szCs w:val="28"/>
        </w:rPr>
        <w:t>，企業與政府在商務往來上也能藉由資訊科技增進效率</w:t>
      </w:r>
      <w:r w:rsidRPr="00C77E77">
        <w:rPr>
          <w:rFonts w:ascii="Times New Roman" w:eastAsia="標楷體" w:hAnsi="Times New Roman" w:cs="Times New Roman"/>
          <w:sz w:val="28"/>
          <w:szCs w:val="28"/>
        </w:rPr>
        <w:t>。由於推動電子化政府被各國視為落實政府現代化、提升服務效能、促進創新變革與維繫國家競爭力的重要指標，因此各國無不卯足全力發展符合未來需求的全觀型電子化政府。</w:t>
      </w:r>
      <w:r w:rsidRPr="00C77E77">
        <w:rPr>
          <w:rStyle w:val="a9"/>
          <w:rFonts w:ascii="Times New Roman" w:eastAsia="標楷體" w:hAnsi="Times New Roman" w:cs="Times New Roman"/>
          <w:sz w:val="28"/>
          <w:szCs w:val="28"/>
        </w:rPr>
        <w:footnoteReference w:id="39"/>
      </w:r>
    </w:p>
    <w:p w:rsidR="00FA44BA" w:rsidRPr="00C77E77" w:rsidRDefault="00FA44BA" w:rsidP="00705F8A">
      <w:pPr>
        <w:spacing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為因應此一趨勢，我國行政院也於</w:t>
      </w:r>
      <w:r w:rsidRPr="00C77E77">
        <w:rPr>
          <w:rFonts w:ascii="Times New Roman" w:eastAsia="標楷體" w:hAnsi="Times New Roman" w:cs="Times New Roman"/>
          <w:sz w:val="28"/>
          <w:szCs w:val="28"/>
        </w:rPr>
        <w:t>1994</w:t>
      </w:r>
      <w:r w:rsidRPr="00C77E77">
        <w:rPr>
          <w:rFonts w:ascii="Times New Roman" w:eastAsia="標楷體" w:hAnsi="Times New Roman" w:cs="Times New Roman"/>
          <w:sz w:val="28"/>
          <w:szCs w:val="28"/>
        </w:rPr>
        <w:t>年</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月成立國家資訊基礎建設的專案推動小組，以推廣網際網路普及應用，希冀可以發展</w:t>
      </w:r>
      <w:r w:rsidR="00240B65"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成為「亞太地區網際網路的樞紐」，同時建立我國資訊化、網路化的國家服務系統。</w:t>
      </w:r>
      <w:r w:rsidRPr="00C77E77">
        <w:rPr>
          <w:rStyle w:val="a9"/>
          <w:rFonts w:ascii="Times New Roman" w:eastAsia="標楷體" w:hAnsi="Times New Roman" w:cs="Times New Roman"/>
          <w:sz w:val="28"/>
          <w:szCs w:val="28"/>
        </w:rPr>
        <w:footnoteReference w:id="40"/>
      </w:r>
      <w:r w:rsidRPr="00C77E77">
        <w:rPr>
          <w:rFonts w:ascii="Times New Roman" w:eastAsia="標楷體" w:hAnsi="Times New Roman" w:cs="Times New Roman"/>
          <w:sz w:val="28"/>
          <w:szCs w:val="28"/>
        </w:rPr>
        <w:t>自</w:t>
      </w:r>
      <w:r w:rsidRPr="00C77E77">
        <w:rPr>
          <w:rFonts w:ascii="Times New Roman" w:eastAsia="標楷體" w:hAnsi="Times New Roman" w:cs="Times New Roman"/>
          <w:sz w:val="28"/>
          <w:szCs w:val="28"/>
        </w:rPr>
        <w:t>1998</w:t>
      </w:r>
      <w:r w:rsidRPr="00C77E77">
        <w:rPr>
          <w:rFonts w:ascii="Times New Roman" w:eastAsia="標楷體" w:hAnsi="Times New Roman" w:cs="Times New Roman"/>
          <w:sz w:val="28"/>
          <w:szCs w:val="28"/>
        </w:rPr>
        <w:t>年起，我國開始計畫電子化政府，現已經完成第一階段的政府網路基礎建設與第二階段的政府網路應用推廣計畫</w:t>
      </w:r>
      <w:r w:rsidR="00486460" w:rsidRPr="00C77E77">
        <w:rPr>
          <w:rFonts w:ascii="Times New Roman" w:eastAsia="標楷體" w:hAnsi="Times New Roman" w:cs="Times New Roman"/>
          <w:sz w:val="28"/>
          <w:szCs w:val="28"/>
        </w:rPr>
        <w:t>及</w:t>
      </w:r>
      <w:r w:rsidR="00DB5A2E" w:rsidRPr="00C77E77">
        <w:rPr>
          <w:rFonts w:ascii="Times New Roman" w:eastAsia="標楷體" w:hAnsi="Times New Roman" w:cs="Times New Roman"/>
          <w:sz w:val="28"/>
          <w:szCs w:val="28"/>
        </w:rPr>
        <w:t>數位</w:t>
      </w:r>
      <w:r w:rsidR="00486460" w:rsidRPr="00C77E77">
        <w:rPr>
          <w:rFonts w:ascii="Times New Roman" w:eastAsia="標楷體" w:hAnsi="Times New Roman" w:cs="Times New Roman"/>
          <w:sz w:val="28"/>
          <w:szCs w:val="28"/>
        </w:rPr>
        <w:t>臺灣</w:t>
      </w:r>
      <w:r w:rsidR="00486460" w:rsidRPr="00C77E77">
        <w:rPr>
          <w:rFonts w:ascii="Times New Roman" w:eastAsia="標楷體" w:hAnsi="Times New Roman" w:cs="Times New Roman"/>
          <w:sz w:val="28"/>
          <w:szCs w:val="28"/>
        </w:rPr>
        <w:t>e</w:t>
      </w:r>
      <w:r w:rsidR="00486460" w:rsidRPr="00C77E77">
        <w:rPr>
          <w:rFonts w:ascii="Times New Roman" w:eastAsia="標楷體" w:hAnsi="Times New Roman" w:cs="Times New Roman"/>
          <w:sz w:val="28"/>
          <w:szCs w:val="28"/>
        </w:rPr>
        <w:t>化政府計畫</w:t>
      </w:r>
      <w:r w:rsidRPr="00C77E77">
        <w:rPr>
          <w:rFonts w:ascii="Times New Roman" w:eastAsia="標楷體" w:hAnsi="Times New Roman" w:cs="Times New Roman"/>
          <w:sz w:val="28"/>
          <w:szCs w:val="28"/>
        </w:rPr>
        <w:t>；第三階段則持續推動提供隨手可得</w:t>
      </w:r>
      <w:r w:rsidR="00C068B4" w:rsidRPr="00C77E77">
        <w:rPr>
          <w:rFonts w:ascii="Times New Roman" w:eastAsia="標楷體" w:hAnsi="Times New Roman" w:cs="Times New Roman"/>
          <w:sz w:val="28"/>
          <w:szCs w:val="28"/>
        </w:rPr>
        <w:t>的政府服務之優質網路政府計畫</w:t>
      </w:r>
      <w:r w:rsidRPr="00C77E77">
        <w:rPr>
          <w:rFonts w:ascii="Times New Roman" w:eastAsia="標楷體" w:hAnsi="Times New Roman" w:cs="Times New Roman"/>
          <w:sz w:val="28"/>
          <w:szCs w:val="28"/>
        </w:rPr>
        <w:t>，協助政府轉型成為</w:t>
      </w:r>
      <w:r w:rsidRPr="00C77E77">
        <w:rPr>
          <w:rFonts w:ascii="Times New Roman" w:eastAsia="標楷體" w:hAnsi="Times New Roman" w:cs="Times New Roman"/>
          <w:sz w:val="28"/>
          <w:szCs w:val="28"/>
        </w:rPr>
        <w:t>e</w:t>
      </w:r>
      <w:r w:rsidRPr="00C77E77">
        <w:rPr>
          <w:rFonts w:ascii="Times New Roman" w:eastAsia="標楷體" w:hAnsi="Times New Roman" w:cs="Times New Roman"/>
          <w:sz w:val="28"/>
          <w:szCs w:val="28"/>
        </w:rPr>
        <w:t>化治理之活力政府；</w:t>
      </w:r>
      <w:r w:rsidR="00C068B4" w:rsidRPr="00C77E77">
        <w:rPr>
          <w:rFonts w:ascii="Times New Roman" w:eastAsia="標楷體" w:hAnsi="Times New Roman" w:cs="Times New Roman"/>
          <w:sz w:val="28"/>
          <w:szCs w:val="28"/>
        </w:rPr>
        <w:t>現行之</w:t>
      </w:r>
      <w:r w:rsidRPr="00C77E77">
        <w:rPr>
          <w:rFonts w:ascii="Times New Roman" w:eastAsia="標楷體" w:hAnsi="Times New Roman" w:cs="Times New Roman"/>
          <w:sz w:val="28"/>
          <w:szCs w:val="28"/>
        </w:rPr>
        <w:t>第四階段電子化政府計畫</w:t>
      </w:r>
      <w:r w:rsidR="00C068B4" w:rsidRPr="00C77E77">
        <w:rPr>
          <w:rFonts w:ascii="Times New Roman" w:eastAsia="標楷體" w:hAnsi="Times New Roman" w:cs="Times New Roman"/>
          <w:sz w:val="28"/>
          <w:szCs w:val="28"/>
        </w:rPr>
        <w:t>則</w:t>
      </w:r>
      <w:r w:rsidRPr="00C77E77">
        <w:rPr>
          <w:rFonts w:ascii="Times New Roman" w:eastAsia="標楷體" w:hAnsi="Times New Roman" w:cs="Times New Roman"/>
          <w:sz w:val="28"/>
          <w:szCs w:val="28"/>
        </w:rPr>
        <w:t>聚焦全程服務，對外增進為民服務品質、</w:t>
      </w:r>
      <w:r w:rsidR="00C068B4" w:rsidRPr="00C77E77">
        <w:rPr>
          <w:rFonts w:ascii="Times New Roman" w:eastAsia="標楷體" w:hAnsi="Times New Roman" w:cs="Times New Roman"/>
          <w:sz w:val="28"/>
          <w:szCs w:val="28"/>
        </w:rPr>
        <w:t>對內提升運作效率，</w:t>
      </w:r>
      <w:r w:rsidRPr="00C77E77">
        <w:rPr>
          <w:rFonts w:ascii="Times New Roman" w:eastAsia="標楷體" w:hAnsi="Times New Roman" w:cs="Times New Roman"/>
          <w:sz w:val="28"/>
          <w:szCs w:val="28"/>
        </w:rPr>
        <w:t>並兼顧社會關懷與公平參與等三面向為核心，達成服務無疆界，全民好生活的願景，</w:t>
      </w:r>
      <w:r w:rsidR="00C068B4" w:rsidRPr="00C77E77">
        <w:rPr>
          <w:rFonts w:ascii="Times New Roman" w:eastAsia="標楷體" w:hAnsi="Times New Roman" w:cs="Times New Roman"/>
          <w:sz w:val="28"/>
          <w:szCs w:val="28"/>
        </w:rPr>
        <w:t>此計畫</w:t>
      </w:r>
      <w:r w:rsidRPr="00C77E77">
        <w:rPr>
          <w:rFonts w:ascii="Times New Roman" w:eastAsia="標楷體" w:hAnsi="Times New Roman" w:cs="Times New Roman"/>
          <w:sz w:val="28"/>
          <w:szCs w:val="28"/>
        </w:rPr>
        <w:t>於</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年屆期；</w:t>
      </w:r>
      <w:r w:rsidR="00C068B4" w:rsidRPr="00C77E77">
        <w:rPr>
          <w:rFonts w:ascii="Times New Roman" w:eastAsia="標楷體" w:hAnsi="Times New Roman" w:cs="Times New Roman"/>
          <w:sz w:val="28"/>
          <w:szCs w:val="28"/>
        </w:rPr>
        <w:t>未來將邁向</w:t>
      </w:r>
      <w:r w:rsidRPr="00C77E77">
        <w:rPr>
          <w:rFonts w:ascii="Times New Roman" w:eastAsia="標楷體" w:hAnsi="Times New Roman" w:cs="Times New Roman"/>
          <w:sz w:val="28"/>
          <w:szCs w:val="28"/>
        </w:rPr>
        <w:t>第五階段</w:t>
      </w:r>
      <w:r w:rsidR="00C068B4" w:rsidRPr="00C77E77">
        <w:rPr>
          <w:rFonts w:ascii="Times New Roman" w:eastAsia="標楷體" w:hAnsi="Times New Roman" w:cs="Times New Roman"/>
          <w:sz w:val="28"/>
          <w:szCs w:val="28"/>
        </w:rPr>
        <w:t>，此階段</w:t>
      </w:r>
      <w:r w:rsidRPr="00C77E77">
        <w:rPr>
          <w:rFonts w:ascii="Times New Roman" w:eastAsia="標楷體" w:hAnsi="Times New Roman" w:cs="Times New Roman"/>
          <w:sz w:val="28"/>
          <w:szCs w:val="28"/>
        </w:rPr>
        <w:t>電子化政府規劃重點將以資料導向之角度重新設計政府服務樣態，期間自</w:t>
      </w:r>
      <w:r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年。以資料驅動、公私協力、以民為本為政府服務的核心理念，並以巨量資料（</w:t>
      </w:r>
      <w:r w:rsidRPr="00C77E77">
        <w:rPr>
          <w:rFonts w:ascii="Times New Roman" w:eastAsia="標楷體" w:hAnsi="Times New Roman" w:cs="Times New Roman"/>
          <w:sz w:val="28"/>
          <w:szCs w:val="28"/>
        </w:rPr>
        <w:t>Big Data</w:t>
      </w:r>
      <w:r w:rsidRPr="00C77E77">
        <w:rPr>
          <w:rFonts w:ascii="Times New Roman" w:eastAsia="標楷體" w:hAnsi="Times New Roman" w:cs="Times New Roman"/>
          <w:sz w:val="28"/>
          <w:szCs w:val="28"/>
        </w:rPr>
        <w:t>）、開放資料（</w:t>
      </w:r>
      <w:r w:rsidRPr="00C77E77">
        <w:rPr>
          <w:rFonts w:ascii="Times New Roman" w:eastAsia="標楷體" w:hAnsi="Times New Roman" w:cs="Times New Roman"/>
          <w:sz w:val="28"/>
          <w:szCs w:val="28"/>
        </w:rPr>
        <w:t>Open Data</w:t>
      </w:r>
      <w:r w:rsidRPr="00C77E77">
        <w:rPr>
          <w:rFonts w:ascii="Times New Roman" w:eastAsia="標楷體" w:hAnsi="Times New Roman" w:cs="Times New Roman"/>
          <w:sz w:val="28"/>
          <w:szCs w:val="28"/>
        </w:rPr>
        <w:t>）、個人資料（</w:t>
      </w:r>
      <w:r w:rsidRPr="00C77E77">
        <w:rPr>
          <w:rFonts w:ascii="Times New Roman" w:eastAsia="標楷體" w:hAnsi="Times New Roman" w:cs="Times New Roman"/>
          <w:sz w:val="28"/>
          <w:szCs w:val="28"/>
        </w:rPr>
        <w:t>My Data</w:t>
      </w:r>
      <w:r w:rsidRPr="00C77E77">
        <w:rPr>
          <w:rFonts w:ascii="Times New Roman" w:eastAsia="標楷體" w:hAnsi="Times New Roman" w:cs="Times New Roman"/>
          <w:sz w:val="28"/>
          <w:szCs w:val="28"/>
        </w:rPr>
        <w:t>）為工具，透過「基礎環境數位化、協作治理多元化、產業營運智能化、數位服務個人化」等四項推動策略，達成「便捷生</w:t>
      </w:r>
      <w:r w:rsidRPr="00C77E77">
        <w:rPr>
          <w:rFonts w:ascii="Times New Roman" w:eastAsia="標楷體" w:hAnsi="Times New Roman" w:cs="Times New Roman"/>
          <w:sz w:val="28"/>
          <w:szCs w:val="28"/>
        </w:rPr>
        <w:lastRenderedPageBreak/>
        <w:t>活」、「數位經濟」及「透明治理」三大目標以及「打造領先全球的數位政府」之願景。</w:t>
      </w:r>
      <w:r w:rsidRPr="00C77E77">
        <w:rPr>
          <w:rStyle w:val="a9"/>
          <w:rFonts w:ascii="Times New Roman" w:eastAsia="標楷體" w:hAnsi="Times New Roman" w:cs="Times New Roman"/>
          <w:sz w:val="28"/>
          <w:szCs w:val="28"/>
        </w:rPr>
        <w:footnoteReference w:id="41"/>
      </w:r>
      <w:r w:rsidRPr="00C77E77">
        <w:rPr>
          <w:rFonts w:ascii="Times New Roman" w:eastAsia="標楷體" w:hAnsi="Times New Roman" w:cs="Times New Roman"/>
          <w:sz w:val="28"/>
          <w:szCs w:val="28"/>
        </w:rPr>
        <w:t xml:space="preserve"> </w:t>
      </w:r>
    </w:p>
    <w:p w:rsidR="00FA44BA" w:rsidRPr="00C77E77" w:rsidRDefault="00C068B4" w:rsidP="00C068B4">
      <w:pPr>
        <w:spacing w:line="500" w:lineRule="exact"/>
        <w:ind w:firstLineChars="202" w:firstLine="566"/>
        <w:jc w:val="both"/>
        <w:rPr>
          <w:rFonts w:ascii="Times New Roman" w:hAnsi="Times New Roman" w:cs="Times New Roman"/>
          <w:noProof/>
        </w:rPr>
      </w:pPr>
      <w:r w:rsidRPr="00C77E77">
        <w:rPr>
          <w:rFonts w:ascii="Times New Roman" w:eastAsia="標楷體" w:hAnsi="Times New Roman" w:cs="Times New Roman"/>
          <w:sz w:val="28"/>
          <w:szCs w:val="28"/>
        </w:rPr>
        <w:t>美國布朗大學、聯合國以及日本早稻田大學皆有針對各國政府的電子化政務推動狀況調查評比，</w:t>
      </w:r>
      <w:r w:rsidRPr="00C77E77">
        <w:rPr>
          <w:rStyle w:val="a9"/>
          <w:rFonts w:ascii="Times New Roman" w:eastAsia="標楷體" w:hAnsi="Times New Roman" w:cs="Times New Roman"/>
          <w:sz w:val="28"/>
          <w:szCs w:val="28"/>
        </w:rPr>
        <w:footnoteReference w:id="42"/>
      </w:r>
      <w:r w:rsidRPr="00C77E77">
        <w:rPr>
          <w:rFonts w:ascii="Times New Roman" w:eastAsia="標楷體" w:hAnsi="Times New Roman" w:cs="Times New Roman"/>
          <w:sz w:val="28"/>
          <w:szCs w:val="28"/>
        </w:rPr>
        <w:t>但美國布朗大學能取得的資料僅更新至</w:t>
      </w:r>
      <w:r w:rsidRPr="00C77E77">
        <w:rPr>
          <w:rFonts w:ascii="Times New Roman" w:eastAsia="標楷體" w:hAnsi="Times New Roman" w:cs="Times New Roman"/>
          <w:sz w:val="28"/>
          <w:szCs w:val="28"/>
        </w:rPr>
        <w:t>2008</w:t>
      </w:r>
      <w:r w:rsidRPr="00C77E77">
        <w:rPr>
          <w:rFonts w:ascii="Times New Roman" w:eastAsia="標楷體" w:hAnsi="Times New Roman" w:cs="Times New Roman"/>
          <w:sz w:val="28"/>
          <w:szCs w:val="28"/>
        </w:rPr>
        <w:t>年，而我國因不屬於聯合國會員，也不列入聯合國的評比資料，因此，本研究將以日本早稻田大學之研究評比，進一步分析我國發展優劣。</w:t>
      </w:r>
    </w:p>
    <w:p w:rsidR="00FA44BA" w:rsidRPr="00C77E77" w:rsidRDefault="00FA44BA" w:rsidP="00FA44BA">
      <w:pPr>
        <w:jc w:val="center"/>
        <w:rPr>
          <w:rFonts w:ascii="Times New Roman" w:eastAsia="標楷體" w:hAnsi="Times New Roman" w:cs="Times New Roman"/>
          <w:sz w:val="28"/>
          <w:szCs w:val="28"/>
        </w:rPr>
      </w:pPr>
      <w:r w:rsidRPr="00C77E77">
        <w:rPr>
          <w:rFonts w:ascii="Times New Roman" w:hAnsi="Times New Roman" w:cs="Times New Roman"/>
          <w:noProof/>
        </w:rPr>
        <w:drawing>
          <wp:inline distT="0" distB="0" distL="0" distR="0" wp14:anchorId="4E058906" wp14:editId="45669760">
            <wp:extent cx="5171846" cy="3184926"/>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79961" cy="3189924"/>
                    </a:xfrm>
                    <a:prstGeom prst="rect">
                      <a:avLst/>
                    </a:prstGeom>
                  </pic:spPr>
                </pic:pic>
              </a:graphicData>
            </a:graphic>
          </wp:inline>
        </w:drawing>
      </w:r>
    </w:p>
    <w:p w:rsidR="00BC5143" w:rsidRPr="00C77E77" w:rsidRDefault="00FA44BA" w:rsidP="00BC5143">
      <w:pPr>
        <w:pStyle w:val="af7"/>
      </w:pPr>
      <w:r w:rsidRPr="00C77E77">
        <w:t xml:space="preserve">　</w:t>
      </w:r>
      <w:bookmarkStart w:id="79" w:name="_Toc470676634"/>
      <w:r w:rsidR="00BC5143" w:rsidRPr="00C77E77">
        <w:t>圖</w:t>
      </w:r>
      <w:r w:rsidR="00BC5143" w:rsidRPr="00C77E77">
        <w:t xml:space="preserve">3-1-2 </w:t>
      </w:r>
      <w:r w:rsidR="00BC5143" w:rsidRPr="00C77E77">
        <w:t>電子化政府計畫簡表</w:t>
      </w:r>
      <w:bookmarkEnd w:id="79"/>
    </w:p>
    <w:p w:rsidR="00FA44BA" w:rsidRPr="00C77E77" w:rsidRDefault="00FA44BA" w:rsidP="00FA44BA">
      <w:pPr>
        <w:ind w:left="1700" w:hangingChars="607" w:hanging="1700"/>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資料來源：國家發展委員會，〈電子化政府計畫〉，</w:t>
      </w:r>
      <w:hyperlink r:id="rId29" w:history="1">
        <w:r w:rsidRPr="00C77E77">
          <w:rPr>
            <w:rStyle w:val="aa"/>
            <w:rFonts w:ascii="Times New Roman" w:eastAsia="標楷體" w:hAnsi="Times New Roman" w:cs="Times New Roman"/>
            <w:sz w:val="28"/>
            <w:szCs w:val="28"/>
            <w:u w:val="none"/>
          </w:rPr>
          <w:t>http://www.ndc.gov.tw/Content_List.aspx?n=E0C48B7F39ACB61F</w:t>
        </w:r>
      </w:hyperlink>
      <w:r w:rsidRPr="00C77E77">
        <w:rPr>
          <w:rFonts w:ascii="Times New Roman" w:eastAsia="標楷體" w:hAnsi="Times New Roman" w:cs="Times New Roman"/>
          <w:sz w:val="28"/>
          <w:szCs w:val="28"/>
        </w:rPr>
        <w:t xml:space="preserve"> </w:t>
      </w:r>
    </w:p>
    <w:p w:rsidR="000B4A76" w:rsidRPr="00C77E77" w:rsidRDefault="000B4A76">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FA44BA" w:rsidRPr="00C77E77" w:rsidRDefault="00FA44BA" w:rsidP="00FA44BA">
      <w:pPr>
        <w:ind w:left="1" w:firstLineChars="202" w:firstLine="566"/>
        <w:jc w:val="both"/>
        <w:rPr>
          <w:rFonts w:ascii="Times New Roman" w:eastAsia="標楷體" w:hAnsi="Times New Roman" w:cs="Times New Roman"/>
          <w:sz w:val="28"/>
          <w:szCs w:val="28"/>
        </w:rPr>
      </w:pPr>
    </w:p>
    <w:p w:rsidR="00FA44BA" w:rsidRPr="00C77E77" w:rsidRDefault="00FA44BA" w:rsidP="00FA44BA">
      <w:pPr>
        <w:pStyle w:val="af9"/>
      </w:pPr>
      <w:bookmarkStart w:id="80" w:name="_Toc470676590"/>
      <w:r w:rsidRPr="00C77E77">
        <w:t>表</w:t>
      </w:r>
      <w:r w:rsidRPr="00C77E77">
        <w:t>3-1-1 2016</w:t>
      </w:r>
      <w:r w:rsidRPr="00C77E77">
        <w:t>年早稻田大學世界電子化政府進度排名</w:t>
      </w:r>
      <w:bookmarkEnd w:id="80"/>
    </w:p>
    <w:tbl>
      <w:tblPr>
        <w:tblW w:w="8354" w:type="dxa"/>
        <w:jc w:val="center"/>
        <w:tblCellMar>
          <w:left w:w="28" w:type="dxa"/>
          <w:right w:w="28" w:type="dxa"/>
        </w:tblCellMar>
        <w:tblLook w:val="04A0" w:firstRow="1" w:lastRow="0" w:firstColumn="1" w:lastColumn="0" w:noHBand="0" w:noVBand="1"/>
      </w:tblPr>
      <w:tblGrid>
        <w:gridCol w:w="1670"/>
        <w:gridCol w:w="1671"/>
        <w:gridCol w:w="1671"/>
        <w:gridCol w:w="1671"/>
        <w:gridCol w:w="1671"/>
      </w:tblGrid>
      <w:tr w:rsidR="00FA44BA" w:rsidRPr="00C77E77" w:rsidTr="00C068B4">
        <w:trPr>
          <w:trHeight w:val="283"/>
          <w:jc w:val="center"/>
        </w:trPr>
        <w:tc>
          <w:tcPr>
            <w:tcW w:w="1670"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C068B4" w:rsidRPr="00C77E77" w:rsidRDefault="00FA44BA" w:rsidP="00C068B4">
            <w:pPr>
              <w:widowControl/>
              <w:jc w:val="center"/>
              <w:rPr>
                <w:rFonts w:ascii="Times New Roman" w:eastAsia="標楷體" w:hAnsi="Times New Roman" w:cs="Times New Roman"/>
                <w:b/>
                <w:bCs/>
                <w:color w:val="000000"/>
                <w:kern w:val="0"/>
                <w:sz w:val="26"/>
                <w:szCs w:val="26"/>
              </w:rPr>
            </w:pPr>
            <w:r w:rsidRPr="00C77E77">
              <w:rPr>
                <w:rFonts w:ascii="Times New Roman" w:eastAsia="標楷體" w:hAnsi="Times New Roman" w:cs="Times New Roman"/>
                <w:b/>
                <w:bCs/>
                <w:color w:val="000000"/>
                <w:kern w:val="0"/>
                <w:sz w:val="26"/>
                <w:szCs w:val="26"/>
              </w:rPr>
              <w:t>名次</w:t>
            </w:r>
          </w:p>
        </w:tc>
        <w:tc>
          <w:tcPr>
            <w:tcW w:w="1671" w:type="dxa"/>
            <w:tcBorders>
              <w:top w:val="single" w:sz="8" w:space="0" w:color="auto"/>
              <w:left w:val="nil"/>
              <w:bottom w:val="single" w:sz="8" w:space="0" w:color="auto"/>
              <w:right w:val="single" w:sz="8" w:space="0" w:color="auto"/>
            </w:tcBorders>
            <w:shd w:val="clear" w:color="000000" w:fill="D9D9D9"/>
            <w:vAlign w:val="center"/>
            <w:hideMark/>
          </w:tcPr>
          <w:p w:rsidR="00FA44BA" w:rsidRPr="00C77E77" w:rsidRDefault="00FA44BA" w:rsidP="00BD586F">
            <w:pPr>
              <w:widowControl/>
              <w:jc w:val="center"/>
              <w:rPr>
                <w:rFonts w:ascii="Times New Roman" w:eastAsia="標楷體" w:hAnsi="Times New Roman" w:cs="Times New Roman"/>
                <w:b/>
                <w:bCs/>
                <w:color w:val="000000"/>
                <w:kern w:val="0"/>
                <w:sz w:val="26"/>
                <w:szCs w:val="26"/>
              </w:rPr>
            </w:pPr>
            <w:r w:rsidRPr="00C77E77">
              <w:rPr>
                <w:rFonts w:ascii="Times New Roman" w:eastAsia="標楷體" w:hAnsi="Times New Roman" w:cs="Times New Roman"/>
                <w:b/>
                <w:bCs/>
                <w:color w:val="000000"/>
                <w:kern w:val="0"/>
                <w:sz w:val="26"/>
                <w:szCs w:val="26"/>
              </w:rPr>
              <w:t>國家</w:t>
            </w:r>
          </w:p>
        </w:tc>
        <w:tc>
          <w:tcPr>
            <w:tcW w:w="1671" w:type="dxa"/>
            <w:tcBorders>
              <w:top w:val="single" w:sz="8" w:space="0" w:color="auto"/>
              <w:left w:val="nil"/>
              <w:bottom w:val="single" w:sz="8" w:space="0" w:color="auto"/>
              <w:right w:val="single" w:sz="8" w:space="0" w:color="auto"/>
            </w:tcBorders>
            <w:shd w:val="clear" w:color="000000" w:fill="D9D9D9"/>
            <w:vAlign w:val="center"/>
            <w:hideMark/>
          </w:tcPr>
          <w:p w:rsidR="00FA44BA" w:rsidRPr="00C77E77" w:rsidRDefault="00FA44BA" w:rsidP="00BD586F">
            <w:pPr>
              <w:widowControl/>
              <w:jc w:val="center"/>
              <w:rPr>
                <w:rFonts w:ascii="Times New Roman" w:eastAsia="標楷體" w:hAnsi="Times New Roman" w:cs="Times New Roman"/>
                <w:b/>
                <w:bCs/>
                <w:color w:val="000000"/>
                <w:kern w:val="0"/>
                <w:sz w:val="26"/>
                <w:szCs w:val="26"/>
              </w:rPr>
            </w:pPr>
            <w:r w:rsidRPr="00C77E77">
              <w:rPr>
                <w:rFonts w:ascii="Times New Roman" w:eastAsia="標楷體" w:hAnsi="Times New Roman" w:cs="Times New Roman"/>
                <w:b/>
                <w:bCs/>
                <w:color w:val="000000"/>
                <w:kern w:val="0"/>
                <w:sz w:val="26"/>
                <w:szCs w:val="26"/>
              </w:rPr>
              <w:t>評分</w:t>
            </w:r>
          </w:p>
        </w:tc>
        <w:tc>
          <w:tcPr>
            <w:tcW w:w="1671" w:type="dxa"/>
            <w:tcBorders>
              <w:top w:val="single" w:sz="8" w:space="0" w:color="auto"/>
              <w:left w:val="nil"/>
              <w:bottom w:val="single" w:sz="8" w:space="0" w:color="auto"/>
              <w:right w:val="single" w:sz="8" w:space="0" w:color="auto"/>
            </w:tcBorders>
            <w:shd w:val="clear" w:color="000000" w:fill="D9D9D9"/>
            <w:vAlign w:val="center"/>
            <w:hideMark/>
          </w:tcPr>
          <w:p w:rsidR="00FA44BA" w:rsidRPr="00C77E77" w:rsidRDefault="00FA44BA" w:rsidP="00BD586F">
            <w:pPr>
              <w:widowControl/>
              <w:jc w:val="center"/>
              <w:rPr>
                <w:rFonts w:ascii="Times New Roman" w:eastAsia="標楷體" w:hAnsi="Times New Roman" w:cs="Times New Roman"/>
                <w:b/>
                <w:bCs/>
                <w:color w:val="000000"/>
                <w:kern w:val="0"/>
                <w:sz w:val="26"/>
                <w:szCs w:val="26"/>
              </w:rPr>
            </w:pPr>
            <w:r w:rsidRPr="00C77E77">
              <w:rPr>
                <w:rFonts w:ascii="Times New Roman" w:eastAsia="標楷體" w:hAnsi="Times New Roman" w:cs="Times New Roman"/>
                <w:b/>
                <w:bCs/>
                <w:color w:val="000000"/>
                <w:kern w:val="0"/>
                <w:sz w:val="26"/>
                <w:szCs w:val="26"/>
              </w:rPr>
              <w:t>名次變化</w:t>
            </w:r>
          </w:p>
        </w:tc>
        <w:tc>
          <w:tcPr>
            <w:tcW w:w="1671" w:type="dxa"/>
            <w:tcBorders>
              <w:top w:val="single" w:sz="8" w:space="0" w:color="auto"/>
              <w:left w:val="nil"/>
              <w:bottom w:val="single" w:sz="8" w:space="0" w:color="auto"/>
              <w:right w:val="single" w:sz="8" w:space="0" w:color="auto"/>
            </w:tcBorders>
            <w:shd w:val="clear" w:color="000000" w:fill="D9D9D9"/>
            <w:vAlign w:val="center"/>
            <w:hideMark/>
          </w:tcPr>
          <w:p w:rsidR="00FA44BA" w:rsidRPr="00C77E77" w:rsidRDefault="00FA44BA" w:rsidP="00BD586F">
            <w:pPr>
              <w:widowControl/>
              <w:jc w:val="center"/>
              <w:rPr>
                <w:rFonts w:ascii="Times New Roman" w:eastAsia="標楷體" w:hAnsi="Times New Roman" w:cs="Times New Roman"/>
                <w:b/>
                <w:bCs/>
                <w:color w:val="000000"/>
                <w:kern w:val="0"/>
                <w:sz w:val="26"/>
                <w:szCs w:val="26"/>
              </w:rPr>
            </w:pPr>
            <w:r w:rsidRPr="00C77E77">
              <w:rPr>
                <w:rFonts w:ascii="Times New Roman" w:eastAsia="標楷體" w:hAnsi="Times New Roman" w:cs="Times New Roman"/>
                <w:b/>
                <w:bCs/>
                <w:color w:val="000000"/>
                <w:kern w:val="0"/>
                <w:sz w:val="26"/>
                <w:szCs w:val="26"/>
              </w:rPr>
              <w:t>前年名次</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1</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新加坡</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91.0</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持平</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1</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2</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美國</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90.2</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持平</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2</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3</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丹麥</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88.8</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持平</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3</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4</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韓國</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85.7</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上升</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5</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5</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日本</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83.2</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上升</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6</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6</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愛沙尼亞</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81.8</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上升</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8</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7</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加拿大</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79.9</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上升</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9</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8</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澳洲</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76.4</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上升</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7</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9</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紐西蘭</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74.1</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上升</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13</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10</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英國</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72.7</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color w:val="000000"/>
                <w:kern w:val="0"/>
                <w:sz w:val="26"/>
                <w:szCs w:val="26"/>
              </w:rPr>
            </w:pPr>
            <w:r w:rsidRPr="00C77E77">
              <w:rPr>
                <w:rFonts w:ascii="Times New Roman" w:eastAsia="標楷體" w:hAnsi="Times New Roman" w:cs="Times New Roman"/>
                <w:color w:val="000000"/>
                <w:kern w:val="0"/>
                <w:sz w:val="26"/>
                <w:szCs w:val="26"/>
              </w:rPr>
              <w:t>下降</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color w:val="000000"/>
                <w:kern w:val="0"/>
                <w:sz w:val="26"/>
                <w:szCs w:val="26"/>
              </w:rPr>
            </w:pPr>
            <w:r w:rsidRPr="00C77E77">
              <w:rPr>
                <w:rFonts w:ascii="Times New Roman" w:eastAsia="新細明體" w:hAnsi="Times New Roman" w:cs="Times New Roman"/>
                <w:color w:val="000000"/>
                <w:kern w:val="0"/>
                <w:sz w:val="26"/>
                <w:szCs w:val="26"/>
              </w:rPr>
              <w:t>4</w:t>
            </w:r>
          </w:p>
        </w:tc>
      </w:tr>
      <w:tr w:rsidR="00FA44BA" w:rsidRPr="00C77E77" w:rsidTr="00C068B4">
        <w:trPr>
          <w:trHeight w:val="283"/>
          <w:jc w:val="center"/>
        </w:trPr>
        <w:tc>
          <w:tcPr>
            <w:tcW w:w="1670" w:type="dxa"/>
            <w:tcBorders>
              <w:top w:val="nil"/>
              <w:left w:val="single" w:sz="8" w:space="0" w:color="auto"/>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b/>
                <w:color w:val="000000"/>
                <w:kern w:val="0"/>
                <w:sz w:val="26"/>
                <w:szCs w:val="26"/>
              </w:rPr>
            </w:pPr>
            <w:r w:rsidRPr="00C77E77">
              <w:rPr>
                <w:rFonts w:ascii="Times New Roman" w:eastAsia="新細明體" w:hAnsi="Times New Roman" w:cs="Times New Roman"/>
                <w:b/>
                <w:color w:val="000000"/>
                <w:kern w:val="0"/>
                <w:sz w:val="26"/>
                <w:szCs w:val="26"/>
              </w:rPr>
              <w:t>10</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b/>
                <w:color w:val="000000"/>
                <w:kern w:val="0"/>
                <w:sz w:val="26"/>
                <w:szCs w:val="26"/>
              </w:rPr>
            </w:pPr>
            <w:r w:rsidRPr="00C77E77">
              <w:rPr>
                <w:rFonts w:ascii="Times New Roman" w:eastAsia="標楷體" w:hAnsi="Times New Roman" w:cs="Times New Roman"/>
                <w:b/>
                <w:color w:val="000000"/>
                <w:kern w:val="0"/>
                <w:sz w:val="26"/>
                <w:szCs w:val="26"/>
              </w:rPr>
              <w:t>臺灣</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b/>
                <w:color w:val="000000"/>
                <w:kern w:val="0"/>
                <w:sz w:val="26"/>
                <w:szCs w:val="26"/>
              </w:rPr>
            </w:pPr>
            <w:r w:rsidRPr="00C77E77">
              <w:rPr>
                <w:rFonts w:ascii="Times New Roman" w:eastAsia="新細明體" w:hAnsi="Times New Roman" w:cs="Times New Roman"/>
                <w:b/>
                <w:color w:val="000000"/>
                <w:kern w:val="0"/>
                <w:sz w:val="26"/>
                <w:szCs w:val="26"/>
              </w:rPr>
              <w:t>72.7</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標楷體" w:hAnsi="Times New Roman" w:cs="Times New Roman"/>
                <w:b/>
                <w:color w:val="000000"/>
                <w:kern w:val="0"/>
                <w:sz w:val="26"/>
                <w:szCs w:val="26"/>
              </w:rPr>
            </w:pPr>
            <w:r w:rsidRPr="00C77E77">
              <w:rPr>
                <w:rFonts w:ascii="Times New Roman" w:eastAsia="標楷體" w:hAnsi="Times New Roman" w:cs="Times New Roman"/>
                <w:b/>
                <w:color w:val="000000"/>
                <w:kern w:val="0"/>
                <w:sz w:val="26"/>
                <w:szCs w:val="26"/>
              </w:rPr>
              <w:t>上升</w:t>
            </w:r>
          </w:p>
        </w:tc>
        <w:tc>
          <w:tcPr>
            <w:tcW w:w="1671" w:type="dxa"/>
            <w:tcBorders>
              <w:top w:val="nil"/>
              <w:left w:val="nil"/>
              <w:bottom w:val="single" w:sz="8" w:space="0" w:color="auto"/>
              <w:right w:val="single" w:sz="8" w:space="0" w:color="auto"/>
            </w:tcBorders>
            <w:shd w:val="clear" w:color="auto" w:fill="auto"/>
            <w:vAlign w:val="center"/>
            <w:hideMark/>
          </w:tcPr>
          <w:p w:rsidR="00FA44BA" w:rsidRPr="00C77E77" w:rsidRDefault="00FA44BA" w:rsidP="00BD586F">
            <w:pPr>
              <w:widowControl/>
              <w:jc w:val="center"/>
              <w:rPr>
                <w:rFonts w:ascii="Times New Roman" w:eastAsia="新細明體" w:hAnsi="Times New Roman" w:cs="Times New Roman"/>
                <w:b/>
                <w:color w:val="000000"/>
                <w:kern w:val="0"/>
                <w:sz w:val="26"/>
                <w:szCs w:val="26"/>
              </w:rPr>
            </w:pPr>
            <w:r w:rsidRPr="00C77E77">
              <w:rPr>
                <w:rFonts w:ascii="Times New Roman" w:eastAsia="新細明體" w:hAnsi="Times New Roman" w:cs="Times New Roman"/>
                <w:b/>
                <w:color w:val="000000"/>
                <w:kern w:val="0"/>
                <w:sz w:val="26"/>
                <w:szCs w:val="26"/>
              </w:rPr>
              <w:t>17</w:t>
            </w:r>
          </w:p>
        </w:tc>
      </w:tr>
    </w:tbl>
    <w:p w:rsidR="00C068B4" w:rsidRPr="00C77E77" w:rsidRDefault="00FA44BA" w:rsidP="00FA44BA">
      <w:pPr>
        <w:ind w:left="1418" w:hanging="1418"/>
        <w:rPr>
          <w:rFonts w:ascii="Times New Roman" w:eastAsia="標楷體" w:hAnsi="Times New Roman" w:cs="Times New Roman"/>
          <w:sz w:val="28"/>
          <w:szCs w:val="28"/>
          <w:lang w:eastAsia="ja-JP"/>
        </w:rPr>
        <w:sectPr w:rsidR="00C068B4" w:rsidRPr="00C77E77" w:rsidSect="004042EC">
          <w:footerReference w:type="default" r:id="rId30"/>
          <w:pgSz w:w="11906" w:h="16838"/>
          <w:pgMar w:top="1440" w:right="1276" w:bottom="1440" w:left="1418" w:header="851" w:footer="992" w:gutter="0"/>
          <w:cols w:space="425"/>
          <w:docGrid w:type="lines" w:linePitch="360"/>
        </w:sectPr>
      </w:pPr>
      <w:r w:rsidRPr="00C77E77">
        <w:rPr>
          <w:rFonts w:ascii="Times New Roman" w:eastAsia="標楷體" w:hAnsi="Times New Roman" w:cs="Times New Roman"/>
          <w:sz w:val="28"/>
          <w:szCs w:val="28"/>
          <w:lang w:eastAsia="ja-JP"/>
        </w:rPr>
        <w:t>資料來源：早稲田大学電子政府自治体研究所，〈</w:t>
      </w:r>
      <w:r w:rsidRPr="00C77E77">
        <w:rPr>
          <w:rFonts w:ascii="Times New Roman" w:eastAsia="標楷體" w:hAnsi="Times New Roman" w:cs="Times New Roman"/>
          <w:sz w:val="28"/>
          <w:szCs w:val="28"/>
          <w:lang w:eastAsia="ja-JP"/>
        </w:rPr>
        <w:t>2016</w:t>
      </w:r>
      <w:r w:rsidRPr="00C77E77">
        <w:rPr>
          <w:rFonts w:ascii="Times New Roman" w:eastAsia="標楷體" w:hAnsi="Times New Roman" w:cs="Times New Roman"/>
          <w:sz w:val="28"/>
          <w:szCs w:val="28"/>
          <w:lang w:eastAsia="ja-JP"/>
        </w:rPr>
        <w:t>年度　第</w:t>
      </w:r>
      <w:r w:rsidRPr="00C77E77">
        <w:rPr>
          <w:rFonts w:ascii="Times New Roman" w:eastAsia="標楷體" w:hAnsi="Times New Roman" w:cs="Times New Roman"/>
          <w:sz w:val="28"/>
          <w:szCs w:val="28"/>
          <w:lang w:eastAsia="ja-JP"/>
        </w:rPr>
        <w:t>12</w:t>
      </w:r>
      <w:r w:rsidRPr="00C77E77">
        <w:rPr>
          <w:rFonts w:ascii="Times New Roman" w:eastAsia="標楷體" w:hAnsi="Times New Roman" w:cs="Times New Roman"/>
          <w:sz w:val="28"/>
          <w:szCs w:val="28"/>
          <w:lang w:eastAsia="ja-JP"/>
        </w:rPr>
        <w:t>回　電子政府世界ランキング〉。</w:t>
      </w:r>
      <w:r w:rsidRPr="00C77E77">
        <w:rPr>
          <w:rFonts w:ascii="Times New Roman" w:eastAsia="標楷體" w:hAnsi="Times New Roman" w:cs="Times New Roman"/>
          <w:sz w:val="28"/>
          <w:szCs w:val="28"/>
          <w:lang w:eastAsia="ja-JP"/>
        </w:rPr>
        <w:t xml:space="preserve"> </w:t>
      </w:r>
    </w:p>
    <w:p w:rsidR="00FA44BA" w:rsidRPr="00C77E77" w:rsidRDefault="00FA44BA" w:rsidP="00FA44BA">
      <w:pPr>
        <w:ind w:left="1418" w:hanging="1418"/>
        <w:rPr>
          <w:rFonts w:ascii="Times New Roman" w:eastAsia="標楷體" w:hAnsi="Times New Roman" w:cs="Times New Roman"/>
          <w:sz w:val="28"/>
          <w:szCs w:val="28"/>
          <w:lang w:eastAsia="ja-JP"/>
        </w:rPr>
      </w:pPr>
    </w:p>
    <w:p w:rsidR="00C068B4" w:rsidRPr="00C77E77" w:rsidRDefault="00312031" w:rsidP="00312031">
      <w:pPr>
        <w:pStyle w:val="af9"/>
      </w:pPr>
      <w:bookmarkStart w:id="81" w:name="_Toc470676591"/>
      <w:r w:rsidRPr="00C77E77">
        <w:t>表</w:t>
      </w:r>
      <w:r w:rsidRPr="00C77E77">
        <w:t>3-1-2 2016</w:t>
      </w:r>
      <w:r w:rsidRPr="00C77E77">
        <w:t>年早稻田大學世界</w:t>
      </w:r>
      <w:r w:rsidRPr="00C77E77">
        <w:t>top 10</w:t>
      </w:r>
      <w:r w:rsidRPr="00C77E77">
        <w:t>電子化政府指標排名</w:t>
      </w:r>
      <w:bookmarkEnd w:id="81"/>
    </w:p>
    <w:tbl>
      <w:tblPr>
        <w:tblW w:w="15160" w:type="dxa"/>
        <w:tblInd w:w="-612" w:type="dxa"/>
        <w:tblCellMar>
          <w:left w:w="28" w:type="dxa"/>
          <w:right w:w="28" w:type="dxa"/>
        </w:tblCellMar>
        <w:tblLook w:val="04A0" w:firstRow="1" w:lastRow="0" w:firstColumn="1" w:lastColumn="0" w:noHBand="0" w:noVBand="1"/>
      </w:tblPr>
      <w:tblGrid>
        <w:gridCol w:w="3280"/>
        <w:gridCol w:w="1080"/>
        <w:gridCol w:w="1080"/>
        <w:gridCol w:w="1080"/>
        <w:gridCol w:w="1080"/>
        <w:gridCol w:w="1080"/>
        <w:gridCol w:w="1080"/>
        <w:gridCol w:w="1080"/>
        <w:gridCol w:w="1080"/>
        <w:gridCol w:w="1080"/>
        <w:gridCol w:w="1080"/>
        <w:gridCol w:w="1080"/>
      </w:tblGrid>
      <w:tr w:rsidR="00312031" w:rsidRPr="00C77E77" w:rsidTr="00312031">
        <w:trPr>
          <w:trHeight w:val="405"/>
        </w:trPr>
        <w:tc>
          <w:tcPr>
            <w:tcW w:w="328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新加坡</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美國</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丹麥</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韓國</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日本</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愛沙尼亞</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加拿大</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澳洲</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紐西蘭</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英國</w:t>
            </w:r>
          </w:p>
        </w:tc>
        <w:tc>
          <w:tcPr>
            <w:tcW w:w="1080" w:type="dxa"/>
            <w:tcBorders>
              <w:top w:val="single" w:sz="8" w:space="0" w:color="auto"/>
              <w:left w:val="nil"/>
              <w:bottom w:val="single" w:sz="8" w:space="0" w:color="auto"/>
              <w:right w:val="single" w:sz="8" w:space="0" w:color="auto"/>
            </w:tcBorders>
            <w:shd w:val="clear" w:color="000000" w:fill="BFBFBF"/>
            <w:vAlign w:val="center"/>
            <w:hideMark/>
          </w:tcPr>
          <w:p w:rsidR="00312031" w:rsidRPr="00C77E77" w:rsidRDefault="00312031" w:rsidP="00312031">
            <w:pPr>
              <w:widowControl/>
              <w:jc w:val="center"/>
              <w:rPr>
                <w:rFonts w:ascii="Times New Roman" w:eastAsia="標楷體" w:hAnsi="Times New Roman" w:cs="Times New Roman"/>
                <w:b/>
                <w:bCs/>
                <w:color w:val="000000"/>
                <w:kern w:val="0"/>
                <w:sz w:val="28"/>
                <w:szCs w:val="28"/>
              </w:rPr>
            </w:pPr>
            <w:r w:rsidRPr="00C77E77">
              <w:rPr>
                <w:rFonts w:ascii="Times New Roman" w:eastAsia="標楷體" w:hAnsi="Times New Roman" w:cs="Times New Roman"/>
                <w:b/>
                <w:bCs/>
                <w:color w:val="000000"/>
                <w:kern w:val="0"/>
                <w:sz w:val="28"/>
                <w:szCs w:val="28"/>
              </w:rPr>
              <w:t>臺灣</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網路基礎設施普及程度</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5.3</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線上申請服務</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10.9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10.8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8.8</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開放政府</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9</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網路安全</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7.6</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行政管理優化</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8.8</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政府和公民參與電子化程度</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7.5</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政府</w:t>
            </w:r>
            <w:r w:rsidRPr="00C77E77">
              <w:rPr>
                <w:rFonts w:ascii="Times New Roman" w:eastAsia="標楷體" w:hAnsi="Times New Roman" w:cs="Times New Roman"/>
                <w:color w:val="000000"/>
                <w:kern w:val="0"/>
                <w:szCs w:val="24"/>
              </w:rPr>
              <w:t>CIO</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7.7</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電子政府政策執行程度</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4.5</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7.4</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先端技術</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5.6</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5</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入口網路</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7.3</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5.4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4.7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5.6</w:t>
            </w:r>
          </w:p>
        </w:tc>
      </w:tr>
      <w:tr w:rsidR="00312031" w:rsidRPr="00C77E77" w:rsidTr="00312031">
        <w:trPr>
          <w:trHeight w:val="375"/>
        </w:trPr>
        <w:tc>
          <w:tcPr>
            <w:tcW w:w="3280" w:type="dxa"/>
            <w:tcBorders>
              <w:top w:val="nil"/>
              <w:left w:val="single" w:sz="8" w:space="0" w:color="auto"/>
              <w:bottom w:val="single" w:sz="8" w:space="0" w:color="auto"/>
              <w:right w:val="single" w:sz="8" w:space="0" w:color="auto"/>
            </w:tcBorders>
            <w:shd w:val="clear" w:color="auto" w:fill="auto"/>
            <w:noWrap/>
            <w:vAlign w:val="center"/>
            <w:hideMark/>
          </w:tcPr>
          <w:p w:rsidR="00312031" w:rsidRPr="00C77E77" w:rsidRDefault="00312031" w:rsidP="00312031">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合計</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90.2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88.8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85.7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83.2</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81.8</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79.9</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76.4</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74.1</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72.7</w:t>
            </w:r>
          </w:p>
        </w:tc>
        <w:tc>
          <w:tcPr>
            <w:tcW w:w="1080" w:type="dxa"/>
            <w:tcBorders>
              <w:top w:val="nil"/>
              <w:left w:val="nil"/>
              <w:bottom w:val="single" w:sz="8" w:space="0" w:color="auto"/>
              <w:right w:val="single" w:sz="8" w:space="0" w:color="auto"/>
            </w:tcBorders>
            <w:shd w:val="clear" w:color="auto" w:fill="auto"/>
            <w:noWrap/>
            <w:vAlign w:val="center"/>
            <w:hideMark/>
          </w:tcPr>
          <w:p w:rsidR="00312031" w:rsidRPr="00C77E77" w:rsidRDefault="00312031" w:rsidP="00312031">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72.7</w:t>
            </w:r>
          </w:p>
        </w:tc>
      </w:tr>
    </w:tbl>
    <w:p w:rsidR="00312031" w:rsidRPr="00C77E77" w:rsidRDefault="00312031" w:rsidP="00312031">
      <w:pPr>
        <w:widowControl/>
        <w:jc w:val="center"/>
        <w:rPr>
          <w:rFonts w:ascii="Times New Roman" w:eastAsia="標楷體" w:hAnsi="Times New Roman" w:cs="Times New Roman"/>
          <w:sz w:val="28"/>
          <w:szCs w:val="28"/>
          <w:lang w:eastAsia="ja-JP"/>
        </w:rPr>
        <w:sectPr w:rsidR="00312031" w:rsidRPr="00C77E77" w:rsidSect="00C068B4">
          <w:pgSz w:w="16838" w:h="11906" w:orient="landscape"/>
          <w:pgMar w:top="1418" w:right="1440" w:bottom="1276" w:left="1440" w:header="851" w:footer="992" w:gutter="0"/>
          <w:cols w:space="425"/>
          <w:docGrid w:type="lines" w:linePitch="360"/>
        </w:sectPr>
      </w:pPr>
      <w:r w:rsidRPr="00C77E77">
        <w:rPr>
          <w:rFonts w:ascii="Times New Roman" w:eastAsia="標楷體" w:hAnsi="Times New Roman" w:cs="Times New Roman"/>
          <w:sz w:val="28"/>
          <w:szCs w:val="28"/>
          <w:lang w:eastAsia="ja-JP"/>
        </w:rPr>
        <w:t>資料來源：早稲田大学電子政府自治体研究所，〈</w:t>
      </w:r>
      <w:r w:rsidRPr="00C77E77">
        <w:rPr>
          <w:rFonts w:ascii="Times New Roman" w:eastAsia="標楷體" w:hAnsi="Times New Roman" w:cs="Times New Roman"/>
          <w:sz w:val="28"/>
          <w:szCs w:val="28"/>
          <w:lang w:eastAsia="ja-JP"/>
        </w:rPr>
        <w:t>2016</w:t>
      </w:r>
      <w:r w:rsidRPr="00C77E77">
        <w:rPr>
          <w:rFonts w:ascii="Times New Roman" w:eastAsia="標楷體" w:hAnsi="Times New Roman" w:cs="Times New Roman"/>
          <w:sz w:val="28"/>
          <w:szCs w:val="28"/>
          <w:lang w:eastAsia="ja-JP"/>
        </w:rPr>
        <w:t>年度　第</w:t>
      </w:r>
      <w:r w:rsidRPr="00C77E77">
        <w:rPr>
          <w:rFonts w:ascii="Times New Roman" w:eastAsia="標楷體" w:hAnsi="Times New Roman" w:cs="Times New Roman"/>
          <w:sz w:val="28"/>
          <w:szCs w:val="28"/>
          <w:lang w:eastAsia="ja-JP"/>
        </w:rPr>
        <w:t>12</w:t>
      </w:r>
      <w:r w:rsidRPr="00C77E77">
        <w:rPr>
          <w:rFonts w:ascii="Times New Roman" w:eastAsia="標楷體" w:hAnsi="Times New Roman" w:cs="Times New Roman"/>
          <w:sz w:val="28"/>
          <w:szCs w:val="28"/>
          <w:lang w:eastAsia="ja-JP"/>
        </w:rPr>
        <w:t>回　電子政府世界ランキング〉。</w:t>
      </w:r>
    </w:p>
    <w:p w:rsidR="00FA44BA" w:rsidRPr="00C77E77" w:rsidRDefault="00FA44BA" w:rsidP="00705F8A">
      <w:pPr>
        <w:spacing w:line="500" w:lineRule="exact"/>
        <w:ind w:left="1"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我國在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年早稻田大學評比中，獲得第十名的佳績，比起上一年度（</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）上升七個名次。早稻田大學根據世界</w:t>
      </w:r>
      <w:r w:rsidRPr="00C77E77">
        <w:rPr>
          <w:rFonts w:ascii="Times New Roman" w:eastAsia="標楷體" w:hAnsi="Times New Roman" w:cs="Times New Roman"/>
          <w:sz w:val="28"/>
          <w:szCs w:val="28"/>
        </w:rPr>
        <w:t>65</w:t>
      </w:r>
      <w:r w:rsidRPr="00C77E77">
        <w:rPr>
          <w:rFonts w:ascii="Times New Roman" w:eastAsia="標楷體" w:hAnsi="Times New Roman" w:cs="Times New Roman"/>
          <w:sz w:val="28"/>
          <w:szCs w:val="28"/>
        </w:rPr>
        <w:t>個</w:t>
      </w:r>
      <w:r w:rsidRPr="00C77E77">
        <w:rPr>
          <w:rFonts w:ascii="Times New Roman" w:eastAsia="標楷體" w:hAnsi="Times New Roman" w:cs="Times New Roman"/>
          <w:sz w:val="28"/>
          <w:szCs w:val="28"/>
        </w:rPr>
        <w:t>ICT</w:t>
      </w:r>
      <w:r w:rsidRPr="00C77E77">
        <w:rPr>
          <w:rFonts w:ascii="Times New Roman" w:eastAsia="標楷體" w:hAnsi="Times New Roman" w:cs="Times New Roman"/>
          <w:sz w:val="28"/>
          <w:szCs w:val="28"/>
        </w:rPr>
        <w:t>發達國家做評比，評比項目</w:t>
      </w:r>
      <w:r w:rsidR="006B2D1A" w:rsidRPr="00C77E77">
        <w:rPr>
          <w:rFonts w:ascii="Times New Roman" w:eastAsia="標楷體" w:hAnsi="Times New Roman" w:cs="Times New Roman"/>
          <w:sz w:val="28"/>
          <w:szCs w:val="28"/>
        </w:rPr>
        <w:t>著</w:t>
      </w:r>
      <w:r w:rsidRPr="00C77E77">
        <w:rPr>
          <w:rFonts w:ascii="Times New Roman" w:eastAsia="標楷體" w:hAnsi="Times New Roman" w:cs="Times New Roman"/>
          <w:sz w:val="28"/>
          <w:szCs w:val="28"/>
        </w:rPr>
        <w:t>重於管理、促進公民電子化參與，從政府具體的營運基礎，以</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人員及使用者角度評論，共有十個評比面向，由該資料顯示，我國在線上申請服務、開放政府（法律的規範、組織）以及行政管理優化有較佳的表現，但在網路設施普及程度、技術層面以及入口網站的便利性皆有待加強。</w:t>
      </w:r>
    </w:p>
    <w:p w:rsidR="000F07AB" w:rsidRPr="00C77E77" w:rsidRDefault="000F07AB" w:rsidP="00705F8A">
      <w:pPr>
        <w:spacing w:line="500" w:lineRule="exact"/>
        <w:ind w:left="1"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我國電子化政府輸出方案在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年分別對汶萊、中國大陸進行拓銷，</w:t>
      </w:r>
      <w:r w:rsidR="006278F2" w:rsidRPr="00C77E77">
        <w:rPr>
          <w:rFonts w:ascii="Times New Roman" w:eastAsia="標楷體" w:hAnsi="Times New Roman" w:cs="Times New Roman"/>
          <w:sz w:val="28"/>
          <w:szCs w:val="28"/>
        </w:rPr>
        <w:t>對汶萊政府輸出安防監控系統，總出口值達</w:t>
      </w:r>
      <w:r w:rsidR="006278F2" w:rsidRPr="00C77E77">
        <w:rPr>
          <w:rFonts w:ascii="Times New Roman" w:eastAsia="標楷體" w:hAnsi="Times New Roman" w:cs="Times New Roman"/>
          <w:sz w:val="28"/>
          <w:szCs w:val="28"/>
        </w:rPr>
        <w:t>23</w:t>
      </w:r>
      <w:r w:rsidR="006278F2" w:rsidRPr="00C77E77">
        <w:rPr>
          <w:rFonts w:ascii="Times New Roman" w:eastAsia="標楷體" w:hAnsi="Times New Roman" w:cs="Times New Roman"/>
          <w:sz w:val="28"/>
          <w:szCs w:val="28"/>
        </w:rPr>
        <w:t>萬美元；對中國大陸則是針對無錫、奉化等軟體園區輸出智慧園區管理方案，總金額達人民幣</w:t>
      </w:r>
      <w:r w:rsidR="006278F2" w:rsidRPr="00C77E77">
        <w:rPr>
          <w:rFonts w:ascii="Times New Roman" w:eastAsia="標楷體" w:hAnsi="Times New Roman" w:cs="Times New Roman"/>
          <w:sz w:val="28"/>
          <w:szCs w:val="28"/>
        </w:rPr>
        <w:t>286</w:t>
      </w:r>
      <w:r w:rsidR="006278F2" w:rsidRPr="00C77E77">
        <w:rPr>
          <w:rFonts w:ascii="Times New Roman" w:eastAsia="標楷體" w:hAnsi="Times New Roman" w:cs="Times New Roman"/>
          <w:sz w:val="28"/>
          <w:szCs w:val="28"/>
        </w:rPr>
        <w:t>萬美元，而</w:t>
      </w:r>
      <w:r w:rsidR="006278F2" w:rsidRPr="00C77E77">
        <w:rPr>
          <w:rFonts w:ascii="Times New Roman" w:eastAsia="標楷體" w:hAnsi="Times New Roman" w:cs="Times New Roman"/>
          <w:sz w:val="28"/>
          <w:szCs w:val="28"/>
        </w:rPr>
        <w:t>2016</w:t>
      </w:r>
      <w:r w:rsidR="007E5496" w:rsidRPr="00C77E77">
        <w:rPr>
          <w:rFonts w:ascii="Times New Roman" w:eastAsia="標楷體" w:hAnsi="Times New Roman" w:cs="Times New Roman"/>
          <w:sz w:val="28"/>
          <w:szCs w:val="28"/>
        </w:rPr>
        <w:t>年度</w:t>
      </w:r>
      <w:r w:rsidR="006278F2" w:rsidRPr="00C77E77">
        <w:rPr>
          <w:rFonts w:ascii="Times New Roman" w:eastAsia="標楷體" w:hAnsi="Times New Roman" w:cs="Times New Roman"/>
          <w:sz w:val="28"/>
          <w:szCs w:val="28"/>
        </w:rPr>
        <w:t>我繼續輔導相關業者，包含天才視野（從事網路數位影音應用監控系統研發）、華苓（商務軟體研發廠商，提供企業流程管理為主的應用系統）等業者，持續推動電子化政府輸出海外計畫，預估可創造新</w:t>
      </w:r>
      <w:r w:rsidR="00FD0D5A" w:rsidRPr="00C77E77">
        <w:rPr>
          <w:rFonts w:ascii="Times New Roman" w:eastAsia="標楷體" w:hAnsi="Times New Roman" w:cs="Times New Roman"/>
          <w:sz w:val="28"/>
          <w:szCs w:val="28"/>
        </w:rPr>
        <w:t>臺</w:t>
      </w:r>
      <w:r w:rsidR="006278F2" w:rsidRPr="00C77E77">
        <w:rPr>
          <w:rFonts w:ascii="Times New Roman" w:eastAsia="標楷體" w:hAnsi="Times New Roman" w:cs="Times New Roman"/>
          <w:sz w:val="28"/>
          <w:szCs w:val="28"/>
        </w:rPr>
        <w:t>幣</w:t>
      </w:r>
      <w:r w:rsidR="006278F2" w:rsidRPr="00C77E77">
        <w:rPr>
          <w:rFonts w:ascii="Times New Roman" w:eastAsia="標楷體" w:hAnsi="Times New Roman" w:cs="Times New Roman"/>
          <w:sz w:val="28"/>
          <w:szCs w:val="28"/>
        </w:rPr>
        <w:t>0.97</w:t>
      </w:r>
      <w:r w:rsidR="006278F2" w:rsidRPr="00C77E77">
        <w:rPr>
          <w:rFonts w:ascii="Times New Roman" w:eastAsia="標楷體" w:hAnsi="Times New Roman" w:cs="Times New Roman"/>
          <w:sz w:val="28"/>
          <w:szCs w:val="28"/>
        </w:rPr>
        <w:t>億元之出口值。至</w:t>
      </w:r>
      <w:r w:rsidR="006278F2" w:rsidRPr="00C77E77">
        <w:rPr>
          <w:rFonts w:ascii="Times New Roman" w:eastAsia="標楷體" w:hAnsi="Times New Roman" w:cs="Times New Roman"/>
          <w:sz w:val="28"/>
          <w:szCs w:val="28"/>
        </w:rPr>
        <w:t>2020</w:t>
      </w:r>
      <w:r w:rsidR="006278F2" w:rsidRPr="00C77E77">
        <w:rPr>
          <w:rFonts w:ascii="Times New Roman" w:eastAsia="標楷體" w:hAnsi="Times New Roman" w:cs="Times New Roman"/>
          <w:sz w:val="28"/>
          <w:szCs w:val="28"/>
        </w:rPr>
        <w:t>年，電子化政府相關產業預估出口值將累積達新</w:t>
      </w:r>
      <w:r w:rsidR="00FD0D5A" w:rsidRPr="00C77E77">
        <w:rPr>
          <w:rFonts w:ascii="Times New Roman" w:eastAsia="標楷體" w:hAnsi="Times New Roman" w:cs="Times New Roman"/>
          <w:sz w:val="28"/>
          <w:szCs w:val="28"/>
        </w:rPr>
        <w:t>臺</w:t>
      </w:r>
      <w:r w:rsidR="006278F2" w:rsidRPr="00C77E77">
        <w:rPr>
          <w:rFonts w:ascii="Times New Roman" w:eastAsia="標楷體" w:hAnsi="Times New Roman" w:cs="Times New Roman"/>
          <w:sz w:val="28"/>
          <w:szCs w:val="28"/>
        </w:rPr>
        <w:t>幣</w:t>
      </w:r>
      <w:r w:rsidR="006278F2" w:rsidRPr="00C77E77">
        <w:rPr>
          <w:rFonts w:ascii="Times New Roman" w:eastAsia="標楷體" w:hAnsi="Times New Roman" w:cs="Times New Roman"/>
          <w:sz w:val="28"/>
          <w:szCs w:val="28"/>
        </w:rPr>
        <w:t>4.15</w:t>
      </w:r>
      <w:r w:rsidR="006278F2" w:rsidRPr="00C77E77">
        <w:rPr>
          <w:rFonts w:ascii="Times New Roman" w:eastAsia="標楷體" w:hAnsi="Times New Roman" w:cs="Times New Roman"/>
          <w:sz w:val="28"/>
          <w:szCs w:val="28"/>
        </w:rPr>
        <w:t>億元。</w:t>
      </w:r>
      <w:r w:rsidR="001450E0" w:rsidRPr="00C77E77">
        <w:rPr>
          <w:rStyle w:val="a9"/>
          <w:rFonts w:ascii="Times New Roman" w:eastAsia="標楷體" w:hAnsi="Times New Roman" w:cs="Times New Roman"/>
          <w:sz w:val="28"/>
          <w:szCs w:val="28"/>
        </w:rPr>
        <w:footnoteReference w:id="43"/>
      </w:r>
    </w:p>
    <w:p w:rsidR="00BC5143" w:rsidRPr="00C77E77" w:rsidRDefault="00BC5143" w:rsidP="00F44D01">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三、智慧校園</w:t>
      </w:r>
    </w:p>
    <w:p w:rsidR="00FA44BA" w:rsidRPr="00C77E77" w:rsidRDefault="006B2D1A"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近年來</w:t>
      </w:r>
      <w:r w:rsidR="00FA44BA" w:rsidRPr="00C77E77">
        <w:rPr>
          <w:rFonts w:ascii="Times New Roman" w:eastAsia="標楷體" w:hAnsi="Times New Roman" w:cs="Times New Roman"/>
          <w:sz w:val="28"/>
          <w:szCs w:val="28"/>
        </w:rPr>
        <w:t>智慧校園</w:t>
      </w:r>
      <w:r w:rsidRPr="00C77E77">
        <w:rPr>
          <w:rFonts w:ascii="Times New Roman" w:eastAsia="標楷體" w:hAnsi="Times New Roman" w:cs="Times New Roman"/>
          <w:sz w:val="28"/>
          <w:szCs w:val="28"/>
        </w:rPr>
        <w:t>成為世界</w:t>
      </w:r>
      <w:r w:rsidR="00FA44BA" w:rsidRPr="00C77E77">
        <w:rPr>
          <w:rFonts w:ascii="Times New Roman" w:eastAsia="標楷體" w:hAnsi="Times New Roman" w:cs="Times New Roman"/>
          <w:sz w:val="28"/>
          <w:szCs w:val="28"/>
        </w:rPr>
        <w:t>先進國家教育改革之重點，紛紛</w:t>
      </w:r>
      <w:r w:rsidR="003C76C1" w:rsidRPr="00C77E77">
        <w:rPr>
          <w:rFonts w:ascii="Times New Roman" w:eastAsia="標楷體" w:hAnsi="Times New Roman" w:cs="Times New Roman"/>
          <w:sz w:val="28"/>
          <w:szCs w:val="28"/>
        </w:rPr>
        <w:t>投入龐大預算</w:t>
      </w:r>
      <w:r w:rsidR="00FA44BA" w:rsidRPr="00C77E77">
        <w:rPr>
          <w:rFonts w:ascii="Times New Roman" w:eastAsia="標楷體" w:hAnsi="Times New Roman" w:cs="Times New Roman"/>
          <w:sz w:val="28"/>
          <w:szCs w:val="28"/>
        </w:rPr>
        <w:t>以政策推動大型智慧教室與智慧校園計畫，國際大廠亦推出智慧校園整合方案，</w:t>
      </w:r>
      <w:r w:rsidR="00FA44BA" w:rsidRPr="00C77E77">
        <w:rPr>
          <w:rFonts w:ascii="Times New Roman" w:eastAsia="標楷體" w:hAnsi="Times New Roman" w:cs="Times New Roman"/>
          <w:sz w:val="28"/>
          <w:szCs w:val="28"/>
        </w:rPr>
        <w:t>201</w:t>
      </w:r>
      <w:r w:rsidR="003C76C1" w:rsidRPr="00C77E77">
        <w:rPr>
          <w:rFonts w:ascii="Times New Roman" w:eastAsia="標楷體" w:hAnsi="Times New Roman" w:cs="Times New Roman"/>
          <w:sz w:val="28"/>
          <w:szCs w:val="28"/>
        </w:rPr>
        <w:t>0</w:t>
      </w:r>
      <w:r w:rsidR="003C76C1" w:rsidRPr="00C77E77">
        <w:rPr>
          <w:rFonts w:ascii="Times New Roman" w:eastAsia="標楷體" w:hAnsi="Times New Roman" w:cs="Times New Roman"/>
          <w:sz w:val="28"/>
          <w:szCs w:val="28"/>
        </w:rPr>
        <w:t>年代起</w:t>
      </w:r>
      <w:r w:rsidR="00FA44BA" w:rsidRPr="00C77E77">
        <w:rPr>
          <w:rFonts w:ascii="Times New Roman" w:eastAsia="標楷體" w:hAnsi="Times New Roman" w:cs="Times New Roman"/>
          <w:sz w:val="28"/>
          <w:szCs w:val="28"/>
        </w:rPr>
        <w:t>，智慧校園的議題開始在亞洲發酵，中國</w:t>
      </w:r>
      <w:r w:rsidR="003C76C1" w:rsidRPr="00C77E77">
        <w:rPr>
          <w:rFonts w:ascii="Times New Roman" w:eastAsia="標楷體" w:hAnsi="Times New Roman" w:cs="Times New Roman"/>
          <w:sz w:val="28"/>
          <w:szCs w:val="28"/>
        </w:rPr>
        <w:t>大陸</w:t>
      </w:r>
      <w:r w:rsidR="00FA44BA" w:rsidRPr="00C77E77">
        <w:rPr>
          <w:rFonts w:ascii="Times New Roman" w:eastAsia="標楷體" w:hAnsi="Times New Roman" w:cs="Times New Roman"/>
          <w:sz w:val="28"/>
          <w:szCs w:val="28"/>
        </w:rPr>
        <w:t>、新加坡、馬來西亞等地</w:t>
      </w:r>
      <w:r w:rsidR="003C76C1" w:rsidRPr="00C77E77">
        <w:rPr>
          <w:rFonts w:ascii="Times New Roman" w:eastAsia="標楷體" w:hAnsi="Times New Roman" w:cs="Times New Roman"/>
          <w:sz w:val="28"/>
          <w:szCs w:val="28"/>
        </w:rPr>
        <w:t>為</w:t>
      </w:r>
      <w:r w:rsidR="00FA44BA" w:rsidRPr="00C77E77">
        <w:rPr>
          <w:rFonts w:ascii="Times New Roman" w:eastAsia="標楷體" w:hAnsi="Times New Roman" w:cs="Times New Roman"/>
          <w:sz w:val="28"/>
          <w:szCs w:val="28"/>
        </w:rPr>
        <w:t>提升校園生活品質，打造更舒適的教學環境</w:t>
      </w:r>
      <w:r w:rsidR="003C76C1" w:rsidRPr="00C77E77">
        <w:rPr>
          <w:rFonts w:ascii="Times New Roman" w:eastAsia="標楷體" w:hAnsi="Times New Roman" w:cs="Times New Roman"/>
          <w:sz w:val="28"/>
          <w:szCs w:val="28"/>
        </w:rPr>
        <w:t>，也開始在校園內引進科技技術</w:t>
      </w:r>
      <w:r w:rsidR="00FA44BA" w:rsidRPr="00C77E77">
        <w:rPr>
          <w:rFonts w:ascii="Times New Roman" w:eastAsia="標楷體" w:hAnsi="Times New Roman" w:cs="Times New Roman"/>
          <w:sz w:val="28"/>
          <w:szCs w:val="28"/>
        </w:rPr>
        <w:t>。根據美國</w:t>
      </w:r>
      <w:r w:rsidR="00FA44BA" w:rsidRPr="00C77E77">
        <w:rPr>
          <w:rFonts w:ascii="Times New Roman" w:eastAsia="標楷體" w:hAnsi="Times New Roman" w:cs="Times New Roman"/>
          <w:sz w:val="28"/>
          <w:szCs w:val="28"/>
        </w:rPr>
        <w:t>Ambient Insight</w:t>
      </w:r>
      <w:r w:rsidR="00FA44BA" w:rsidRPr="00C77E77">
        <w:rPr>
          <w:rFonts w:ascii="Times New Roman" w:eastAsia="標楷體" w:hAnsi="Times New Roman" w:cs="Times New Roman"/>
          <w:sz w:val="28"/>
          <w:szCs w:val="28"/>
        </w:rPr>
        <w:t>研究機構資料顯示，全球數位學習市場規模在</w:t>
      </w:r>
      <w:r w:rsidR="00FA44BA" w:rsidRPr="00C77E77">
        <w:rPr>
          <w:rFonts w:ascii="Times New Roman" w:eastAsia="標楷體" w:hAnsi="Times New Roman" w:cs="Times New Roman"/>
          <w:sz w:val="28"/>
          <w:szCs w:val="28"/>
        </w:rPr>
        <w:t>2013</w:t>
      </w:r>
      <w:r w:rsidR="00FA44BA" w:rsidRPr="00C77E77">
        <w:rPr>
          <w:rFonts w:ascii="Times New Roman" w:eastAsia="標楷體" w:hAnsi="Times New Roman" w:cs="Times New Roman"/>
          <w:sz w:val="28"/>
          <w:szCs w:val="28"/>
        </w:rPr>
        <w:t>年達到</w:t>
      </w:r>
      <w:r w:rsidR="00FA44BA" w:rsidRPr="00C77E77">
        <w:rPr>
          <w:rFonts w:ascii="Times New Roman" w:eastAsia="標楷體" w:hAnsi="Times New Roman" w:cs="Times New Roman"/>
          <w:sz w:val="28"/>
          <w:szCs w:val="28"/>
        </w:rPr>
        <w:t>427</w:t>
      </w:r>
      <w:r w:rsidR="00FA44BA" w:rsidRPr="00C77E77">
        <w:rPr>
          <w:rFonts w:ascii="Times New Roman" w:eastAsia="標楷體" w:hAnsi="Times New Roman" w:cs="Times New Roman"/>
          <w:sz w:val="28"/>
          <w:szCs w:val="28"/>
        </w:rPr>
        <w:t>億美元，至</w:t>
      </w:r>
      <w:r w:rsidR="00FA44BA" w:rsidRPr="00C77E77">
        <w:rPr>
          <w:rFonts w:ascii="Times New Roman" w:eastAsia="標楷體" w:hAnsi="Times New Roman" w:cs="Times New Roman"/>
          <w:sz w:val="28"/>
          <w:szCs w:val="28"/>
        </w:rPr>
        <w:t>2018</w:t>
      </w:r>
      <w:r w:rsidR="00FA44BA" w:rsidRPr="00C77E77">
        <w:rPr>
          <w:rFonts w:ascii="Times New Roman" w:eastAsia="標楷體" w:hAnsi="Times New Roman" w:cs="Times New Roman"/>
          <w:sz w:val="28"/>
          <w:szCs w:val="28"/>
        </w:rPr>
        <w:t>年將達</w:t>
      </w:r>
      <w:r w:rsidR="00FA44BA" w:rsidRPr="00C77E77">
        <w:rPr>
          <w:rFonts w:ascii="Times New Roman" w:eastAsia="標楷體" w:hAnsi="Times New Roman" w:cs="Times New Roman"/>
          <w:sz w:val="28"/>
          <w:szCs w:val="28"/>
        </w:rPr>
        <w:t>523</w:t>
      </w:r>
      <w:r w:rsidR="00FA44BA" w:rsidRPr="00C77E77">
        <w:rPr>
          <w:rFonts w:ascii="Times New Roman" w:eastAsia="標楷體" w:hAnsi="Times New Roman" w:cs="Times New Roman"/>
          <w:sz w:val="28"/>
          <w:szCs w:val="28"/>
        </w:rPr>
        <w:t>億美元。</w:t>
      </w:r>
      <w:r w:rsidR="00FA44BA" w:rsidRPr="00C77E77">
        <w:rPr>
          <w:rStyle w:val="a9"/>
          <w:rFonts w:ascii="Times New Roman" w:eastAsia="標楷體" w:hAnsi="Times New Roman" w:cs="Times New Roman"/>
          <w:sz w:val="28"/>
          <w:szCs w:val="28"/>
        </w:rPr>
        <w:footnoteReference w:id="44"/>
      </w:r>
    </w:p>
    <w:p w:rsidR="00FA44BA" w:rsidRPr="00C77E77" w:rsidRDefault="00BB3920" w:rsidP="00705F8A">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透過</w:t>
      </w:r>
      <w:r w:rsidR="00FA44BA" w:rsidRPr="00C77E77">
        <w:rPr>
          <w:rFonts w:ascii="Times New Roman" w:eastAsia="標楷體" w:hAnsi="Times New Roman" w:cs="Times New Roman"/>
          <w:sz w:val="28"/>
          <w:szCs w:val="28"/>
        </w:rPr>
        <w:t>資訊科技的應用</w:t>
      </w:r>
      <w:r w:rsidRPr="00C77E77">
        <w:rPr>
          <w:rFonts w:ascii="Times New Roman" w:eastAsia="標楷體" w:hAnsi="Times New Roman" w:cs="Times New Roman"/>
          <w:sz w:val="28"/>
          <w:szCs w:val="28"/>
        </w:rPr>
        <w:t>，</w:t>
      </w:r>
      <w:r w:rsidR="00FA44BA" w:rsidRPr="00C77E77">
        <w:rPr>
          <w:rFonts w:ascii="Times New Roman" w:eastAsia="標楷體" w:hAnsi="Times New Roman" w:cs="Times New Roman"/>
          <w:sz w:val="28"/>
          <w:szCs w:val="28"/>
        </w:rPr>
        <w:t>校園面貌</w:t>
      </w:r>
      <w:r w:rsidRPr="00C77E77">
        <w:rPr>
          <w:rFonts w:ascii="Times New Roman" w:eastAsia="標楷體" w:hAnsi="Times New Roman" w:cs="Times New Roman"/>
          <w:sz w:val="28"/>
          <w:szCs w:val="28"/>
        </w:rPr>
        <w:t>將有所改變</w:t>
      </w:r>
      <w:r w:rsidR="00FA44BA"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顛覆我們既有的印象。</w:t>
      </w:r>
      <w:r w:rsidR="00FA44BA" w:rsidRPr="00C77E77">
        <w:rPr>
          <w:rFonts w:ascii="Times New Roman" w:eastAsia="標楷體" w:hAnsi="Times New Roman" w:cs="Times New Roman"/>
          <w:sz w:val="28"/>
          <w:szCs w:val="28"/>
        </w:rPr>
        <w:t>智慧校園突破</w:t>
      </w:r>
      <w:r w:rsidRPr="00C77E77">
        <w:rPr>
          <w:rFonts w:ascii="Times New Roman" w:eastAsia="標楷體" w:hAnsi="Times New Roman" w:cs="Times New Roman"/>
          <w:sz w:val="28"/>
          <w:szCs w:val="28"/>
        </w:rPr>
        <w:t>傳統</w:t>
      </w:r>
      <w:r w:rsidR="00FA44BA" w:rsidRPr="00C77E77">
        <w:rPr>
          <w:rFonts w:ascii="Times New Roman" w:eastAsia="標楷體" w:hAnsi="Times New Roman" w:cs="Times New Roman"/>
          <w:sz w:val="28"/>
          <w:szCs w:val="28"/>
        </w:rPr>
        <w:t>的教室觀念與教學模式，</w:t>
      </w:r>
      <w:r w:rsidRPr="00C77E77">
        <w:rPr>
          <w:rFonts w:ascii="Times New Roman" w:eastAsia="標楷體" w:hAnsi="Times New Roman" w:cs="Times New Roman"/>
          <w:sz w:val="28"/>
          <w:szCs w:val="28"/>
        </w:rPr>
        <w:t>以</w:t>
      </w:r>
      <w:r w:rsidR="00FA44BA" w:rsidRPr="00C77E77">
        <w:rPr>
          <w:rFonts w:ascii="Times New Roman" w:eastAsia="標楷體" w:hAnsi="Times New Roman" w:cs="Times New Roman"/>
          <w:sz w:val="28"/>
          <w:szCs w:val="28"/>
        </w:rPr>
        <w:t>教室</w:t>
      </w:r>
      <w:r w:rsidRPr="00C77E77">
        <w:rPr>
          <w:rFonts w:ascii="Times New Roman" w:eastAsia="標楷體" w:hAnsi="Times New Roman" w:cs="Times New Roman"/>
          <w:sz w:val="28"/>
          <w:szCs w:val="28"/>
        </w:rPr>
        <w:t>為基礎</w:t>
      </w:r>
      <w:r w:rsidR="00FA44BA" w:rsidRPr="00C77E77">
        <w:rPr>
          <w:rFonts w:ascii="Times New Roman" w:eastAsia="標楷體" w:hAnsi="Times New Roman" w:cs="Times New Roman"/>
          <w:sz w:val="28"/>
          <w:szCs w:val="28"/>
        </w:rPr>
        <w:t>延伸到整體校園智慧化，提供多元的數位學習，</w:t>
      </w:r>
      <w:r w:rsidRPr="00C77E77">
        <w:rPr>
          <w:rFonts w:ascii="Times New Roman" w:eastAsia="標楷體" w:hAnsi="Times New Roman" w:cs="Times New Roman"/>
          <w:sz w:val="28"/>
          <w:szCs w:val="28"/>
        </w:rPr>
        <w:t>進而</w:t>
      </w:r>
      <w:r w:rsidR="00FA44BA" w:rsidRPr="00C77E77">
        <w:rPr>
          <w:rFonts w:ascii="Times New Roman" w:eastAsia="標楷體" w:hAnsi="Times New Roman" w:cs="Times New Roman"/>
          <w:sz w:val="28"/>
          <w:szCs w:val="28"/>
        </w:rPr>
        <w:t>帶動教育體系與學習產業的轉型。以目前</w:t>
      </w:r>
      <w:r w:rsidRPr="00C77E77">
        <w:rPr>
          <w:rFonts w:ascii="Times New Roman" w:eastAsia="標楷體" w:hAnsi="Times New Roman" w:cs="Times New Roman"/>
          <w:sz w:val="28"/>
          <w:szCs w:val="28"/>
        </w:rPr>
        <w:t>我</w:t>
      </w:r>
      <w:r w:rsidRPr="00C77E77">
        <w:rPr>
          <w:rFonts w:ascii="Times New Roman" w:eastAsia="標楷體" w:hAnsi="Times New Roman" w:cs="Times New Roman"/>
          <w:sz w:val="28"/>
          <w:szCs w:val="28"/>
        </w:rPr>
        <w:lastRenderedPageBreak/>
        <w:t>國智慧應用產業來看</w:t>
      </w:r>
      <w:r w:rsidR="00FA44BA"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企業</w:t>
      </w:r>
      <w:r w:rsidR="00FA44BA" w:rsidRPr="00C77E77">
        <w:rPr>
          <w:rFonts w:ascii="Times New Roman" w:eastAsia="標楷體" w:hAnsi="Times New Roman" w:cs="Times New Roman"/>
          <w:sz w:val="28"/>
          <w:szCs w:val="28"/>
        </w:rPr>
        <w:t>已</w:t>
      </w:r>
      <w:r w:rsidRPr="00C77E77">
        <w:rPr>
          <w:rFonts w:ascii="Times New Roman" w:eastAsia="標楷體" w:hAnsi="Times New Roman" w:cs="Times New Roman"/>
          <w:sz w:val="28"/>
          <w:szCs w:val="28"/>
        </w:rPr>
        <w:t>發展</w:t>
      </w:r>
      <w:r w:rsidR="00FA44BA" w:rsidRPr="00C77E77">
        <w:rPr>
          <w:rFonts w:ascii="Times New Roman" w:eastAsia="標楷體" w:hAnsi="Times New Roman" w:cs="Times New Roman"/>
          <w:sz w:val="28"/>
          <w:szCs w:val="28"/>
        </w:rPr>
        <w:t>許多相當純熟的技術和產品，但各家產品、設備卻都自成一格，形成單一產品</w:t>
      </w:r>
      <w:r w:rsidRPr="00C77E77">
        <w:rPr>
          <w:rFonts w:ascii="Times New Roman" w:eastAsia="標楷體" w:hAnsi="Times New Roman" w:cs="Times New Roman"/>
          <w:sz w:val="28"/>
          <w:szCs w:val="28"/>
        </w:rPr>
        <w:t>、</w:t>
      </w:r>
      <w:r w:rsidR="00FA44BA" w:rsidRPr="00C77E77">
        <w:rPr>
          <w:rFonts w:ascii="Times New Roman" w:eastAsia="標楷體" w:hAnsi="Times New Roman" w:cs="Times New Roman"/>
          <w:sz w:val="28"/>
          <w:szCs w:val="28"/>
        </w:rPr>
        <w:t>單一用途，</w:t>
      </w:r>
      <w:r w:rsidRPr="00C77E77">
        <w:rPr>
          <w:rFonts w:ascii="Times New Roman" w:eastAsia="標楷體" w:hAnsi="Times New Roman" w:cs="Times New Roman"/>
          <w:sz w:val="28"/>
          <w:szCs w:val="28"/>
        </w:rPr>
        <w:t>如欲</w:t>
      </w:r>
      <w:r w:rsidR="00FA44BA" w:rsidRPr="00C77E77">
        <w:rPr>
          <w:rFonts w:ascii="Times New Roman" w:eastAsia="標楷體" w:hAnsi="Times New Roman" w:cs="Times New Roman"/>
          <w:sz w:val="28"/>
          <w:szCs w:val="28"/>
        </w:rPr>
        <w:t>打造智慧教室，系統與設備之間</w:t>
      </w:r>
      <w:r w:rsidRPr="00C77E77">
        <w:rPr>
          <w:rFonts w:ascii="Times New Roman" w:eastAsia="標楷體" w:hAnsi="Times New Roman" w:cs="Times New Roman"/>
          <w:sz w:val="28"/>
          <w:szCs w:val="28"/>
        </w:rPr>
        <w:t>難以</w:t>
      </w:r>
      <w:r w:rsidR="00FA44BA" w:rsidRPr="00C77E77">
        <w:rPr>
          <w:rFonts w:ascii="Times New Roman" w:eastAsia="標楷體" w:hAnsi="Times New Roman" w:cs="Times New Roman"/>
          <w:sz w:val="28"/>
          <w:szCs w:val="28"/>
        </w:rPr>
        <w:t>串聯的問題</w:t>
      </w:r>
      <w:r w:rsidRPr="00C77E77">
        <w:rPr>
          <w:rFonts w:ascii="Times New Roman" w:eastAsia="標楷體" w:hAnsi="Times New Roman" w:cs="Times New Roman"/>
          <w:sz w:val="28"/>
          <w:szCs w:val="28"/>
        </w:rPr>
        <w:t>將</w:t>
      </w:r>
      <w:r w:rsidR="00FA44BA" w:rsidRPr="00C77E77">
        <w:rPr>
          <w:rFonts w:ascii="Times New Roman" w:eastAsia="標楷體" w:hAnsi="Times New Roman" w:cs="Times New Roman"/>
          <w:sz w:val="28"/>
          <w:szCs w:val="28"/>
        </w:rPr>
        <w:t>逐漸浮出。</w:t>
      </w:r>
    </w:p>
    <w:p w:rsidR="00FA44BA" w:rsidRPr="00C77E77" w:rsidRDefault="00FA44BA"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有鑑於臺灣擁有</w:t>
      </w:r>
      <w:r w:rsidR="00FC1A01" w:rsidRPr="00C77E77">
        <w:rPr>
          <w:rFonts w:ascii="Times New Roman" w:eastAsia="標楷體" w:hAnsi="Times New Roman" w:cs="Times New Roman"/>
          <w:sz w:val="28"/>
          <w:szCs w:val="28"/>
        </w:rPr>
        <w:t>數位學習產業長期發展所累積的成果，以及充足</w:t>
      </w:r>
      <w:r w:rsidRPr="00C77E77">
        <w:rPr>
          <w:rFonts w:ascii="Times New Roman" w:eastAsia="標楷體" w:hAnsi="Times New Roman" w:cs="Times New Roman"/>
          <w:sz w:val="28"/>
          <w:szCs w:val="28"/>
        </w:rPr>
        <w:t>的資通訊技術能量，經濟部工業局自</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起將「智慧校園產業」列為經濟部「產業升級轉型行動方案」加速新興產業推動重點之一，「智慧校園產業推動規劃建立示範學校」計畫，由資策會數位教育研究所輔導國內大型系統整合業者，打造智慧校園整體解決方案，由業者提案申請補助計畫，資策會數位教育研究所協助業者推動國內試煉、場域實證與國際輸出，計劃後經經濟部工業局審核認可，廠商即開始進行產官學合作，開啟智慧校園的佈局。由於不同層級的學校對於智慧化的需求不盡相同，在資策會數位教育研究所所提出的軟體需求規格建議書上，即分別列出：智慧學習（</w:t>
      </w:r>
      <w:r w:rsidRPr="00C77E77">
        <w:rPr>
          <w:rFonts w:ascii="Times New Roman" w:eastAsia="標楷體" w:hAnsi="Times New Roman" w:cs="Times New Roman"/>
          <w:sz w:val="28"/>
          <w:szCs w:val="28"/>
        </w:rPr>
        <w:t>i-Learning</w:t>
      </w:r>
      <w:r w:rsidRPr="00C77E77">
        <w:rPr>
          <w:rFonts w:ascii="Times New Roman" w:eastAsia="標楷體" w:hAnsi="Times New Roman" w:cs="Times New Roman"/>
          <w:sz w:val="28"/>
          <w:szCs w:val="28"/>
        </w:rPr>
        <w:t>）、智慧社群（</w:t>
      </w:r>
      <w:r w:rsidRPr="00C77E77">
        <w:rPr>
          <w:rFonts w:ascii="Times New Roman" w:eastAsia="標楷體" w:hAnsi="Times New Roman" w:cs="Times New Roman"/>
          <w:sz w:val="28"/>
          <w:szCs w:val="28"/>
        </w:rPr>
        <w:t>i-Social</w:t>
      </w:r>
      <w:r w:rsidRPr="00C77E77">
        <w:rPr>
          <w:rFonts w:ascii="Times New Roman" w:eastAsia="標楷體" w:hAnsi="Times New Roman" w:cs="Times New Roman"/>
          <w:sz w:val="28"/>
          <w:szCs w:val="28"/>
        </w:rPr>
        <w:t>）、智慧管理（</w:t>
      </w:r>
      <w:r w:rsidRPr="00C77E77">
        <w:rPr>
          <w:rFonts w:ascii="Times New Roman" w:eastAsia="標楷體" w:hAnsi="Times New Roman" w:cs="Times New Roman"/>
          <w:sz w:val="28"/>
          <w:szCs w:val="28"/>
        </w:rPr>
        <w:t>i-Management</w:t>
      </w:r>
      <w:r w:rsidRPr="00C77E77">
        <w:rPr>
          <w:rFonts w:ascii="Times New Roman" w:eastAsia="標楷體" w:hAnsi="Times New Roman" w:cs="Times New Roman"/>
          <w:sz w:val="28"/>
          <w:szCs w:val="28"/>
        </w:rPr>
        <w:t>）、智慧綠能（</w:t>
      </w:r>
      <w:r w:rsidRPr="00C77E77">
        <w:rPr>
          <w:rFonts w:ascii="Times New Roman" w:eastAsia="標楷體" w:hAnsi="Times New Roman" w:cs="Times New Roman"/>
          <w:sz w:val="28"/>
          <w:szCs w:val="28"/>
        </w:rPr>
        <w:t>i-Green</w:t>
      </w:r>
      <w:r w:rsidRPr="00C77E77">
        <w:rPr>
          <w:rFonts w:ascii="Times New Roman" w:eastAsia="標楷體" w:hAnsi="Times New Roman" w:cs="Times New Roman"/>
          <w:sz w:val="28"/>
          <w:szCs w:val="28"/>
        </w:rPr>
        <w:t>）、智慧行政（</w:t>
      </w:r>
      <w:r w:rsidRPr="00C77E77">
        <w:rPr>
          <w:rFonts w:ascii="Times New Roman" w:eastAsia="標楷體" w:hAnsi="Times New Roman" w:cs="Times New Roman"/>
          <w:sz w:val="28"/>
          <w:szCs w:val="28"/>
        </w:rPr>
        <w:t>i-Governance</w:t>
      </w:r>
      <w:r w:rsidRPr="00C77E77">
        <w:rPr>
          <w:rFonts w:ascii="Times New Roman" w:eastAsia="標楷體" w:hAnsi="Times New Roman" w:cs="Times New Roman"/>
          <w:sz w:val="28"/>
          <w:szCs w:val="28"/>
        </w:rPr>
        <w:t>）與智慧保健（</w:t>
      </w:r>
      <w:r w:rsidRPr="00C77E77">
        <w:rPr>
          <w:rFonts w:ascii="Times New Roman" w:eastAsia="標楷體" w:hAnsi="Times New Roman" w:cs="Times New Roman"/>
          <w:sz w:val="28"/>
          <w:szCs w:val="28"/>
        </w:rPr>
        <w:t>i-Health</w:t>
      </w:r>
      <w:r w:rsidRPr="00C77E77">
        <w:rPr>
          <w:rFonts w:ascii="Times New Roman" w:eastAsia="標楷體" w:hAnsi="Times New Roman" w:cs="Times New Roman"/>
          <w:sz w:val="28"/>
          <w:szCs w:val="28"/>
        </w:rPr>
        <w:t>）等</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大智慧服務，簡稱</w:t>
      </w:r>
      <w:r w:rsidRPr="00C77E77">
        <w:rPr>
          <w:rFonts w:ascii="Times New Roman" w:eastAsia="標楷體" w:hAnsi="Times New Roman" w:cs="Times New Roman"/>
          <w:sz w:val="28"/>
          <w:szCs w:val="28"/>
        </w:rPr>
        <w:t>6i</w:t>
      </w:r>
      <w:r w:rsidRPr="00C77E77">
        <w:rPr>
          <w:rFonts w:ascii="Times New Roman" w:eastAsia="標楷體" w:hAnsi="Times New Roman" w:cs="Times New Roman"/>
          <w:sz w:val="28"/>
          <w:szCs w:val="28"/>
        </w:rPr>
        <w:t>，讓學校作為參考標準。</w:t>
      </w:r>
      <w:r w:rsidRPr="00C77E77">
        <w:rPr>
          <w:rStyle w:val="a9"/>
          <w:rFonts w:ascii="Times New Roman" w:eastAsia="標楷體" w:hAnsi="Times New Roman" w:cs="Times New Roman"/>
          <w:sz w:val="28"/>
          <w:szCs w:val="28"/>
        </w:rPr>
        <w:footnoteReference w:id="45"/>
      </w:r>
    </w:p>
    <w:p w:rsidR="00FA44BA" w:rsidRPr="00C77E77" w:rsidRDefault="00FA44BA" w:rsidP="00FA44BA">
      <w:pPr>
        <w:spacing w:beforeLines="50" w:before="180" w:afterLines="50" w:after="180" w:line="360" w:lineRule="auto"/>
        <w:jc w:val="both"/>
        <w:rPr>
          <w:rFonts w:ascii="Times New Roman" w:eastAsia="標楷體" w:hAnsi="Times New Roman" w:cs="Times New Roman"/>
          <w:sz w:val="28"/>
          <w:szCs w:val="28"/>
        </w:rPr>
      </w:pPr>
      <w:r w:rsidRPr="00C77E77">
        <w:rPr>
          <w:rFonts w:ascii="Times New Roman" w:hAnsi="Times New Roman" w:cs="Times New Roman"/>
          <w:noProof/>
        </w:rPr>
        <w:lastRenderedPageBreak/>
        <w:drawing>
          <wp:inline distT="0" distB="0" distL="0" distR="0" wp14:anchorId="5C45D6D6" wp14:editId="7E4FB0EC">
            <wp:extent cx="5632450" cy="4096512"/>
            <wp:effectExtent l="0" t="0" r="635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45559" cy="4106046"/>
                    </a:xfrm>
                    <a:prstGeom prst="rect">
                      <a:avLst/>
                    </a:prstGeom>
                  </pic:spPr>
                </pic:pic>
              </a:graphicData>
            </a:graphic>
          </wp:inline>
        </w:drawing>
      </w:r>
    </w:p>
    <w:p w:rsidR="00DF6DB1" w:rsidRPr="00C77E77" w:rsidRDefault="00DF6DB1" w:rsidP="00DF6DB1">
      <w:pPr>
        <w:pStyle w:val="af7"/>
      </w:pPr>
      <w:bookmarkStart w:id="82" w:name="_Toc470676635"/>
      <w:r w:rsidRPr="00C77E77">
        <w:t>圖</w:t>
      </w:r>
      <w:r w:rsidRPr="00C77E77">
        <w:t>3-1-</w:t>
      </w:r>
      <w:r w:rsidR="00CA5949" w:rsidRPr="00C77E77">
        <w:t>3</w:t>
      </w:r>
      <w:r w:rsidRPr="00C77E77">
        <w:t xml:space="preserve"> </w:t>
      </w:r>
      <w:r w:rsidRPr="00C77E77">
        <w:t>智慧校園發展趨勢</w:t>
      </w:r>
      <w:bookmarkEnd w:id="82"/>
    </w:p>
    <w:p w:rsidR="00FA44BA" w:rsidRPr="00C77E77" w:rsidRDefault="00FA44BA" w:rsidP="00DF6DB1">
      <w:pPr>
        <w:spacing w:line="360" w:lineRule="auto"/>
        <w:ind w:left="1417" w:hangingChars="506" w:hanging="1417"/>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資料來源：中華電信，〈學校解決方案教育服務業〉，</w:t>
      </w:r>
      <w:hyperlink r:id="rId32" w:history="1">
        <w:r w:rsidRPr="00C77E77">
          <w:rPr>
            <w:rStyle w:val="aa"/>
            <w:rFonts w:ascii="Times New Roman" w:eastAsia="標楷體" w:hAnsi="Times New Roman" w:cs="Times New Roman"/>
            <w:sz w:val="28"/>
            <w:szCs w:val="28"/>
            <w:u w:val="none"/>
          </w:rPr>
          <w:t>https://eshop.cht.com.tw/Web/Enterprise/Product/Details?megaID=05ACCAFA-D877-4FF2-BAB4-401CB6F472F3</w:t>
        </w:r>
      </w:hyperlink>
      <w:r w:rsidRPr="00C77E77">
        <w:rPr>
          <w:rFonts w:ascii="Times New Roman" w:eastAsia="標楷體" w:hAnsi="Times New Roman" w:cs="Times New Roman"/>
          <w:sz w:val="28"/>
          <w:szCs w:val="28"/>
        </w:rPr>
        <w:t xml:space="preserve"> </w:t>
      </w:r>
    </w:p>
    <w:p w:rsidR="00FA44BA" w:rsidRPr="00C77E77" w:rsidRDefault="00FA44BA"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為推動此新興產業，經濟部工業局積極引導國內大型系統整合商整合智慧校園業者，投入技術與服務創新研發，逐年完成創意、概念驗證（</w:t>
      </w:r>
      <w:r w:rsidRPr="00C77E77">
        <w:rPr>
          <w:rFonts w:ascii="Times New Roman" w:eastAsia="標楷體" w:hAnsi="Times New Roman" w:cs="Times New Roman"/>
          <w:sz w:val="28"/>
          <w:szCs w:val="28"/>
        </w:rPr>
        <w:t>proof of concept, POC</w:t>
      </w:r>
      <w:r w:rsidRPr="00C77E77">
        <w:rPr>
          <w:rFonts w:ascii="Times New Roman" w:eastAsia="標楷體" w:hAnsi="Times New Roman" w:cs="Times New Roman"/>
          <w:sz w:val="28"/>
          <w:szCs w:val="28"/>
        </w:rPr>
        <w:t>）、服務模式驗證（</w:t>
      </w:r>
      <w:r w:rsidRPr="00C77E77">
        <w:rPr>
          <w:rFonts w:ascii="Times New Roman" w:eastAsia="標楷體" w:hAnsi="Times New Roman" w:cs="Times New Roman"/>
          <w:sz w:val="28"/>
          <w:szCs w:val="28"/>
        </w:rPr>
        <w:t>proof of service, POS</w:t>
      </w:r>
      <w:r w:rsidRPr="00C77E77">
        <w:rPr>
          <w:rFonts w:ascii="Times New Roman" w:eastAsia="標楷體" w:hAnsi="Times New Roman" w:cs="Times New Roman"/>
          <w:sz w:val="28"/>
          <w:szCs w:val="28"/>
        </w:rPr>
        <w:t>）以及商轉營運驗證（</w:t>
      </w:r>
      <w:r w:rsidRPr="00C77E77">
        <w:rPr>
          <w:rFonts w:ascii="Times New Roman" w:eastAsia="標楷體" w:hAnsi="Times New Roman" w:cs="Times New Roman"/>
          <w:sz w:val="28"/>
          <w:szCs w:val="28"/>
        </w:rPr>
        <w:t>proof of business, POB</w:t>
      </w:r>
      <w:r w:rsidRPr="00C77E77">
        <w:rPr>
          <w:rFonts w:ascii="Times New Roman" w:eastAsia="標楷體" w:hAnsi="Times New Roman" w:cs="Times New Roman"/>
          <w:sz w:val="28"/>
          <w:szCs w:val="28"/>
        </w:rPr>
        <w:t>），也就是透標準制定和產業鏈結合、場域學習實證以及藉由營運模式達到國內擴散、國際輸出的目標等階段性驗證，於國內建立示範學校並打造完整產業鏈，促進智慧校園產業快速成長，擴大整體市場。</w:t>
      </w:r>
    </w:p>
    <w:p w:rsidR="009551A7" w:rsidRPr="00C77E77" w:rsidRDefault="009551A7"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p>
    <w:p w:rsidR="009551A7" w:rsidRPr="00C77E77" w:rsidRDefault="009551A7"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p>
    <w:p w:rsidR="00FA44BA" w:rsidRPr="00C77E77" w:rsidRDefault="00FA44BA"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目前已完成階段性成果包括：</w:t>
      </w:r>
    </w:p>
    <w:p w:rsidR="00FA44BA" w:rsidRPr="00C77E77" w:rsidRDefault="00FA44BA" w:rsidP="00764ED7">
      <w:pPr>
        <w:pStyle w:val="ab"/>
        <w:numPr>
          <w:ilvl w:val="0"/>
          <w:numId w:val="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推動智慧校園主題式研發計畫：為建立智慧校園產業供應鏈，打造智慧校園示範學校與整體解決方案，以利輸出國際市場，經濟部工業局自</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年起透過智慧校園主題式研發計畫，促成緯創資通、</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達電及神通等三家大廠作為系統整合商，以大廠帶小廠的策略，打造智慧校園產業鏈，建立整體解決方案，推動智慧校園創新應用服務，</w:t>
      </w:r>
      <w:r w:rsidR="005F635A" w:rsidRPr="00C77E77">
        <w:rPr>
          <w:rFonts w:ascii="Times New Roman" w:eastAsia="標楷體" w:hAnsi="Times New Roman" w:cs="Times New Roman"/>
          <w:sz w:val="28"/>
          <w:szCs w:val="28"/>
        </w:rPr>
        <w:t>截至</w:t>
      </w:r>
      <w:r w:rsidRPr="00C77E77">
        <w:rPr>
          <w:rFonts w:ascii="Times New Roman" w:eastAsia="標楷體" w:hAnsi="Times New Roman" w:cs="Times New Roman"/>
          <w:sz w:val="28"/>
          <w:szCs w:val="28"/>
        </w:rPr>
        <w:t>2016</w:t>
      </w:r>
      <w:r w:rsidR="005F635A"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月，緯創資通、</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達電子和神通科技已於國內九縣市建置</w:t>
      </w:r>
      <w:r w:rsidRPr="00C77E77">
        <w:rPr>
          <w:rFonts w:ascii="Times New Roman" w:eastAsia="標楷體" w:hAnsi="Times New Roman" w:cs="Times New Roman"/>
          <w:sz w:val="28"/>
          <w:szCs w:val="28"/>
        </w:rPr>
        <w:t>41</w:t>
      </w:r>
      <w:r w:rsidRPr="00C77E77">
        <w:rPr>
          <w:rFonts w:ascii="Times New Roman" w:eastAsia="標楷體" w:hAnsi="Times New Roman" w:cs="Times New Roman"/>
          <w:sz w:val="28"/>
          <w:szCs w:val="28"/>
        </w:rPr>
        <w:t>所智慧校園示範學校，打造校園智慧環境，包括緯創資通負責策劃的政大附中和宜蘭玉田國小、</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達電的臺北市私立東山高中，以及神通資科負責建置的臺北市南港國小和汐止白雲國小等。資策會數位教育研究所創新學習中心組長莊芳甄表示，未來將持續往區域性延伸，以縣市為單位打造智慧校園示範聚落。</w:t>
      </w:r>
      <w:r w:rsidRPr="00C77E77">
        <w:rPr>
          <w:rStyle w:val="a9"/>
          <w:rFonts w:ascii="Times New Roman" w:eastAsia="標楷體" w:hAnsi="Times New Roman" w:cs="Times New Roman"/>
          <w:sz w:val="28"/>
          <w:szCs w:val="28"/>
        </w:rPr>
        <w:footnoteReference w:id="46"/>
      </w:r>
      <w:r w:rsidRPr="00C77E77">
        <w:rPr>
          <w:rFonts w:ascii="Times New Roman" w:eastAsia="標楷體" w:hAnsi="Times New Roman" w:cs="Times New Roman"/>
          <w:sz w:val="28"/>
          <w:szCs w:val="28"/>
        </w:rPr>
        <w:t xml:space="preserve"> </w:t>
      </w:r>
    </w:p>
    <w:p w:rsidR="00FA44BA" w:rsidRPr="00C77E77" w:rsidRDefault="00FA44BA" w:rsidP="00764ED7">
      <w:pPr>
        <w:pStyle w:val="ab"/>
        <w:numPr>
          <w:ilvl w:val="0"/>
          <w:numId w:val="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立智慧校園產業共同標準：透過成立「智慧校園產官學研標準推動工作小組」推動智慧校園相關標準，並研擬共同供應契約正式軟體採購規格，符合校園實際需求，並能與國際接軌。目前已提供智慧校園服務系統軟體需求規格建議書，並將雲端書櫃與即時回饋系統（</w:t>
      </w:r>
      <w:r w:rsidRPr="00C77E77">
        <w:rPr>
          <w:rFonts w:ascii="Times New Roman" w:eastAsia="標楷體" w:hAnsi="Times New Roman" w:cs="Times New Roman"/>
          <w:sz w:val="28"/>
          <w:szCs w:val="28"/>
        </w:rPr>
        <w:t>Interactive Response System, IRS</w:t>
      </w:r>
      <w:r w:rsidRPr="00C77E77">
        <w:rPr>
          <w:rFonts w:ascii="Times New Roman" w:eastAsia="標楷體" w:hAnsi="Times New Roman" w:cs="Times New Roman"/>
          <w:sz w:val="28"/>
          <w:szCs w:val="28"/>
        </w:rPr>
        <w:t>）等智慧學習類別之產品服務上架，此後相關智慧社群、管理、保健、行政、綠能等五大面向之服務系統也將陸續上架。</w:t>
      </w:r>
    </w:p>
    <w:p w:rsidR="00FA44BA" w:rsidRPr="00C77E77" w:rsidRDefault="00FA44BA" w:rsidP="00764ED7">
      <w:pPr>
        <w:pStyle w:val="ab"/>
        <w:numPr>
          <w:ilvl w:val="0"/>
          <w:numId w:val="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擴大國際輸出：透過經濟部工業局「數位學習產業跨域躍升計畫」團隊的努力，近年在東南亞市場相繼接獲訂單，整案輸出模式也在越南、泰國、菲律賓及馬來西亞等地逐漸發酵，促成產業國際營收於</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年達到歷史新高，超過百億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幣。未來經濟部工業局將持續輔導國內智慧校園廠商建立國際品牌，以整案輸出方式，拓銷東協國家以及中國大陸等新興市場，建立海外示範校。</w:t>
      </w:r>
      <w:r w:rsidR="00FC1A01" w:rsidRPr="00C77E77">
        <w:rPr>
          <w:rStyle w:val="a9"/>
          <w:rFonts w:ascii="Times New Roman" w:eastAsia="標楷體" w:hAnsi="Times New Roman" w:cs="Times New Roman"/>
          <w:sz w:val="28"/>
          <w:szCs w:val="28"/>
        </w:rPr>
        <w:footnoteReference w:id="47"/>
      </w:r>
    </w:p>
    <w:p w:rsidR="00FA44BA" w:rsidRPr="00C77E77" w:rsidRDefault="001450E0" w:rsidP="00705F8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目前智慧校園以透過系統輸出方式出口至</w:t>
      </w:r>
      <w:r w:rsidR="001813C9" w:rsidRPr="00C77E77">
        <w:rPr>
          <w:rFonts w:ascii="Times New Roman" w:eastAsia="標楷體" w:hAnsi="Times New Roman" w:cs="Times New Roman"/>
          <w:sz w:val="28"/>
          <w:szCs w:val="28"/>
        </w:rPr>
        <w:t>越</w:t>
      </w:r>
      <w:r w:rsidRPr="00C77E77">
        <w:rPr>
          <w:rFonts w:ascii="Times New Roman" w:eastAsia="標楷體" w:hAnsi="Times New Roman" w:cs="Times New Roman"/>
          <w:sz w:val="28"/>
          <w:szCs w:val="28"/>
        </w:rPr>
        <w:t>南、泰國、馬來西亞及中國大陸，帶動整體產業產值達新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14.62</w:t>
      </w:r>
      <w:r w:rsidRPr="00C77E77">
        <w:rPr>
          <w:rFonts w:ascii="Times New Roman" w:eastAsia="標楷體" w:hAnsi="Times New Roman" w:cs="Times New Roman"/>
          <w:sz w:val="28"/>
          <w:szCs w:val="28"/>
        </w:rPr>
        <w:t>億元，</w:t>
      </w:r>
      <w:r w:rsidR="00FA44BA" w:rsidRPr="00C77E77">
        <w:rPr>
          <w:rFonts w:ascii="Times New Roman" w:eastAsia="標楷體" w:hAnsi="Times New Roman" w:cs="Times New Roman"/>
          <w:sz w:val="28"/>
          <w:szCs w:val="28"/>
        </w:rPr>
        <w:t>透過民間業者將智慧校園</w:t>
      </w:r>
      <w:r w:rsidRPr="00C77E77">
        <w:rPr>
          <w:rFonts w:ascii="Times New Roman" w:eastAsia="標楷體" w:hAnsi="Times New Roman" w:cs="Times New Roman"/>
          <w:sz w:val="28"/>
          <w:szCs w:val="28"/>
        </w:rPr>
        <w:t>系統</w:t>
      </w:r>
      <w:r w:rsidR="00FA44BA" w:rsidRPr="00C77E77">
        <w:rPr>
          <w:rFonts w:ascii="Times New Roman" w:eastAsia="標楷體" w:hAnsi="Times New Roman" w:cs="Times New Roman"/>
          <w:sz w:val="28"/>
          <w:szCs w:val="28"/>
        </w:rPr>
        <w:t>方案輸出，</w:t>
      </w:r>
      <w:r w:rsidRPr="00C77E77">
        <w:rPr>
          <w:rFonts w:ascii="Times New Roman" w:eastAsia="標楷體" w:hAnsi="Times New Roman" w:cs="Times New Roman"/>
          <w:sz w:val="28"/>
          <w:szCs w:val="28"/>
        </w:rPr>
        <w:t>未來將持續</w:t>
      </w:r>
      <w:r w:rsidR="00FA44BA" w:rsidRPr="00C77E77">
        <w:rPr>
          <w:rFonts w:ascii="Times New Roman" w:eastAsia="標楷體" w:hAnsi="Times New Roman" w:cs="Times New Roman"/>
          <w:sz w:val="28"/>
          <w:szCs w:val="28"/>
        </w:rPr>
        <w:t>以深化智慧校園輸出東南亞市場、創新校園經營模式輸出、創新學習與訓練體制輸出等三項策略，</w:t>
      </w:r>
      <w:r w:rsidRPr="00C77E77">
        <w:rPr>
          <w:rFonts w:ascii="Times New Roman" w:eastAsia="標楷體" w:hAnsi="Times New Roman" w:cs="Times New Roman"/>
          <w:sz w:val="28"/>
          <w:szCs w:val="28"/>
        </w:rPr>
        <w:t>拓展海外市場，</w:t>
      </w:r>
      <w:r w:rsidR="00FA44BA" w:rsidRPr="00C77E77">
        <w:rPr>
          <w:rFonts w:ascii="Times New Roman" w:eastAsia="標楷體" w:hAnsi="Times New Roman" w:cs="Times New Roman"/>
          <w:sz w:val="28"/>
          <w:szCs w:val="28"/>
        </w:rPr>
        <w:t>預估至</w:t>
      </w:r>
      <w:r w:rsidR="00FA44BA" w:rsidRPr="00C77E77">
        <w:rPr>
          <w:rFonts w:ascii="Times New Roman" w:eastAsia="標楷體" w:hAnsi="Times New Roman" w:cs="Times New Roman"/>
          <w:sz w:val="28"/>
          <w:szCs w:val="28"/>
        </w:rPr>
        <w:t>2020</w:t>
      </w:r>
      <w:r w:rsidR="00FA44BA" w:rsidRPr="00C77E77">
        <w:rPr>
          <w:rFonts w:ascii="Times New Roman" w:eastAsia="標楷體" w:hAnsi="Times New Roman" w:cs="Times New Roman"/>
          <w:sz w:val="28"/>
          <w:szCs w:val="28"/>
        </w:rPr>
        <w:t>年我國智慧校園出口值規模</w:t>
      </w:r>
      <w:r w:rsidRPr="00C77E77">
        <w:rPr>
          <w:rFonts w:ascii="Times New Roman" w:eastAsia="標楷體" w:hAnsi="Times New Roman" w:cs="Times New Roman"/>
          <w:sz w:val="28"/>
          <w:szCs w:val="28"/>
        </w:rPr>
        <w:t>可</w:t>
      </w:r>
      <w:r w:rsidR="00FA44BA" w:rsidRPr="00C77E77">
        <w:rPr>
          <w:rFonts w:ascii="Times New Roman" w:eastAsia="標楷體" w:hAnsi="Times New Roman" w:cs="Times New Roman"/>
          <w:sz w:val="28"/>
          <w:szCs w:val="28"/>
        </w:rPr>
        <w:t>達新</w:t>
      </w:r>
      <w:r w:rsidR="00FD0D5A" w:rsidRPr="00C77E77">
        <w:rPr>
          <w:rFonts w:ascii="Times New Roman" w:eastAsia="標楷體" w:hAnsi="Times New Roman" w:cs="Times New Roman"/>
          <w:sz w:val="28"/>
          <w:szCs w:val="28"/>
        </w:rPr>
        <w:t>臺</w:t>
      </w:r>
      <w:r w:rsidR="00FA44BA" w:rsidRPr="00C77E77">
        <w:rPr>
          <w:rFonts w:ascii="Times New Roman" w:eastAsia="標楷體" w:hAnsi="Times New Roman" w:cs="Times New Roman"/>
          <w:sz w:val="28"/>
          <w:szCs w:val="28"/>
        </w:rPr>
        <w:t>幣</w:t>
      </w:r>
      <w:r w:rsidR="00FA44BA" w:rsidRPr="00C77E77">
        <w:rPr>
          <w:rFonts w:ascii="Times New Roman" w:eastAsia="標楷體" w:hAnsi="Times New Roman" w:cs="Times New Roman"/>
          <w:sz w:val="28"/>
          <w:szCs w:val="28"/>
        </w:rPr>
        <w:t>50</w:t>
      </w:r>
      <w:r w:rsidR="00FA44BA" w:rsidRPr="00C77E77">
        <w:rPr>
          <w:rFonts w:ascii="Times New Roman" w:eastAsia="標楷體" w:hAnsi="Times New Roman" w:cs="Times New Roman"/>
          <w:sz w:val="28"/>
          <w:szCs w:val="28"/>
        </w:rPr>
        <w:t>億元。</w:t>
      </w:r>
      <w:r w:rsidRPr="00C77E77">
        <w:rPr>
          <w:rStyle w:val="a9"/>
          <w:rFonts w:ascii="Times New Roman" w:eastAsia="標楷體" w:hAnsi="Times New Roman" w:cs="Times New Roman"/>
          <w:sz w:val="28"/>
          <w:szCs w:val="28"/>
        </w:rPr>
        <w:footnoteReference w:id="48"/>
      </w:r>
    </w:p>
    <w:p w:rsidR="00030DDE" w:rsidRPr="00C77E77" w:rsidRDefault="00030DDE">
      <w:pPr>
        <w:widowControl/>
        <w:rPr>
          <w:rFonts w:ascii="Times New Roman" w:eastAsia="標楷體" w:hAnsi="Times New Roman" w:cs="Times New Roman"/>
          <w:sz w:val="28"/>
          <w:szCs w:val="28"/>
        </w:rPr>
      </w:pPr>
    </w:p>
    <w:p w:rsidR="00FA44BA" w:rsidRPr="00C77E77" w:rsidRDefault="007D2C95" w:rsidP="00764ED7">
      <w:pPr>
        <w:pStyle w:val="ab"/>
        <w:numPr>
          <w:ilvl w:val="0"/>
          <w:numId w:val="5"/>
        </w:numPr>
        <w:spacing w:beforeLines="50" w:before="180" w:afterLines="50" w:after="180" w:line="500" w:lineRule="exact"/>
        <w:ind w:leftChars="0"/>
        <w:jc w:val="both"/>
        <w:outlineLvl w:val="1"/>
        <w:rPr>
          <w:rFonts w:ascii="Times New Roman" w:eastAsia="標楷體" w:hAnsi="Times New Roman" w:cs="Times New Roman"/>
          <w:b/>
          <w:sz w:val="32"/>
          <w:szCs w:val="32"/>
        </w:rPr>
      </w:pPr>
      <w:bookmarkStart w:id="83" w:name="_Toc470676315"/>
      <w:r w:rsidRPr="00C77E77">
        <w:rPr>
          <w:rFonts w:ascii="Times New Roman" w:eastAsia="標楷體" w:hAnsi="Times New Roman" w:cs="Times New Roman"/>
          <w:b/>
          <w:sz w:val="32"/>
          <w:szCs w:val="32"/>
        </w:rPr>
        <w:t>我國電子</w:t>
      </w:r>
      <w:r w:rsidR="00897640" w:rsidRPr="00C77E77">
        <w:rPr>
          <w:rFonts w:ascii="Times New Roman" w:eastAsia="標楷體" w:hAnsi="Times New Roman" w:cs="Times New Roman"/>
          <w:b/>
          <w:sz w:val="32"/>
          <w:szCs w:val="32"/>
        </w:rPr>
        <w:t>商務、智慧物流、雲端系統產業發展現況</w:t>
      </w:r>
      <w:bookmarkEnd w:id="83"/>
    </w:p>
    <w:p w:rsidR="00F44D01" w:rsidRPr="00C77E77" w:rsidRDefault="00F44D01" w:rsidP="00F44D01">
      <w:pPr>
        <w:spacing w:beforeLines="50" w:before="180" w:afterLines="50" w:after="180" w:line="500" w:lineRule="exact"/>
        <w:ind w:firstLineChars="202" w:firstLine="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傳統物流是人力密集的工作，近年來隨著線上購物的興起，帶動了物流改革的契機，甚至跨進國際海空運領域聯合打造電子商務與智慧物流平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。在此趨勢下，透過雲端系統來管理龐大資訊的模式也日益重要。本節分析我國電子商務、智慧物流、雲端系統等三項產業的競爭優勢與劣勢。</w:t>
      </w:r>
    </w:p>
    <w:p w:rsidR="00F44D01" w:rsidRPr="00C77E77" w:rsidRDefault="00F44D01" w:rsidP="00764ED7">
      <w:pPr>
        <w:pStyle w:val="ab"/>
        <w:numPr>
          <w:ilvl w:val="0"/>
          <w:numId w:val="23"/>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電子商務</w:t>
      </w:r>
    </w:p>
    <w:p w:rsidR="00A46051" w:rsidRPr="00C77E77" w:rsidRDefault="00F44D01" w:rsidP="00F44D01">
      <w:pPr>
        <w:pStyle w:val="ab"/>
        <w:spacing w:beforeLines="50" w:before="180" w:afterLines="50" w:after="180" w:line="500" w:lineRule="exact"/>
        <w:ind w:leftChars="0" w:left="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全球電子商務的交易額每年以</w:t>
      </w:r>
      <w:r w:rsidRPr="00C77E77">
        <w:rPr>
          <w:rFonts w:ascii="Times New Roman" w:eastAsia="標楷體" w:hAnsi="Times New Roman" w:cs="Times New Roman"/>
          <w:sz w:val="28"/>
          <w:szCs w:val="28"/>
        </w:rPr>
        <w:t>15-20%</w:t>
      </w:r>
      <w:r w:rsidRPr="00C77E77">
        <w:rPr>
          <w:rFonts w:ascii="Times New Roman" w:eastAsia="標楷體" w:hAnsi="Times New Roman" w:cs="Times New Roman"/>
          <w:sz w:val="28"/>
          <w:szCs w:val="28"/>
        </w:rPr>
        <w:t>的成長率逐年擴張</w:t>
      </w:r>
      <w:r w:rsidRPr="00C77E77">
        <w:rPr>
          <w:rFonts w:ascii="Times New Roman" w:eastAsia="標楷體" w:hAnsi="Times New Roman" w:cs="Times New Roman"/>
          <w:color w:val="000000" w:themeColor="text1"/>
          <w:sz w:val="28"/>
          <w:szCs w:val="28"/>
        </w:rPr>
        <w:t>。我國電子商務產業現況的優勢在於，根據資策會產業情報研究所調查</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年臺灣電子商務市場產值約</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兆零</w:t>
      </w:r>
      <w:r w:rsidRPr="00C77E77">
        <w:rPr>
          <w:rFonts w:ascii="Times New Roman" w:eastAsia="標楷體" w:hAnsi="Times New Roman" w:cs="Times New Roman"/>
          <w:sz w:val="28"/>
          <w:szCs w:val="28"/>
        </w:rPr>
        <w:t>69</w:t>
      </w:r>
      <w:r w:rsidRPr="00C77E77">
        <w:rPr>
          <w:rFonts w:ascii="Times New Roman" w:eastAsia="標楷體" w:hAnsi="Times New Roman" w:cs="Times New Roman"/>
          <w:sz w:val="28"/>
          <w:szCs w:val="28"/>
        </w:rPr>
        <w:t>億元，其中，</w:t>
      </w:r>
      <w:r w:rsidRPr="00C77E77">
        <w:rPr>
          <w:rFonts w:ascii="Times New Roman" w:eastAsia="標楷體" w:hAnsi="Times New Roman" w:cs="Times New Roman"/>
          <w:sz w:val="28"/>
          <w:szCs w:val="28"/>
        </w:rPr>
        <w:t>B2C</w:t>
      </w:r>
      <w:r w:rsidRPr="00C77E77">
        <w:rPr>
          <w:rFonts w:ascii="Times New Roman" w:eastAsia="標楷體" w:hAnsi="Times New Roman" w:cs="Times New Roman"/>
          <w:sz w:val="28"/>
          <w:szCs w:val="28"/>
        </w:rPr>
        <w:t>（企業對消費者）的電子商務市場為</w:t>
      </w:r>
      <w:r w:rsidRPr="00C77E77">
        <w:rPr>
          <w:rFonts w:ascii="Times New Roman" w:eastAsia="標楷體" w:hAnsi="Times New Roman" w:cs="Times New Roman"/>
          <w:sz w:val="28"/>
          <w:szCs w:val="28"/>
        </w:rPr>
        <w:t>6,138</w:t>
      </w:r>
      <w:r w:rsidRPr="00C77E77">
        <w:rPr>
          <w:rFonts w:ascii="Times New Roman" w:eastAsia="標楷體" w:hAnsi="Times New Roman" w:cs="Times New Roman"/>
          <w:sz w:val="28"/>
          <w:szCs w:val="28"/>
        </w:rPr>
        <w:t>億元、較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年成長</w:t>
      </w:r>
      <w:r w:rsidRPr="00C77E77">
        <w:rPr>
          <w:rFonts w:ascii="Times New Roman" w:eastAsia="標楷體" w:hAnsi="Times New Roman" w:cs="Times New Roman"/>
          <w:sz w:val="28"/>
          <w:szCs w:val="28"/>
        </w:rPr>
        <w:t>15.89</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C2C</w:t>
      </w:r>
      <w:r w:rsidRPr="00C77E77">
        <w:rPr>
          <w:rFonts w:ascii="Times New Roman" w:eastAsia="標楷體" w:hAnsi="Times New Roman" w:cs="Times New Roman"/>
          <w:sz w:val="28"/>
          <w:szCs w:val="28"/>
        </w:rPr>
        <w:t>（消費者對消費者）的市場規模為</w:t>
      </w:r>
      <w:r w:rsidRPr="00C77E77">
        <w:rPr>
          <w:rFonts w:ascii="Times New Roman" w:eastAsia="標楷體" w:hAnsi="Times New Roman" w:cs="Times New Roman"/>
          <w:sz w:val="28"/>
          <w:szCs w:val="28"/>
        </w:rPr>
        <w:t>3,931</w:t>
      </w:r>
      <w:r w:rsidRPr="00C77E77">
        <w:rPr>
          <w:rFonts w:ascii="Times New Roman" w:eastAsia="標楷體" w:hAnsi="Times New Roman" w:cs="Times New Roman"/>
          <w:sz w:val="28"/>
          <w:szCs w:val="28"/>
        </w:rPr>
        <w:t>億元、較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年成長</w:t>
      </w:r>
      <w:r w:rsidRPr="00C77E77">
        <w:rPr>
          <w:rFonts w:ascii="Times New Roman" w:eastAsia="標楷體" w:hAnsi="Times New Roman" w:cs="Times New Roman"/>
          <w:sz w:val="28"/>
          <w:szCs w:val="28"/>
        </w:rPr>
        <w:t>11.01</w:t>
      </w:r>
      <w:r w:rsidRPr="00C77E77">
        <w:rPr>
          <w:rFonts w:ascii="Times New Roman" w:eastAsia="標楷體" w:hAnsi="Times New Roman" w:cs="Times New Roman"/>
          <w:sz w:val="28"/>
          <w:szCs w:val="28"/>
        </w:rPr>
        <w:t>％。整體而言，</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年臺灣的電子商務市場較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年成長</w:t>
      </w:r>
      <w:r w:rsidRPr="00C77E77">
        <w:rPr>
          <w:rFonts w:ascii="Times New Roman" w:eastAsia="標楷體" w:hAnsi="Times New Roman" w:cs="Times New Roman"/>
          <w:sz w:val="28"/>
          <w:szCs w:val="28"/>
        </w:rPr>
        <w:t>14</w:t>
      </w:r>
      <w:r w:rsidRPr="00C77E77">
        <w:rPr>
          <w:rFonts w:ascii="Times New Roman" w:eastAsia="標楷體" w:hAnsi="Times New Roman" w:cs="Times New Roman"/>
          <w:sz w:val="28"/>
          <w:szCs w:val="28"/>
        </w:rPr>
        <w:t>％。資策會則預估，</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年臺灣電子商務市場規模將比</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年再成長</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％，達到</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兆</w:t>
      </w:r>
      <w:r w:rsidRPr="00C77E77">
        <w:rPr>
          <w:rFonts w:ascii="Times New Roman" w:eastAsia="標楷體" w:hAnsi="Times New Roman" w:cs="Times New Roman"/>
          <w:sz w:val="28"/>
          <w:szCs w:val="28"/>
        </w:rPr>
        <w:t>1,277</w:t>
      </w:r>
      <w:r w:rsidRPr="00C77E77">
        <w:rPr>
          <w:rFonts w:ascii="Times New Roman" w:eastAsia="標楷體" w:hAnsi="Times New Roman" w:cs="Times New Roman"/>
          <w:sz w:val="28"/>
          <w:szCs w:val="28"/>
        </w:rPr>
        <w:t>億元；而</w:t>
      </w:r>
      <w:r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年則再往上成長</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％，達到</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兆</w:t>
      </w:r>
      <w:r w:rsidRPr="00C77E77">
        <w:rPr>
          <w:rFonts w:ascii="Times New Roman" w:eastAsia="標楷體" w:hAnsi="Times New Roman" w:cs="Times New Roman"/>
          <w:sz w:val="28"/>
          <w:szCs w:val="28"/>
        </w:rPr>
        <w:t>2,515</w:t>
      </w:r>
      <w:r w:rsidR="00A46051" w:rsidRPr="00C77E77">
        <w:rPr>
          <w:rFonts w:ascii="Times New Roman" w:eastAsia="標楷體" w:hAnsi="Times New Roman" w:cs="Times New Roman"/>
          <w:sz w:val="28"/>
          <w:szCs w:val="28"/>
        </w:rPr>
        <w:t>億元。</w:t>
      </w:r>
      <w:r w:rsidRPr="00C77E77">
        <w:rPr>
          <w:rFonts w:ascii="Times New Roman" w:eastAsia="標楷體" w:hAnsi="Times New Roman" w:cs="Times New Roman"/>
          <w:sz w:val="28"/>
          <w:szCs w:val="28"/>
        </w:rPr>
        <w:t>依照經濟部統計處公布（</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）無店面（包含紙本郵購、電視購物等）零售業營業額，</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年為新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2,167</w:t>
      </w:r>
      <w:r w:rsidRPr="00C77E77">
        <w:rPr>
          <w:rFonts w:ascii="Times New Roman" w:eastAsia="標楷體" w:hAnsi="Times New Roman" w:cs="Times New Roman"/>
          <w:sz w:val="28"/>
          <w:szCs w:val="28"/>
        </w:rPr>
        <w:t>億元、年增幅度</w:t>
      </w:r>
      <w:r w:rsidRPr="00C77E77">
        <w:rPr>
          <w:rFonts w:ascii="Times New Roman" w:eastAsia="標楷體" w:hAnsi="Times New Roman" w:cs="Times New Roman"/>
          <w:sz w:val="28"/>
          <w:szCs w:val="28"/>
        </w:rPr>
        <w:t>5.3%</w:t>
      </w:r>
      <w:r w:rsidRPr="00C77E77">
        <w:rPr>
          <w:rFonts w:ascii="Times New Roman" w:eastAsia="標楷體" w:hAnsi="Times New Roman" w:cs="Times New Roman"/>
          <w:sz w:val="28"/>
          <w:szCs w:val="28"/>
        </w:rPr>
        <w:t>，歸納主要原因如下：因實體店面租金不斷升高，導致網購電商業者增加外，手機等手持行動裝置佔有率持續提高，網購電商的品項擴充，及實體與虛擬通路整合，都使無店面購物環境日趨成熟，無店面零售業成長幅度</w:t>
      </w:r>
      <w:r w:rsidRPr="00C77E77">
        <w:rPr>
          <w:rFonts w:ascii="Times New Roman" w:eastAsia="標楷體" w:hAnsi="Times New Roman" w:cs="Times New Roman"/>
          <w:sz w:val="28"/>
          <w:szCs w:val="28"/>
        </w:rPr>
        <w:lastRenderedPageBreak/>
        <w:t>5.3%</w:t>
      </w:r>
      <w:r w:rsidRPr="00C77E77">
        <w:rPr>
          <w:rFonts w:ascii="Times New Roman" w:eastAsia="標楷體" w:hAnsi="Times New Roman" w:cs="Times New Roman"/>
          <w:sz w:val="28"/>
          <w:szCs w:val="28"/>
        </w:rPr>
        <w:t>遠遠超越</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年整體零售業年增率僅</w:t>
      </w:r>
      <w:r w:rsidRPr="00C77E77">
        <w:rPr>
          <w:rFonts w:ascii="Times New Roman" w:eastAsia="標楷體" w:hAnsi="Times New Roman" w:cs="Times New Roman"/>
          <w:sz w:val="28"/>
          <w:szCs w:val="28"/>
        </w:rPr>
        <w:t>0.3%</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49"/>
      </w:r>
    </w:p>
    <w:p w:rsidR="00F44D01" w:rsidRPr="00C77E77" w:rsidRDefault="00F44D01" w:rsidP="00F44D01">
      <w:pPr>
        <w:pStyle w:val="ab"/>
        <w:spacing w:beforeLines="50" w:before="180" w:afterLines="50" w:after="180" w:line="500" w:lineRule="exact"/>
        <w:ind w:leftChars="0" w:left="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亞洲較為知名的跨境電子商務平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包括：</w:t>
      </w:r>
      <w:r w:rsidRPr="00C77E77">
        <w:rPr>
          <w:rStyle w:val="a9"/>
          <w:rFonts w:ascii="Times New Roman" w:eastAsia="標楷體" w:hAnsi="Times New Roman" w:cs="Times New Roman"/>
          <w:sz w:val="28"/>
          <w:szCs w:val="28"/>
        </w:rPr>
        <w:footnoteReference w:id="50"/>
      </w:r>
    </w:p>
    <w:p w:rsidR="004F4E36" w:rsidRPr="00C77E77" w:rsidRDefault="004F4E36">
      <w:pPr>
        <w:rPr>
          <w:rFonts w:ascii="Times New Roman" w:hAnsi="Times New Roman" w:cs="Times New Roman"/>
        </w:rPr>
      </w:pPr>
    </w:p>
    <w:tbl>
      <w:tblPr>
        <w:tblW w:w="10915" w:type="dxa"/>
        <w:jc w:val="center"/>
        <w:tblCellSpacing w:w="0" w:type="dxa"/>
        <w:shd w:val="clear" w:color="auto" w:fill="FFFFFF"/>
        <w:tblLayout w:type="fixed"/>
        <w:tblCellMar>
          <w:left w:w="0" w:type="dxa"/>
          <w:right w:w="0" w:type="dxa"/>
        </w:tblCellMar>
        <w:tblLook w:val="04A0" w:firstRow="1" w:lastRow="0" w:firstColumn="1" w:lastColumn="0" w:noHBand="0" w:noVBand="1"/>
      </w:tblPr>
      <w:tblGrid>
        <w:gridCol w:w="1843"/>
        <w:gridCol w:w="2977"/>
        <w:gridCol w:w="1417"/>
        <w:gridCol w:w="2268"/>
        <w:gridCol w:w="2410"/>
      </w:tblGrid>
      <w:tr w:rsidR="003A34F6" w:rsidRPr="00C77E77" w:rsidTr="00F06B95">
        <w:trPr>
          <w:tblCellSpacing w:w="0" w:type="dxa"/>
          <w:jc w:val="center"/>
        </w:trPr>
        <w:tc>
          <w:tcPr>
            <w:tcW w:w="10915" w:type="dxa"/>
            <w:gridSpan w:val="5"/>
            <w:shd w:val="clear" w:color="auto" w:fill="FFFFFF"/>
            <w:vAlign w:val="center"/>
          </w:tcPr>
          <w:p w:rsidR="004F4E36" w:rsidRPr="00C77E77" w:rsidRDefault="003A34F6" w:rsidP="009551A7">
            <w:pPr>
              <w:pStyle w:val="af9"/>
              <w:rPr>
                <w:kern w:val="0"/>
              </w:rPr>
            </w:pPr>
            <w:bookmarkStart w:id="84" w:name="_Toc470676592"/>
            <w:r w:rsidRPr="00C77E77">
              <w:t>表</w:t>
            </w:r>
            <w:r w:rsidR="000B520E" w:rsidRPr="00C77E77">
              <w:t>3-2-1</w:t>
            </w:r>
            <w:r w:rsidRPr="00C77E77">
              <w:t xml:space="preserve"> </w:t>
            </w:r>
            <w:r w:rsidRPr="00C77E77">
              <w:t>亞洲知名的跨境電子商務平</w:t>
            </w:r>
            <w:r w:rsidR="00FD0D5A" w:rsidRPr="00C77E77">
              <w:t>臺</w:t>
            </w:r>
            <w:bookmarkEnd w:id="84"/>
          </w:p>
        </w:tc>
      </w:tr>
      <w:tr w:rsidR="00F44D01" w:rsidRPr="00C77E77" w:rsidTr="00C70A64">
        <w:trPr>
          <w:tblCellSpacing w:w="0" w:type="dxa"/>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平</w:t>
            </w:r>
            <w:r w:rsidR="00FD0D5A" w:rsidRPr="00C77E77">
              <w:rPr>
                <w:rFonts w:ascii="Times New Roman" w:eastAsia="標楷體" w:hAnsi="Times New Roman" w:cs="Times New Roman"/>
                <w:color w:val="000000" w:themeColor="text1"/>
                <w:kern w:val="0"/>
                <w:szCs w:val="24"/>
              </w:rPr>
              <w:t>臺</w:t>
            </w:r>
            <w:r w:rsidRPr="00C77E77">
              <w:rPr>
                <w:rFonts w:ascii="Times New Roman" w:eastAsia="標楷體" w:hAnsi="Times New Roman" w:cs="Times New Roman"/>
                <w:color w:val="000000" w:themeColor="text1"/>
                <w:kern w:val="0"/>
                <w:szCs w:val="24"/>
              </w:rPr>
              <w:t>特色介紹</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主要銷售國家</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適合產業</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連結網址</w:t>
            </w:r>
          </w:p>
        </w:tc>
      </w:tr>
      <w:tr w:rsidR="00F44D01" w:rsidRPr="00C77E77" w:rsidTr="00C70A64">
        <w:trPr>
          <w:tblCellSpacing w:w="0" w:type="dxa"/>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臺灣經貿網</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pStyle w:val="ab"/>
              <w:widowControl/>
              <w:numPr>
                <w:ilvl w:val="0"/>
                <w:numId w:val="24"/>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B2B</w:t>
            </w:r>
            <w:r w:rsidRPr="00C77E77">
              <w:rPr>
                <w:rFonts w:ascii="Times New Roman" w:eastAsia="標楷體" w:hAnsi="Times New Roman" w:cs="Times New Roman"/>
                <w:color w:val="000000" w:themeColor="text1"/>
                <w:kern w:val="0"/>
                <w:szCs w:val="24"/>
              </w:rPr>
              <w:t>為主</w:t>
            </w:r>
          </w:p>
          <w:p w:rsidR="00F44D01" w:rsidRPr="00C77E77" w:rsidRDefault="00F44D01" w:rsidP="005D13DD">
            <w:pPr>
              <w:pStyle w:val="ab"/>
              <w:widowControl/>
              <w:numPr>
                <w:ilvl w:val="0"/>
                <w:numId w:val="24"/>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臺灣貿易最大</w:t>
            </w:r>
            <w:r w:rsidRPr="00C77E77">
              <w:rPr>
                <w:rFonts w:ascii="Times New Roman" w:eastAsia="標楷體" w:hAnsi="Times New Roman" w:cs="Times New Roman"/>
                <w:color w:val="000000" w:themeColor="text1"/>
                <w:kern w:val="0"/>
                <w:szCs w:val="24"/>
              </w:rPr>
              <w:t>B2B</w:t>
            </w:r>
            <w:r w:rsidRPr="00C77E77">
              <w:rPr>
                <w:rFonts w:ascii="Times New Roman" w:eastAsia="標楷體" w:hAnsi="Times New Roman" w:cs="Times New Roman"/>
                <w:color w:val="000000" w:themeColor="text1"/>
                <w:kern w:val="0"/>
                <w:szCs w:val="24"/>
              </w:rPr>
              <w:t>黃頁網站</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美國、中國、日本、加拿大、土耳其、巴西、德國、印度、印尼、澳洲</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資訊通訊、</w:t>
            </w:r>
            <w:r w:rsidRPr="00C77E77">
              <w:rPr>
                <w:rFonts w:ascii="Times New Roman" w:eastAsia="標楷體" w:hAnsi="Times New Roman" w:cs="Times New Roman"/>
                <w:color w:val="000000" w:themeColor="text1"/>
                <w:kern w:val="0"/>
                <w:szCs w:val="24"/>
              </w:rPr>
              <w:t>3C</w:t>
            </w:r>
            <w:r w:rsidRPr="00C77E77">
              <w:rPr>
                <w:rFonts w:ascii="Times New Roman" w:eastAsia="標楷體" w:hAnsi="Times New Roman" w:cs="Times New Roman"/>
                <w:color w:val="000000" w:themeColor="text1"/>
                <w:kern w:val="0"/>
                <w:szCs w:val="24"/>
              </w:rPr>
              <w:t>產品、五金建材及家具、機械、文創禮品、汽機車零配件</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 w:val="22"/>
              </w:rPr>
              <w:t> </w:t>
            </w:r>
            <w:hyperlink r:id="rId33" w:history="1">
              <w:r w:rsidRPr="00C77E77">
                <w:rPr>
                  <w:rFonts w:ascii="Times New Roman" w:eastAsia="標楷體" w:hAnsi="Times New Roman" w:cs="Times New Roman"/>
                  <w:color w:val="000000" w:themeColor="text1"/>
                  <w:kern w:val="0"/>
                  <w:sz w:val="22"/>
                </w:rPr>
                <w:t>http://www.taiwantrade.com.tw/</w:t>
              </w:r>
            </w:hyperlink>
          </w:p>
        </w:tc>
      </w:tr>
      <w:tr w:rsidR="00F44D01" w:rsidRPr="00C77E77" w:rsidTr="00C70A64">
        <w:trPr>
          <w:tblCellSpacing w:w="0" w:type="dxa"/>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阿里巴巴國際站（</w:t>
            </w:r>
            <w:r w:rsidRPr="00C77E77">
              <w:rPr>
                <w:rFonts w:ascii="Times New Roman" w:eastAsia="標楷體" w:hAnsi="Times New Roman" w:cs="Times New Roman"/>
                <w:color w:val="000000" w:themeColor="text1"/>
                <w:kern w:val="0"/>
                <w:szCs w:val="24"/>
              </w:rPr>
              <w:t>Alibaba.com</w:t>
            </w:r>
            <w:r w:rsidRPr="00C77E77">
              <w:rPr>
                <w:rFonts w:ascii="Times New Roman" w:eastAsia="標楷體" w:hAnsi="Times New Roman" w:cs="Times New Roman"/>
                <w:color w:val="000000" w:themeColor="text1"/>
                <w:kern w:val="0"/>
                <w:szCs w:val="24"/>
              </w:rPr>
              <w:t>）</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pStyle w:val="ab"/>
              <w:widowControl/>
              <w:numPr>
                <w:ilvl w:val="0"/>
                <w:numId w:val="25"/>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B2B</w:t>
            </w:r>
            <w:r w:rsidRPr="00C77E77">
              <w:rPr>
                <w:rFonts w:ascii="Times New Roman" w:eastAsia="標楷體" w:hAnsi="Times New Roman" w:cs="Times New Roman"/>
                <w:color w:val="000000" w:themeColor="text1"/>
                <w:kern w:val="0"/>
                <w:szCs w:val="24"/>
              </w:rPr>
              <w:t>為主</w:t>
            </w:r>
          </w:p>
          <w:p w:rsidR="00F44D01" w:rsidRPr="00C77E77" w:rsidRDefault="00F44D01" w:rsidP="005D13DD">
            <w:pPr>
              <w:pStyle w:val="ab"/>
              <w:widowControl/>
              <w:numPr>
                <w:ilvl w:val="0"/>
                <w:numId w:val="25"/>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針對想做大量出口銷售的廠商，銷售國家除了中國以外，可享有完整的輔導</w:t>
            </w:r>
          </w:p>
          <w:p w:rsidR="00F44D01" w:rsidRPr="00C77E77" w:rsidRDefault="00F44D01" w:rsidP="005D13DD">
            <w:pPr>
              <w:pStyle w:val="ab"/>
              <w:widowControl/>
              <w:numPr>
                <w:ilvl w:val="0"/>
                <w:numId w:val="25"/>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完整的輔導包含：（</w:t>
            </w:r>
            <w:r w:rsidRPr="00C77E77">
              <w:rPr>
                <w:rFonts w:ascii="Times New Roman" w:eastAsia="標楷體" w:hAnsi="Times New Roman" w:cs="Times New Roman"/>
                <w:color w:val="000000" w:themeColor="text1"/>
                <w:kern w:val="0"/>
                <w:szCs w:val="24"/>
              </w:rPr>
              <w:t>1</w:t>
            </w:r>
            <w:r w:rsidRPr="00C77E77">
              <w:rPr>
                <w:rFonts w:ascii="Times New Roman" w:eastAsia="標楷體" w:hAnsi="Times New Roman" w:cs="Times New Roman"/>
                <w:color w:val="000000" w:themeColor="text1"/>
                <w:kern w:val="0"/>
                <w:szCs w:val="24"/>
              </w:rPr>
              <w:t>）銷售平</w:t>
            </w:r>
            <w:r w:rsidR="00FD0D5A" w:rsidRPr="00C77E77">
              <w:rPr>
                <w:rFonts w:ascii="Times New Roman" w:eastAsia="標楷體" w:hAnsi="Times New Roman" w:cs="Times New Roman"/>
                <w:color w:val="000000" w:themeColor="text1"/>
                <w:kern w:val="0"/>
                <w:szCs w:val="24"/>
              </w:rPr>
              <w:t>臺</w:t>
            </w:r>
            <w:r w:rsidRPr="00C77E77">
              <w:rPr>
                <w:rFonts w:ascii="Times New Roman" w:eastAsia="標楷體" w:hAnsi="Times New Roman" w:cs="Times New Roman"/>
                <w:color w:val="000000" w:themeColor="text1"/>
                <w:kern w:val="0"/>
                <w:szCs w:val="24"/>
              </w:rPr>
              <w:t>操作</w:t>
            </w:r>
            <w:r w:rsidRPr="00C77E77">
              <w:rPr>
                <w:rFonts w:ascii="Times New Roman" w:eastAsia="標楷體" w:hAnsi="Times New Roman" w:cs="Times New Roman"/>
                <w:color w:val="000000" w:themeColor="text1"/>
                <w:kern w:val="0"/>
                <w:szCs w:val="24"/>
              </w:rPr>
              <w:t xml:space="preserve"> </w:t>
            </w:r>
            <w:r w:rsidRPr="00C77E77">
              <w:rPr>
                <w:rFonts w:ascii="Times New Roman" w:eastAsia="標楷體" w:hAnsi="Times New Roman" w:cs="Times New Roman"/>
                <w:color w:val="000000" w:themeColor="text1"/>
                <w:kern w:val="0"/>
                <w:szCs w:val="24"/>
              </w:rPr>
              <w:t>（</w:t>
            </w:r>
            <w:r w:rsidRPr="00C77E77">
              <w:rPr>
                <w:rFonts w:ascii="Times New Roman" w:eastAsia="標楷體" w:hAnsi="Times New Roman" w:cs="Times New Roman"/>
                <w:color w:val="000000" w:themeColor="text1"/>
                <w:kern w:val="0"/>
                <w:szCs w:val="24"/>
              </w:rPr>
              <w:t>2</w:t>
            </w:r>
            <w:r w:rsidRPr="00C77E77">
              <w:rPr>
                <w:rFonts w:ascii="Times New Roman" w:eastAsia="標楷體" w:hAnsi="Times New Roman" w:cs="Times New Roman"/>
                <w:color w:val="000000" w:themeColor="text1"/>
                <w:kern w:val="0"/>
                <w:szCs w:val="24"/>
              </w:rPr>
              <w:t>）外貿知識教育與培訓</w:t>
            </w:r>
            <w:r w:rsidRPr="00C77E77">
              <w:rPr>
                <w:rFonts w:ascii="Times New Roman" w:eastAsia="標楷體" w:hAnsi="Times New Roman" w:cs="Times New Roman"/>
                <w:color w:val="000000" w:themeColor="text1"/>
                <w:kern w:val="0"/>
                <w:szCs w:val="24"/>
              </w:rPr>
              <w:t xml:space="preserve"> </w:t>
            </w:r>
            <w:r w:rsidRPr="00C77E77">
              <w:rPr>
                <w:rFonts w:ascii="Times New Roman" w:eastAsia="標楷體" w:hAnsi="Times New Roman" w:cs="Times New Roman"/>
                <w:color w:val="000000" w:themeColor="text1"/>
                <w:kern w:val="0"/>
                <w:szCs w:val="24"/>
              </w:rPr>
              <w:t>（</w:t>
            </w:r>
            <w:r w:rsidRPr="00C77E77">
              <w:rPr>
                <w:rFonts w:ascii="Times New Roman" w:eastAsia="標楷體" w:hAnsi="Times New Roman" w:cs="Times New Roman"/>
                <w:color w:val="000000" w:themeColor="text1"/>
                <w:kern w:val="0"/>
                <w:szCs w:val="24"/>
              </w:rPr>
              <w:t>3</w:t>
            </w:r>
            <w:r w:rsidRPr="00C77E77">
              <w:rPr>
                <w:rFonts w:ascii="Times New Roman" w:eastAsia="標楷體" w:hAnsi="Times New Roman" w:cs="Times New Roman"/>
                <w:color w:val="000000" w:themeColor="text1"/>
                <w:kern w:val="0"/>
                <w:szCs w:val="24"/>
              </w:rPr>
              <w:t>）賣家外貿社團組織</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北美、歐洲、紐澳及南美、印度、東南亞等新興國家</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電子產業（半成品）、機械（零配件或五金建材）、化妝品成品（</w:t>
            </w:r>
            <w:r w:rsidRPr="00C77E77">
              <w:rPr>
                <w:rFonts w:ascii="Times New Roman" w:eastAsia="標楷體" w:hAnsi="Times New Roman" w:cs="Times New Roman"/>
                <w:color w:val="000000" w:themeColor="text1"/>
                <w:kern w:val="0"/>
                <w:szCs w:val="24"/>
              </w:rPr>
              <w:t>ex.</w:t>
            </w:r>
            <w:r w:rsidRPr="00C77E77">
              <w:rPr>
                <w:rFonts w:ascii="Times New Roman" w:eastAsia="標楷體" w:hAnsi="Times New Roman" w:cs="Times New Roman"/>
                <w:color w:val="000000" w:themeColor="text1"/>
                <w:kern w:val="0"/>
                <w:szCs w:val="24"/>
              </w:rPr>
              <w:t>面膜）、汽車配件、綠能產品</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 w:val="22"/>
              </w:rPr>
              <w:t> </w:t>
            </w:r>
            <w:hyperlink r:id="rId34" w:history="1">
              <w:r w:rsidRPr="00C77E77">
                <w:rPr>
                  <w:rFonts w:ascii="Times New Roman" w:eastAsia="標楷體" w:hAnsi="Times New Roman" w:cs="Times New Roman"/>
                  <w:color w:val="000000" w:themeColor="text1"/>
                  <w:kern w:val="0"/>
                  <w:sz w:val="22"/>
                </w:rPr>
                <w:t>http://www.alibaba.com/countrysearch/TW-Taiwan.html?tracelog=ggs_tw</w:t>
              </w:r>
            </w:hyperlink>
          </w:p>
        </w:tc>
      </w:tr>
      <w:tr w:rsidR="00F44D01" w:rsidRPr="00C77E77" w:rsidTr="00C70A64">
        <w:trPr>
          <w:tblCellSpacing w:w="0" w:type="dxa"/>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Qtrade</w:t>
            </w:r>
            <w:r w:rsidR="00C70A64" w:rsidRPr="00C77E77">
              <w:rPr>
                <w:rFonts w:ascii="Times New Roman" w:eastAsia="標楷體" w:hAnsi="Times New Roman" w:cs="Times New Roman"/>
                <w:color w:val="000000" w:themeColor="text1"/>
                <w:kern w:val="0"/>
                <w:szCs w:val="24"/>
              </w:rPr>
              <w:br/>
            </w:r>
            <w:r w:rsidRPr="00C77E77">
              <w:rPr>
                <w:rFonts w:ascii="Times New Roman" w:eastAsia="標楷體" w:hAnsi="Times New Roman" w:cs="Times New Roman"/>
                <w:color w:val="000000" w:themeColor="text1"/>
                <w:kern w:val="0"/>
                <w:szCs w:val="24"/>
              </w:rPr>
              <w:t>臺灣集品網</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pStyle w:val="ab"/>
              <w:widowControl/>
              <w:numPr>
                <w:ilvl w:val="0"/>
                <w:numId w:val="26"/>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B2B</w:t>
            </w:r>
            <w:r w:rsidRPr="00C77E77">
              <w:rPr>
                <w:rFonts w:ascii="Times New Roman" w:eastAsia="標楷體" w:hAnsi="Times New Roman" w:cs="Times New Roman"/>
                <w:color w:val="000000" w:themeColor="text1"/>
                <w:kern w:val="0"/>
                <w:szCs w:val="24"/>
              </w:rPr>
              <w:t>為主</w:t>
            </w:r>
          </w:p>
          <w:p w:rsidR="00F44D01" w:rsidRPr="00C77E77" w:rsidRDefault="00F44D01" w:rsidP="005D13DD">
            <w:pPr>
              <w:pStyle w:val="ab"/>
              <w:widowControl/>
              <w:numPr>
                <w:ilvl w:val="0"/>
                <w:numId w:val="26"/>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中國銷售一條服務</w:t>
            </w:r>
          </w:p>
          <w:p w:rsidR="00F44D01" w:rsidRPr="00C77E77" w:rsidRDefault="00F44D01" w:rsidP="005D13DD">
            <w:pPr>
              <w:pStyle w:val="ab"/>
              <w:widowControl/>
              <w:numPr>
                <w:ilvl w:val="0"/>
                <w:numId w:val="26"/>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從報關到物流提供完整諮詢</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中國大陸為主</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零食飲料、加工食品、臺灣好茶、急凍保鮮</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 w:val="22"/>
              </w:rPr>
              <w:t> </w:t>
            </w:r>
            <w:hyperlink r:id="rId35" w:history="1">
              <w:r w:rsidRPr="00C77E77">
                <w:rPr>
                  <w:rFonts w:ascii="Times New Roman" w:eastAsia="標楷體" w:hAnsi="Times New Roman" w:cs="Times New Roman"/>
                  <w:color w:val="000000" w:themeColor="text1"/>
                  <w:kern w:val="0"/>
                  <w:sz w:val="22"/>
                </w:rPr>
                <w:t>http://www.qtrade-b2b.com/</w:t>
              </w:r>
            </w:hyperlink>
          </w:p>
        </w:tc>
      </w:tr>
      <w:tr w:rsidR="00F44D01" w:rsidRPr="00C77E77" w:rsidTr="00C70A64">
        <w:trPr>
          <w:tblCellSpacing w:w="0" w:type="dxa"/>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LAZADA</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pStyle w:val="ab"/>
              <w:widowControl/>
              <w:numPr>
                <w:ilvl w:val="0"/>
                <w:numId w:val="27"/>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B2C</w:t>
            </w:r>
            <w:r w:rsidRPr="00C77E77">
              <w:rPr>
                <w:rFonts w:ascii="Times New Roman" w:eastAsia="標楷體" w:hAnsi="Times New Roman" w:cs="Times New Roman"/>
                <w:color w:val="000000" w:themeColor="text1"/>
                <w:kern w:val="0"/>
                <w:szCs w:val="24"/>
              </w:rPr>
              <w:t>為主</w:t>
            </w:r>
          </w:p>
          <w:p w:rsidR="00F44D01" w:rsidRPr="00C77E77" w:rsidRDefault="00F44D01" w:rsidP="005D13DD">
            <w:pPr>
              <w:pStyle w:val="ab"/>
              <w:widowControl/>
              <w:numPr>
                <w:ilvl w:val="0"/>
                <w:numId w:val="27"/>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東南亞最大銷售及購物平</w:t>
            </w:r>
            <w:r w:rsidR="00FD0D5A" w:rsidRPr="00C77E77">
              <w:rPr>
                <w:rFonts w:ascii="Times New Roman" w:eastAsia="標楷體" w:hAnsi="Times New Roman" w:cs="Times New Roman"/>
                <w:color w:val="000000" w:themeColor="text1"/>
                <w:kern w:val="0"/>
                <w:szCs w:val="24"/>
              </w:rPr>
              <w:t>臺</w:t>
            </w:r>
          </w:p>
          <w:p w:rsidR="00F44D01" w:rsidRPr="00C77E77" w:rsidRDefault="00F44D01" w:rsidP="005D13DD">
            <w:pPr>
              <w:pStyle w:val="ab"/>
              <w:widowControl/>
              <w:numPr>
                <w:ilvl w:val="0"/>
                <w:numId w:val="27"/>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成立僅</w:t>
            </w:r>
            <w:r w:rsidRPr="00C77E77">
              <w:rPr>
                <w:rFonts w:ascii="Times New Roman" w:eastAsia="標楷體" w:hAnsi="Times New Roman" w:cs="Times New Roman"/>
                <w:color w:val="000000" w:themeColor="text1"/>
                <w:kern w:val="0"/>
                <w:szCs w:val="24"/>
              </w:rPr>
              <w:t>3</w:t>
            </w:r>
            <w:r w:rsidRPr="00C77E77">
              <w:rPr>
                <w:rFonts w:ascii="Times New Roman" w:eastAsia="標楷體" w:hAnsi="Times New Roman" w:cs="Times New Roman"/>
                <w:color w:val="000000" w:themeColor="text1"/>
                <w:kern w:val="0"/>
                <w:szCs w:val="24"/>
              </w:rPr>
              <w:t>年成長相當迅速，網站及流動應用程式每日瀏覽人次逾</w:t>
            </w:r>
            <w:r w:rsidRPr="00C77E77">
              <w:rPr>
                <w:rFonts w:ascii="Times New Roman" w:eastAsia="標楷體" w:hAnsi="Times New Roman" w:cs="Times New Roman"/>
                <w:color w:val="000000" w:themeColor="text1"/>
                <w:kern w:val="0"/>
                <w:szCs w:val="24"/>
              </w:rPr>
              <w:t>400</w:t>
            </w:r>
            <w:r w:rsidRPr="00C77E77">
              <w:rPr>
                <w:rFonts w:ascii="Times New Roman" w:eastAsia="標楷體" w:hAnsi="Times New Roman" w:cs="Times New Roman"/>
                <w:color w:val="000000" w:themeColor="text1"/>
                <w:kern w:val="0"/>
                <w:szCs w:val="24"/>
              </w:rPr>
              <w:t>萬，每月個別訪客亦高達</w:t>
            </w:r>
            <w:r w:rsidRPr="00C77E77">
              <w:rPr>
                <w:rFonts w:ascii="Times New Roman" w:eastAsia="標楷體" w:hAnsi="Times New Roman" w:cs="Times New Roman"/>
                <w:color w:val="000000" w:themeColor="text1"/>
                <w:kern w:val="0"/>
                <w:szCs w:val="24"/>
              </w:rPr>
              <w:t>5</w:t>
            </w:r>
            <w:r w:rsidRPr="00C77E77">
              <w:rPr>
                <w:rFonts w:ascii="Times New Roman" w:eastAsia="標楷體" w:hAnsi="Times New Roman" w:cs="Times New Roman"/>
                <w:color w:val="000000" w:themeColor="text1"/>
                <w:kern w:val="0"/>
                <w:szCs w:val="24"/>
              </w:rPr>
              <w:t>千</w:t>
            </w:r>
            <w:r w:rsidRPr="00C77E77">
              <w:rPr>
                <w:rFonts w:ascii="Times New Roman" w:eastAsia="標楷體" w:hAnsi="Times New Roman" w:cs="Times New Roman"/>
                <w:color w:val="000000" w:themeColor="text1"/>
                <w:kern w:val="0"/>
                <w:szCs w:val="24"/>
              </w:rPr>
              <w:t>500</w:t>
            </w:r>
            <w:r w:rsidRPr="00C77E77">
              <w:rPr>
                <w:rFonts w:ascii="Times New Roman" w:eastAsia="標楷體" w:hAnsi="Times New Roman" w:cs="Times New Roman"/>
                <w:color w:val="000000" w:themeColor="text1"/>
                <w:kern w:val="0"/>
                <w:szCs w:val="24"/>
              </w:rPr>
              <w:t>萬。</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印尼、馬來西亞、菲律賓、新加坡、泰國及越南</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生技產業、醫療產業、遙控飛機、手工具產業、消費電子、自行車零配件、汽車零配件、攝影器具、居家用品及電動工具</w:t>
            </w:r>
            <w:r w:rsidRPr="00C77E77">
              <w:rPr>
                <w:rFonts w:ascii="Times New Roman" w:eastAsia="標楷體" w:hAnsi="Times New Roman" w:cs="Times New Roman"/>
                <w:color w:val="000000" w:themeColor="text1"/>
                <w:kern w:val="0"/>
                <w:szCs w:val="24"/>
              </w:rPr>
              <w:t xml:space="preserve"> </w:t>
            </w:r>
            <w:r w:rsidRPr="00C77E77">
              <w:rPr>
                <w:rFonts w:ascii="Times New Roman" w:eastAsia="標楷體" w:hAnsi="Times New Roman" w:cs="Times New Roman"/>
                <w:color w:val="000000" w:themeColor="text1"/>
                <w:kern w:val="0"/>
                <w:szCs w:val="24"/>
              </w:rPr>
              <w:t>等各產業</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 w:val="22"/>
              </w:rPr>
              <w:t> </w:t>
            </w:r>
            <w:hyperlink r:id="rId36" w:history="1">
              <w:r w:rsidRPr="00C77E77">
                <w:rPr>
                  <w:rFonts w:ascii="Times New Roman" w:eastAsia="標楷體" w:hAnsi="Times New Roman" w:cs="Times New Roman"/>
                  <w:color w:val="000000" w:themeColor="text1"/>
                  <w:kern w:val="0"/>
                  <w:sz w:val="22"/>
                </w:rPr>
                <w:t>http://www.lazada.com.ph/</w:t>
              </w:r>
            </w:hyperlink>
          </w:p>
        </w:tc>
      </w:tr>
      <w:tr w:rsidR="00F44D01" w:rsidRPr="00C77E77" w:rsidTr="00C70A64">
        <w:trPr>
          <w:tblCellSpacing w:w="0" w:type="dxa"/>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C70A64">
            <w:pPr>
              <w:widowControl/>
              <w:spacing w:line="0" w:lineRule="atLeast"/>
              <w:jc w:val="center"/>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eBay</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pStyle w:val="ab"/>
              <w:widowControl/>
              <w:numPr>
                <w:ilvl w:val="0"/>
                <w:numId w:val="28"/>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B2C</w:t>
            </w:r>
            <w:r w:rsidRPr="00C77E77">
              <w:rPr>
                <w:rFonts w:ascii="Times New Roman" w:eastAsia="標楷體" w:hAnsi="Times New Roman" w:cs="Times New Roman"/>
                <w:color w:val="000000" w:themeColor="text1"/>
                <w:kern w:val="0"/>
                <w:szCs w:val="24"/>
              </w:rPr>
              <w:t>為主</w:t>
            </w:r>
          </w:p>
          <w:p w:rsidR="00F44D01" w:rsidRPr="00C77E77" w:rsidRDefault="00F44D01" w:rsidP="005D13DD">
            <w:pPr>
              <w:pStyle w:val="ab"/>
              <w:widowControl/>
              <w:numPr>
                <w:ilvl w:val="0"/>
                <w:numId w:val="28"/>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搭配</w:t>
            </w:r>
            <w:r w:rsidRPr="00C77E77">
              <w:rPr>
                <w:rFonts w:ascii="Times New Roman" w:eastAsia="標楷體" w:hAnsi="Times New Roman" w:cs="Times New Roman"/>
                <w:color w:val="000000" w:themeColor="text1"/>
                <w:kern w:val="0"/>
                <w:szCs w:val="24"/>
              </w:rPr>
              <w:t>Paypal</w:t>
            </w:r>
            <w:r w:rsidRPr="00C77E77">
              <w:rPr>
                <w:rFonts w:ascii="Times New Roman" w:eastAsia="標楷體" w:hAnsi="Times New Roman" w:cs="Times New Roman"/>
                <w:color w:val="000000" w:themeColor="text1"/>
                <w:kern w:val="0"/>
                <w:szCs w:val="24"/>
              </w:rPr>
              <w:t>金流</w:t>
            </w:r>
          </w:p>
          <w:p w:rsidR="00F44D01" w:rsidRPr="00C77E77" w:rsidRDefault="00F44D01" w:rsidP="005D13DD">
            <w:pPr>
              <w:pStyle w:val="ab"/>
              <w:widowControl/>
              <w:numPr>
                <w:ilvl w:val="0"/>
                <w:numId w:val="28"/>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lastRenderedPageBreak/>
              <w:t>歐美國家的主流平</w:t>
            </w:r>
            <w:r w:rsidR="00FD0D5A" w:rsidRPr="00C77E77">
              <w:rPr>
                <w:rFonts w:ascii="Times New Roman" w:eastAsia="標楷體" w:hAnsi="Times New Roman" w:cs="Times New Roman"/>
                <w:color w:val="000000" w:themeColor="text1"/>
                <w:kern w:val="0"/>
                <w:szCs w:val="24"/>
              </w:rPr>
              <w:t>臺</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lastRenderedPageBreak/>
              <w:t>美國、澳洲、英國、俄羅</w:t>
            </w:r>
            <w:r w:rsidRPr="00C77E77">
              <w:rPr>
                <w:rFonts w:ascii="Times New Roman" w:eastAsia="標楷體" w:hAnsi="Times New Roman" w:cs="Times New Roman"/>
                <w:color w:val="000000" w:themeColor="text1"/>
                <w:kern w:val="0"/>
                <w:szCs w:val="24"/>
              </w:rPr>
              <w:lastRenderedPageBreak/>
              <w:t>斯、加拿大</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lastRenderedPageBreak/>
              <w:t>服飾（含鞋靴及飾品）、汽車配件、攝</w:t>
            </w:r>
            <w:r w:rsidRPr="00C77E77">
              <w:rPr>
                <w:rFonts w:ascii="Times New Roman" w:eastAsia="標楷體" w:hAnsi="Times New Roman" w:cs="Times New Roman"/>
                <w:color w:val="000000" w:themeColor="text1"/>
                <w:kern w:val="0"/>
                <w:szCs w:val="24"/>
              </w:rPr>
              <w:lastRenderedPageBreak/>
              <w:t>影器材、居家園藝</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F44D01" w:rsidRPr="00C77E77" w:rsidRDefault="00DB4FEF" w:rsidP="005D13DD">
            <w:pPr>
              <w:widowControl/>
              <w:spacing w:line="0" w:lineRule="atLeast"/>
              <w:jc w:val="both"/>
              <w:rPr>
                <w:rFonts w:ascii="Times New Roman" w:eastAsia="標楷體" w:hAnsi="Times New Roman" w:cs="Times New Roman"/>
                <w:color w:val="000000" w:themeColor="text1"/>
                <w:kern w:val="0"/>
                <w:szCs w:val="24"/>
              </w:rPr>
            </w:pPr>
            <w:hyperlink r:id="rId37" w:history="1">
              <w:r w:rsidR="00F44D01" w:rsidRPr="00C77E77">
                <w:rPr>
                  <w:rFonts w:ascii="Times New Roman" w:eastAsia="標楷體" w:hAnsi="Times New Roman" w:cs="Times New Roman"/>
                  <w:color w:val="000000" w:themeColor="text1"/>
                  <w:kern w:val="0"/>
                  <w:sz w:val="22"/>
                </w:rPr>
                <w:t>http://www.ebay.com/</w:t>
              </w:r>
            </w:hyperlink>
          </w:p>
        </w:tc>
      </w:tr>
      <w:tr w:rsidR="00F44D01" w:rsidRPr="00C77E77" w:rsidTr="00C70A64">
        <w:trPr>
          <w:tblCellSpacing w:w="0" w:type="dxa"/>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WeGoLuck</w:t>
            </w:r>
            <w:r w:rsidRPr="00C77E77">
              <w:rPr>
                <w:rFonts w:ascii="Times New Roman" w:eastAsia="標楷體" w:hAnsi="Times New Roman" w:cs="Times New Roman"/>
                <w:color w:val="000000" w:themeColor="text1"/>
                <w:kern w:val="0"/>
                <w:szCs w:val="24"/>
              </w:rPr>
              <w:br/>
            </w:r>
            <w:r w:rsidRPr="00C77E77">
              <w:rPr>
                <w:rFonts w:ascii="Times New Roman" w:eastAsia="標楷體" w:hAnsi="Times New Roman" w:cs="Times New Roman"/>
                <w:color w:val="000000" w:themeColor="text1"/>
                <w:kern w:val="0"/>
                <w:szCs w:val="24"/>
              </w:rPr>
              <w:t>聚豐全球貿聯網</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pStyle w:val="ab"/>
              <w:widowControl/>
              <w:numPr>
                <w:ilvl w:val="0"/>
                <w:numId w:val="29"/>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B2B</w:t>
            </w:r>
            <w:r w:rsidRPr="00C77E77">
              <w:rPr>
                <w:rFonts w:ascii="Times New Roman" w:eastAsia="標楷體" w:hAnsi="Times New Roman" w:cs="Times New Roman"/>
                <w:color w:val="000000" w:themeColor="text1"/>
                <w:kern w:val="0"/>
                <w:szCs w:val="24"/>
              </w:rPr>
              <w:t>為主</w:t>
            </w:r>
          </w:p>
          <w:p w:rsidR="00F44D01" w:rsidRPr="00C77E77" w:rsidRDefault="00F44D01" w:rsidP="005D13DD">
            <w:pPr>
              <w:pStyle w:val="ab"/>
              <w:widowControl/>
              <w:numPr>
                <w:ilvl w:val="0"/>
                <w:numId w:val="29"/>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透過平</w:t>
            </w:r>
            <w:r w:rsidR="00FD0D5A" w:rsidRPr="00C77E77">
              <w:rPr>
                <w:rFonts w:ascii="Times New Roman" w:eastAsia="標楷體" w:hAnsi="Times New Roman" w:cs="Times New Roman"/>
                <w:color w:val="000000" w:themeColor="text1"/>
                <w:kern w:val="0"/>
                <w:szCs w:val="24"/>
              </w:rPr>
              <w:t>臺</w:t>
            </w:r>
            <w:r w:rsidRPr="00C77E77">
              <w:rPr>
                <w:rFonts w:ascii="Times New Roman" w:eastAsia="標楷體" w:hAnsi="Times New Roman" w:cs="Times New Roman"/>
                <w:color w:val="000000" w:themeColor="text1"/>
                <w:kern w:val="0"/>
                <w:szCs w:val="24"/>
              </w:rPr>
              <w:t>操作，不再受制於大盤商、中盤商、小盤商、零售商等層層剝削</w:t>
            </w:r>
          </w:p>
          <w:p w:rsidR="00F44D01" w:rsidRPr="00C77E77" w:rsidRDefault="00F44D01" w:rsidP="005D13DD">
            <w:pPr>
              <w:pStyle w:val="ab"/>
              <w:widowControl/>
              <w:numPr>
                <w:ilvl w:val="0"/>
                <w:numId w:val="29"/>
              </w:numPr>
              <w:spacing w:line="0" w:lineRule="atLeast"/>
              <w:ind w:leftChars="0"/>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全段式物流、金流、資訊流結合，建構一次性完整</w:t>
            </w:r>
            <w:r w:rsidRPr="00C77E77">
              <w:rPr>
                <w:rFonts w:ascii="Times New Roman" w:eastAsia="標楷體" w:hAnsi="Times New Roman" w:cs="Times New Roman"/>
                <w:color w:val="000000" w:themeColor="text1"/>
                <w:kern w:val="0"/>
                <w:szCs w:val="24"/>
              </w:rPr>
              <w:t xml:space="preserve">B2B2C </w:t>
            </w:r>
            <w:r w:rsidRPr="00C77E77">
              <w:rPr>
                <w:rFonts w:ascii="Times New Roman" w:eastAsia="標楷體" w:hAnsi="Times New Roman" w:cs="Times New Roman"/>
                <w:color w:val="000000" w:themeColor="text1"/>
                <w:kern w:val="0"/>
                <w:szCs w:val="24"/>
              </w:rPr>
              <w:t>流程。</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美國為主</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Cs w:val="24"/>
              </w:rPr>
              <w:t>居家用品、庭院用品、兒童</w:t>
            </w:r>
            <w:r w:rsidRPr="00C77E77">
              <w:rPr>
                <w:rFonts w:ascii="Times New Roman" w:eastAsia="標楷體" w:hAnsi="Times New Roman" w:cs="Times New Roman"/>
                <w:color w:val="000000" w:themeColor="text1"/>
                <w:kern w:val="0"/>
                <w:szCs w:val="24"/>
              </w:rPr>
              <w:t>/</w:t>
            </w:r>
            <w:r w:rsidRPr="00C77E77">
              <w:rPr>
                <w:rFonts w:ascii="Times New Roman" w:eastAsia="標楷體" w:hAnsi="Times New Roman" w:cs="Times New Roman"/>
                <w:color w:val="000000" w:themeColor="text1"/>
                <w:kern w:val="0"/>
                <w:szCs w:val="24"/>
              </w:rPr>
              <w:t>嬰兒用品、旅遊、運動用品、寵物用品、汽機車零配件</w:t>
            </w:r>
          </w:p>
        </w:tc>
        <w:tc>
          <w:tcPr>
            <w:tcW w:w="2410" w:type="dxa"/>
            <w:tcBorders>
              <w:top w:val="single" w:sz="4" w:space="0" w:color="auto"/>
              <w:left w:val="single" w:sz="4" w:space="0" w:color="auto"/>
              <w:bottom w:val="single" w:sz="4" w:space="0" w:color="auto"/>
              <w:right w:val="single" w:sz="4" w:space="0" w:color="auto"/>
            </w:tcBorders>
            <w:shd w:val="clear" w:color="auto" w:fill="FFFFFF"/>
            <w:vAlign w:val="center"/>
          </w:tcPr>
          <w:p w:rsidR="00F44D01" w:rsidRPr="00C77E77" w:rsidRDefault="00F44D01" w:rsidP="005D13DD">
            <w:pPr>
              <w:widowControl/>
              <w:spacing w:line="0" w:lineRule="atLeast"/>
              <w:jc w:val="both"/>
              <w:rPr>
                <w:rFonts w:ascii="Times New Roman" w:eastAsia="標楷體" w:hAnsi="Times New Roman" w:cs="Times New Roman"/>
                <w:color w:val="000000" w:themeColor="text1"/>
                <w:kern w:val="0"/>
                <w:szCs w:val="24"/>
              </w:rPr>
            </w:pPr>
            <w:r w:rsidRPr="00C77E77">
              <w:rPr>
                <w:rFonts w:ascii="Times New Roman" w:eastAsia="標楷體" w:hAnsi="Times New Roman" w:cs="Times New Roman"/>
                <w:color w:val="000000" w:themeColor="text1"/>
                <w:kern w:val="0"/>
                <w:sz w:val="22"/>
              </w:rPr>
              <w:t> </w:t>
            </w:r>
            <w:hyperlink r:id="rId38" w:history="1">
              <w:r w:rsidRPr="00C77E77">
                <w:rPr>
                  <w:rFonts w:ascii="Times New Roman" w:eastAsia="標楷體" w:hAnsi="Times New Roman" w:cs="Times New Roman"/>
                  <w:color w:val="000000" w:themeColor="text1"/>
                  <w:kern w:val="0"/>
                  <w:sz w:val="22"/>
                </w:rPr>
                <w:t>https://www.wegoluck.com</w:t>
              </w:r>
            </w:hyperlink>
          </w:p>
        </w:tc>
      </w:tr>
      <w:tr w:rsidR="004F4E36" w:rsidRPr="00C77E77" w:rsidTr="00F06B95">
        <w:trPr>
          <w:tblCellSpacing w:w="0" w:type="dxa"/>
          <w:jc w:val="center"/>
        </w:trPr>
        <w:tc>
          <w:tcPr>
            <w:tcW w:w="10915" w:type="dxa"/>
            <w:gridSpan w:val="5"/>
            <w:shd w:val="clear" w:color="auto" w:fill="FFFFFF"/>
            <w:vAlign w:val="center"/>
          </w:tcPr>
          <w:p w:rsidR="004F4E36" w:rsidRPr="00C77E77" w:rsidRDefault="004F4E36" w:rsidP="009551A7">
            <w:pPr>
              <w:widowControl/>
              <w:spacing w:line="0" w:lineRule="atLeast"/>
              <w:ind w:left="1133" w:hangingChars="515" w:hanging="1133"/>
              <w:rPr>
                <w:rFonts w:ascii="Times New Roman" w:eastAsia="標楷體" w:hAnsi="Times New Roman" w:cs="Times New Roman"/>
                <w:kern w:val="0"/>
                <w:sz w:val="22"/>
              </w:rPr>
            </w:pPr>
            <w:r w:rsidRPr="00C77E77">
              <w:rPr>
                <w:rFonts w:ascii="Times New Roman" w:eastAsia="標楷體" w:hAnsi="Times New Roman" w:cs="Times New Roman"/>
                <w:kern w:val="0"/>
                <w:sz w:val="22"/>
              </w:rPr>
              <w:t>資料來源：</w:t>
            </w:r>
            <w:r w:rsidR="00F06B95" w:rsidRPr="00C77E77">
              <w:rPr>
                <w:rFonts w:ascii="Times New Roman" w:eastAsia="標楷體" w:hAnsi="Times New Roman" w:cs="Times New Roman"/>
                <w:kern w:val="0"/>
                <w:sz w:val="22"/>
              </w:rPr>
              <w:t>新北全球商貿網，</w:t>
            </w:r>
            <w:r w:rsidR="00F06B95" w:rsidRPr="00C77E77">
              <w:rPr>
                <w:rFonts w:ascii="Times New Roman" w:eastAsia="標楷體" w:hAnsi="Times New Roman" w:cs="Times New Roman"/>
                <w:kern w:val="0"/>
                <w:sz w:val="22"/>
              </w:rPr>
              <w:t>2015</w:t>
            </w:r>
            <w:r w:rsidR="00F06B95" w:rsidRPr="00C77E77">
              <w:rPr>
                <w:rFonts w:ascii="Times New Roman" w:eastAsia="標楷體" w:hAnsi="Times New Roman" w:cs="Times New Roman"/>
                <w:kern w:val="0"/>
                <w:sz w:val="22"/>
              </w:rPr>
              <w:t>年，〈新北跨境電子商務</w:t>
            </w:r>
            <w:r w:rsidR="00F06B95" w:rsidRPr="00C77E77">
              <w:rPr>
                <w:rFonts w:ascii="Times New Roman" w:eastAsia="標楷體" w:hAnsi="Times New Roman" w:cs="Times New Roman"/>
                <w:kern w:val="0"/>
                <w:sz w:val="22"/>
              </w:rPr>
              <w:t>B2B</w:t>
            </w:r>
            <w:r w:rsidR="00F06B95" w:rsidRPr="00C77E77">
              <w:rPr>
                <w:rFonts w:ascii="Times New Roman" w:eastAsia="標楷體" w:hAnsi="Times New Roman" w:cs="Times New Roman"/>
                <w:kern w:val="0"/>
                <w:sz w:val="22"/>
              </w:rPr>
              <w:t>媒合洽談會〉，</w:t>
            </w:r>
            <w:r w:rsidR="00F06B95" w:rsidRPr="00C77E77">
              <w:rPr>
                <w:rFonts w:ascii="Times New Roman" w:eastAsia="標楷體" w:hAnsi="Times New Roman" w:cs="Times New Roman"/>
                <w:kern w:val="0"/>
                <w:sz w:val="22"/>
              </w:rPr>
              <w:t>8</w:t>
            </w:r>
            <w:r w:rsidR="00F06B95" w:rsidRPr="00C77E77">
              <w:rPr>
                <w:rFonts w:ascii="Times New Roman" w:eastAsia="標楷體" w:hAnsi="Times New Roman" w:cs="Times New Roman"/>
                <w:kern w:val="0"/>
                <w:sz w:val="22"/>
              </w:rPr>
              <w:t>月</w:t>
            </w:r>
            <w:r w:rsidR="00F06B95" w:rsidRPr="00C77E77">
              <w:rPr>
                <w:rFonts w:ascii="Times New Roman" w:eastAsia="標楷體" w:hAnsi="Times New Roman" w:cs="Times New Roman"/>
                <w:kern w:val="0"/>
                <w:sz w:val="22"/>
              </w:rPr>
              <w:t>25</w:t>
            </w:r>
            <w:r w:rsidR="00F06B95" w:rsidRPr="00C77E77">
              <w:rPr>
                <w:rFonts w:ascii="Times New Roman" w:eastAsia="標楷體" w:hAnsi="Times New Roman" w:cs="Times New Roman"/>
                <w:kern w:val="0"/>
                <w:sz w:val="22"/>
              </w:rPr>
              <w:t>日。</w:t>
            </w:r>
            <w:hyperlink r:id="rId39" w:history="1">
              <w:r w:rsidR="00F06B95" w:rsidRPr="00C77E77">
                <w:rPr>
                  <w:rStyle w:val="aa"/>
                  <w:rFonts w:ascii="Times New Roman" w:eastAsia="標楷體" w:hAnsi="Times New Roman" w:cs="Times New Roman"/>
                  <w:color w:val="auto"/>
                  <w:kern w:val="0"/>
                  <w:sz w:val="22"/>
                  <w:u w:val="none"/>
                </w:rPr>
                <w:t>http://www.careernet.org.tw/n/Class-8480.html</w:t>
              </w:r>
            </w:hyperlink>
            <w:r w:rsidR="00F06B95" w:rsidRPr="00C77E77">
              <w:rPr>
                <w:rFonts w:ascii="Times New Roman" w:eastAsia="標楷體" w:hAnsi="Times New Roman" w:cs="Times New Roman"/>
                <w:kern w:val="0"/>
                <w:sz w:val="22"/>
              </w:rPr>
              <w:t xml:space="preserve"> </w:t>
            </w:r>
          </w:p>
        </w:tc>
      </w:tr>
    </w:tbl>
    <w:p w:rsidR="00F44D01" w:rsidRPr="00C77E77" w:rsidRDefault="00F44D01" w:rsidP="00F44D01">
      <w:pPr>
        <w:widowControl/>
        <w:shd w:val="clear" w:color="auto" w:fill="FFFFFF"/>
        <w:spacing w:beforeLines="50" w:before="180" w:afterLines="50" w:after="180" w:line="500" w:lineRule="exact"/>
        <w:ind w:firstLine="480"/>
        <w:jc w:val="both"/>
        <w:rPr>
          <w:rFonts w:ascii="Times New Roman" w:eastAsia="標楷體" w:hAnsi="Times New Roman" w:cs="Times New Roman"/>
          <w:color w:val="000000" w:themeColor="text1"/>
          <w:kern w:val="0"/>
          <w:sz w:val="28"/>
          <w:szCs w:val="28"/>
        </w:rPr>
      </w:pPr>
    </w:p>
    <w:p w:rsidR="00F44D01" w:rsidRPr="00C77E77" w:rsidRDefault="00F44D01" w:rsidP="00F44D01">
      <w:pPr>
        <w:widowControl/>
        <w:shd w:val="clear" w:color="auto" w:fill="FFFFFF"/>
        <w:spacing w:beforeLines="50" w:before="180" w:afterLines="50" w:after="180" w:line="500" w:lineRule="exact"/>
        <w:ind w:firstLine="482"/>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kern w:val="0"/>
          <w:sz w:val="28"/>
          <w:szCs w:val="28"/>
        </w:rPr>
        <w:t>其中，臺灣經貿網自</w:t>
      </w:r>
      <w:r w:rsidRPr="00C77E77">
        <w:rPr>
          <w:rFonts w:ascii="Times New Roman" w:eastAsia="標楷體" w:hAnsi="Times New Roman" w:cs="Times New Roman"/>
          <w:color w:val="000000" w:themeColor="text1"/>
          <w:kern w:val="0"/>
          <w:sz w:val="28"/>
          <w:szCs w:val="28"/>
        </w:rPr>
        <w:t>2002</w:t>
      </w:r>
      <w:r w:rsidRPr="00C77E77">
        <w:rPr>
          <w:rFonts w:ascii="Times New Roman" w:eastAsia="標楷體" w:hAnsi="Times New Roman" w:cs="Times New Roman"/>
          <w:color w:val="000000" w:themeColor="text1"/>
          <w:kern w:val="0"/>
          <w:sz w:val="28"/>
          <w:szCs w:val="28"/>
        </w:rPr>
        <w:t>年開始營運以來，已成為臺灣廠商</w:t>
      </w:r>
      <w:r w:rsidRPr="00C77E77">
        <w:rPr>
          <w:rFonts w:ascii="Times New Roman" w:eastAsia="標楷體" w:hAnsi="Times New Roman" w:cs="Times New Roman"/>
          <w:color w:val="000000" w:themeColor="text1"/>
          <w:kern w:val="0"/>
          <w:sz w:val="28"/>
          <w:szCs w:val="28"/>
        </w:rPr>
        <w:t>B2B</w:t>
      </w:r>
      <w:r w:rsidRPr="00C77E77">
        <w:rPr>
          <w:rFonts w:ascii="Times New Roman" w:eastAsia="標楷體" w:hAnsi="Times New Roman" w:cs="Times New Roman"/>
          <w:color w:val="000000" w:themeColor="text1"/>
          <w:kern w:val="0"/>
          <w:sz w:val="28"/>
          <w:szCs w:val="28"/>
        </w:rPr>
        <w:t>跨境電商平</w:t>
      </w:r>
      <w:r w:rsidR="00FD0D5A" w:rsidRPr="00C77E77">
        <w:rPr>
          <w:rFonts w:ascii="Times New Roman" w:eastAsia="標楷體" w:hAnsi="Times New Roman" w:cs="Times New Roman"/>
          <w:color w:val="000000" w:themeColor="text1"/>
          <w:kern w:val="0"/>
          <w:sz w:val="28"/>
          <w:szCs w:val="28"/>
        </w:rPr>
        <w:t>臺</w:t>
      </w:r>
      <w:r w:rsidRPr="00C77E77">
        <w:rPr>
          <w:rFonts w:ascii="Times New Roman" w:eastAsia="標楷體" w:hAnsi="Times New Roman" w:cs="Times New Roman"/>
          <w:color w:val="000000" w:themeColor="text1"/>
          <w:kern w:val="0"/>
          <w:sz w:val="28"/>
          <w:szCs w:val="28"/>
        </w:rPr>
        <w:t>首選，每年皆投入許多資源於實體及數位行銷。有鑒於數位行銷為</w:t>
      </w:r>
      <w:r w:rsidRPr="00C77E77">
        <w:rPr>
          <w:rFonts w:ascii="Times New Roman" w:eastAsia="標楷體" w:hAnsi="Times New Roman" w:cs="Times New Roman"/>
          <w:color w:val="000000" w:themeColor="text1"/>
          <w:kern w:val="0"/>
          <w:sz w:val="28"/>
          <w:szCs w:val="28"/>
        </w:rPr>
        <w:t>B2B</w:t>
      </w:r>
      <w:r w:rsidRPr="00C77E77">
        <w:rPr>
          <w:rFonts w:ascii="Times New Roman" w:eastAsia="標楷體" w:hAnsi="Times New Roman" w:cs="Times New Roman"/>
          <w:color w:val="000000" w:themeColor="text1"/>
          <w:kern w:val="0"/>
          <w:sz w:val="28"/>
          <w:szCs w:val="28"/>
        </w:rPr>
        <w:t>跨境平</w:t>
      </w:r>
      <w:r w:rsidR="00FD0D5A" w:rsidRPr="00C77E77">
        <w:rPr>
          <w:rFonts w:ascii="Times New Roman" w:eastAsia="標楷體" w:hAnsi="Times New Roman" w:cs="Times New Roman"/>
          <w:color w:val="000000" w:themeColor="text1"/>
          <w:kern w:val="0"/>
          <w:sz w:val="28"/>
          <w:szCs w:val="28"/>
        </w:rPr>
        <w:t>臺</w:t>
      </w:r>
      <w:r w:rsidRPr="00C77E77">
        <w:rPr>
          <w:rFonts w:ascii="Times New Roman" w:eastAsia="標楷體" w:hAnsi="Times New Roman" w:cs="Times New Roman"/>
          <w:color w:val="000000" w:themeColor="text1"/>
          <w:kern w:val="0"/>
          <w:sz w:val="28"/>
          <w:szCs w:val="28"/>
        </w:rPr>
        <w:t>需特別加強的行銷管道，</w:t>
      </w:r>
      <w:r w:rsidRPr="00C77E77">
        <w:rPr>
          <w:rFonts w:ascii="Times New Roman" w:eastAsia="標楷體" w:hAnsi="Times New Roman" w:cs="Times New Roman"/>
          <w:color w:val="000000" w:themeColor="text1"/>
          <w:kern w:val="0"/>
          <w:sz w:val="28"/>
          <w:szCs w:val="28"/>
        </w:rPr>
        <w:t>2016</w:t>
      </w:r>
      <w:r w:rsidRPr="00C77E77">
        <w:rPr>
          <w:rFonts w:ascii="Times New Roman" w:eastAsia="標楷體" w:hAnsi="Times New Roman" w:cs="Times New Roman"/>
          <w:color w:val="000000" w:themeColor="text1"/>
          <w:kern w:val="0"/>
          <w:sz w:val="28"/>
          <w:szCs w:val="28"/>
        </w:rPr>
        <w:t>年臺灣經貿網加碼規畫為期</w:t>
      </w:r>
      <w:r w:rsidRPr="00C77E77">
        <w:rPr>
          <w:rFonts w:ascii="Times New Roman" w:eastAsia="標楷體" w:hAnsi="Times New Roman" w:cs="Times New Roman"/>
          <w:color w:val="000000" w:themeColor="text1"/>
          <w:kern w:val="0"/>
          <w:sz w:val="28"/>
          <w:szCs w:val="28"/>
        </w:rPr>
        <w:t>3</w:t>
      </w:r>
      <w:r w:rsidRPr="00C77E77">
        <w:rPr>
          <w:rFonts w:ascii="Times New Roman" w:eastAsia="標楷體" w:hAnsi="Times New Roman" w:cs="Times New Roman"/>
          <w:color w:val="000000" w:themeColor="text1"/>
          <w:kern w:val="0"/>
          <w:sz w:val="28"/>
          <w:szCs w:val="28"/>
        </w:rPr>
        <w:t>年的加強數位行銷推廣計畫，包括</w:t>
      </w:r>
      <w:r w:rsidRPr="00C77E77">
        <w:rPr>
          <w:rFonts w:ascii="Times New Roman" w:eastAsia="標楷體" w:hAnsi="Times New Roman" w:cs="Times New Roman"/>
          <w:color w:val="000000" w:themeColor="text1"/>
          <w:kern w:val="0"/>
          <w:sz w:val="28"/>
          <w:szCs w:val="28"/>
        </w:rPr>
        <w:t>4</w:t>
      </w:r>
      <w:r w:rsidRPr="00C77E77">
        <w:rPr>
          <w:rFonts w:ascii="Times New Roman" w:eastAsia="標楷體" w:hAnsi="Times New Roman" w:cs="Times New Roman"/>
          <w:color w:val="000000" w:themeColor="text1"/>
          <w:kern w:val="0"/>
          <w:sz w:val="28"/>
          <w:szCs w:val="28"/>
        </w:rPr>
        <w:t>大策略：「數位廣告多元化」、「搜尋引擎行銷」、「強化在地語系內容」及「數位內容提升」，運用關鍵字廣告、搜尋引擎優化及強化內容行銷等作法提升網站整體流量及會員質量。除了協助廠商運用本網拓銷</w:t>
      </w:r>
      <w:r w:rsidRPr="00C77E77">
        <w:rPr>
          <w:rFonts w:ascii="Times New Roman" w:eastAsia="標楷體" w:hAnsi="Times New Roman" w:cs="Times New Roman"/>
          <w:color w:val="000000" w:themeColor="text1"/>
          <w:kern w:val="0"/>
          <w:sz w:val="28"/>
          <w:szCs w:val="28"/>
        </w:rPr>
        <w:t>B2B</w:t>
      </w:r>
      <w:r w:rsidRPr="00C77E77">
        <w:rPr>
          <w:rFonts w:ascii="Times New Roman" w:eastAsia="標楷體" w:hAnsi="Times New Roman" w:cs="Times New Roman"/>
          <w:color w:val="000000" w:themeColor="text1"/>
          <w:kern w:val="0"/>
          <w:sz w:val="28"/>
          <w:szCs w:val="28"/>
        </w:rPr>
        <w:t>市場，對於有意拓展</w:t>
      </w:r>
      <w:r w:rsidRPr="00C77E77">
        <w:rPr>
          <w:rFonts w:ascii="Times New Roman" w:eastAsia="標楷體" w:hAnsi="Times New Roman" w:cs="Times New Roman"/>
          <w:color w:val="000000" w:themeColor="text1"/>
          <w:kern w:val="0"/>
          <w:sz w:val="28"/>
          <w:szCs w:val="28"/>
        </w:rPr>
        <w:t>B2C</w:t>
      </w:r>
      <w:r w:rsidRPr="00C77E77">
        <w:rPr>
          <w:rFonts w:ascii="Times New Roman" w:eastAsia="標楷體" w:hAnsi="Times New Roman" w:cs="Times New Roman"/>
          <w:color w:val="000000" w:themeColor="text1"/>
          <w:kern w:val="0"/>
          <w:sz w:val="28"/>
          <w:szCs w:val="28"/>
        </w:rPr>
        <w:t>營運版圖的會員，臺灣經貿網還推出「客製化出口服務」，輔導廠商運用「線上開店培訓計畫」至跨境電商平</w:t>
      </w:r>
      <w:r w:rsidR="00FD0D5A" w:rsidRPr="00C77E77">
        <w:rPr>
          <w:rFonts w:ascii="Times New Roman" w:eastAsia="標楷體" w:hAnsi="Times New Roman" w:cs="Times New Roman"/>
          <w:color w:val="000000" w:themeColor="text1"/>
          <w:kern w:val="0"/>
          <w:sz w:val="28"/>
          <w:szCs w:val="28"/>
        </w:rPr>
        <w:t>臺</w:t>
      </w:r>
      <w:r w:rsidRPr="00C77E77">
        <w:rPr>
          <w:rFonts w:ascii="Times New Roman" w:eastAsia="標楷體" w:hAnsi="Times New Roman" w:cs="Times New Roman"/>
          <w:color w:val="000000" w:themeColor="text1"/>
          <w:kern w:val="0"/>
          <w:sz w:val="28"/>
          <w:szCs w:val="28"/>
        </w:rPr>
        <w:t>開店，並協助廠商利用「第三方代營運服務」將商品上架至全球電商平</w:t>
      </w:r>
      <w:r w:rsidR="00FD0D5A" w:rsidRPr="00C77E77">
        <w:rPr>
          <w:rFonts w:ascii="Times New Roman" w:eastAsia="標楷體" w:hAnsi="Times New Roman" w:cs="Times New Roman"/>
          <w:color w:val="000000" w:themeColor="text1"/>
          <w:kern w:val="0"/>
          <w:sz w:val="28"/>
          <w:szCs w:val="28"/>
        </w:rPr>
        <w:t>臺</w:t>
      </w:r>
      <w:r w:rsidRPr="00C77E77">
        <w:rPr>
          <w:rFonts w:ascii="Times New Roman" w:eastAsia="標楷體" w:hAnsi="Times New Roman" w:cs="Times New Roman"/>
          <w:color w:val="000000" w:themeColor="text1"/>
          <w:kern w:val="0"/>
          <w:sz w:val="28"/>
          <w:szCs w:val="28"/>
        </w:rPr>
        <w:t>，拓展跨境銷售新通路。新版的臺灣經貿網站進一步導入雲端運算架構，提升網站的速度及穩定度。此外，臺灣經貿網與線上翻譯服務業者「雲翻譯」合作，提供廠商以優惠價格將英語翻譯為</w:t>
      </w:r>
      <w:r w:rsidRPr="00C77E77">
        <w:rPr>
          <w:rFonts w:ascii="Times New Roman" w:eastAsia="標楷體" w:hAnsi="Times New Roman" w:cs="Times New Roman"/>
          <w:color w:val="000000" w:themeColor="text1"/>
          <w:kern w:val="0"/>
          <w:sz w:val="28"/>
          <w:szCs w:val="28"/>
        </w:rPr>
        <w:t>36</w:t>
      </w:r>
      <w:r w:rsidRPr="00C77E77">
        <w:rPr>
          <w:rFonts w:ascii="Times New Roman" w:eastAsia="標楷體" w:hAnsi="Times New Roman" w:cs="Times New Roman"/>
          <w:color w:val="000000" w:themeColor="text1"/>
          <w:kern w:val="0"/>
          <w:sz w:val="28"/>
          <w:szCs w:val="28"/>
        </w:rPr>
        <w:t>國外語之服務。</w:t>
      </w:r>
      <w:r w:rsidRPr="00C77E77">
        <w:rPr>
          <w:rStyle w:val="a9"/>
          <w:rFonts w:ascii="Times New Roman" w:eastAsia="標楷體" w:hAnsi="Times New Roman" w:cs="Times New Roman"/>
          <w:color w:val="000000" w:themeColor="text1"/>
          <w:kern w:val="0"/>
          <w:sz w:val="28"/>
          <w:szCs w:val="28"/>
        </w:rPr>
        <w:footnoteReference w:id="51"/>
      </w:r>
    </w:p>
    <w:p w:rsidR="00A46051" w:rsidRPr="00C77E77" w:rsidRDefault="00DB2F3E" w:rsidP="00F44D01">
      <w:pPr>
        <w:pStyle w:val="ab"/>
        <w:spacing w:beforeLines="50" w:before="180" w:afterLines="50" w:after="180" w:line="500" w:lineRule="exact"/>
        <w:ind w:leftChars="0" w:left="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w:t>
      </w:r>
      <w:r w:rsidR="00A46051" w:rsidRPr="00C77E77">
        <w:rPr>
          <w:rFonts w:ascii="Times New Roman" w:eastAsia="標楷體" w:hAnsi="Times New Roman" w:cs="Times New Roman"/>
          <w:sz w:val="28"/>
          <w:szCs w:val="28"/>
        </w:rPr>
        <w:t>政府</w:t>
      </w:r>
      <w:r w:rsidRPr="00C77E77">
        <w:rPr>
          <w:rFonts w:ascii="Times New Roman" w:eastAsia="標楷體" w:hAnsi="Times New Roman" w:cs="Times New Roman"/>
          <w:sz w:val="28"/>
          <w:szCs w:val="28"/>
        </w:rPr>
        <w:t>也已研擬「電子商務發展綱領」，架構我國至</w:t>
      </w:r>
      <w:r w:rsidRPr="00C77E77">
        <w:rPr>
          <w:rFonts w:ascii="Times New Roman" w:eastAsia="標楷體" w:hAnsi="Times New Roman" w:cs="Times New Roman"/>
          <w:sz w:val="28"/>
          <w:szCs w:val="28"/>
        </w:rPr>
        <w:t xml:space="preserve">2020 </w:t>
      </w:r>
      <w:r w:rsidRPr="00C77E77">
        <w:rPr>
          <w:rFonts w:ascii="Times New Roman" w:eastAsia="標楷體" w:hAnsi="Times New Roman" w:cs="Times New Roman"/>
          <w:sz w:val="28"/>
          <w:szCs w:val="28"/>
        </w:rPr>
        <w:t>年中長期電子商務產業發展策略方向。同時以「聯合艦隊」的方式輔導電商業者前進東協，推動「輔導電商建立東協跨境營運生態體系計畫」，由已在泰國紮根的</w:t>
      </w:r>
      <w:r w:rsidRPr="00C77E77">
        <w:rPr>
          <w:rFonts w:ascii="Times New Roman" w:eastAsia="標楷體" w:hAnsi="Times New Roman" w:cs="Times New Roman"/>
          <w:sz w:val="28"/>
          <w:szCs w:val="28"/>
        </w:rPr>
        <w:t>PChome</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MoMo</w:t>
      </w:r>
      <w:r w:rsidRPr="00C77E77">
        <w:rPr>
          <w:rFonts w:ascii="Times New Roman" w:eastAsia="標楷體" w:hAnsi="Times New Roman" w:cs="Times New Roman"/>
          <w:sz w:val="28"/>
          <w:szCs w:val="28"/>
        </w:rPr>
        <w:t>以及在星馬印尼開站的</w:t>
      </w:r>
      <w:r w:rsidRPr="00C77E77">
        <w:rPr>
          <w:rFonts w:ascii="Times New Roman" w:eastAsia="標楷體" w:hAnsi="Times New Roman" w:cs="Times New Roman"/>
          <w:sz w:val="28"/>
          <w:szCs w:val="28"/>
        </w:rPr>
        <w:t>ASAP</w:t>
      </w:r>
      <w:r w:rsidRPr="00C77E77">
        <w:rPr>
          <w:rFonts w:ascii="Times New Roman" w:eastAsia="標楷體" w:hAnsi="Times New Roman" w:cs="Times New Roman"/>
          <w:sz w:val="28"/>
          <w:szCs w:val="28"/>
        </w:rPr>
        <w:t>等</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家</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灣指標性電商平臺，以及另外</w:t>
      </w:r>
      <w:r w:rsidRPr="00C77E77">
        <w:rPr>
          <w:rFonts w:ascii="Times New Roman" w:eastAsia="標楷體" w:hAnsi="Times New Roman" w:cs="Times New Roman"/>
          <w:sz w:val="28"/>
          <w:szCs w:val="28"/>
        </w:rPr>
        <w:t>200</w:t>
      </w:r>
      <w:r w:rsidRPr="00C77E77">
        <w:rPr>
          <w:rFonts w:ascii="Times New Roman" w:eastAsia="標楷體" w:hAnsi="Times New Roman" w:cs="Times New Roman"/>
          <w:sz w:val="28"/>
          <w:szCs w:val="28"/>
        </w:rPr>
        <w:t>家品牌業者、千項商品上架，合作進攻東協</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億人口的市場。</w:t>
      </w:r>
      <w:r w:rsidRPr="00C77E77">
        <w:rPr>
          <w:rStyle w:val="a9"/>
          <w:rFonts w:ascii="Times New Roman" w:eastAsia="標楷體" w:hAnsi="Times New Roman" w:cs="Times New Roman"/>
          <w:sz w:val="28"/>
          <w:szCs w:val="28"/>
        </w:rPr>
        <w:lastRenderedPageBreak/>
        <w:footnoteReference w:id="52"/>
      </w:r>
      <w:r w:rsidRPr="00C77E77">
        <w:rPr>
          <w:rFonts w:ascii="Times New Roman" w:eastAsia="標楷體" w:hAnsi="Times New Roman" w:cs="Times New Roman"/>
          <w:sz w:val="28"/>
          <w:szCs w:val="28"/>
        </w:rPr>
        <w:t>以</w:t>
      </w:r>
      <w:r w:rsidR="00A46051" w:rsidRPr="00C77E77">
        <w:rPr>
          <w:rFonts w:ascii="Times New Roman" w:eastAsia="標楷體" w:hAnsi="Times New Roman" w:cs="Times New Roman"/>
          <w:sz w:val="28"/>
          <w:szCs w:val="28"/>
        </w:rPr>
        <w:t>提升我國電子商務產業競爭力，促進跨領域科技化創新應用，引領我國電子商務產業邁向國際化。</w:t>
      </w:r>
    </w:p>
    <w:p w:rsidR="00F44D01" w:rsidRPr="00C77E77" w:rsidRDefault="00F44D01" w:rsidP="00F44D01">
      <w:pPr>
        <w:pStyle w:val="ab"/>
        <w:spacing w:beforeLines="50" w:before="180" w:afterLines="50" w:after="180" w:line="500" w:lineRule="exact"/>
        <w:ind w:leftChars="0" w:left="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然而，我國電子商務產業現況的劣勢在於，相較於中國</w:t>
      </w:r>
      <w:r w:rsidRPr="00C77E77">
        <w:rPr>
          <w:rFonts w:ascii="Times New Roman" w:eastAsia="標楷體" w:hAnsi="Times New Roman" w:cs="Times New Roman"/>
          <w:sz w:val="28"/>
          <w:szCs w:val="28"/>
        </w:rPr>
        <w:t>1111</w:t>
      </w:r>
      <w:r w:rsidRPr="00C77E77">
        <w:rPr>
          <w:rFonts w:ascii="Times New Roman" w:eastAsia="標楷體" w:hAnsi="Times New Roman" w:cs="Times New Roman"/>
          <w:sz w:val="28"/>
          <w:szCs w:val="28"/>
        </w:rPr>
        <w:t>購物節與美國黑色星期五購物節等「跨境電商」成為品牌主營運的核心目標，臺灣中小企業幾乎沒有聽到類似的促銷活動。過去臺灣中小企業在經濟發展中扮演關鍵性的角色，從</w:t>
      </w:r>
      <w:r w:rsidRPr="00C77E77">
        <w:rPr>
          <w:rFonts w:ascii="Times New Roman" w:eastAsia="標楷體" w:hAnsi="Times New Roman" w:cs="Times New Roman"/>
          <w:sz w:val="28"/>
          <w:szCs w:val="28"/>
        </w:rPr>
        <w:t>1950</w:t>
      </w:r>
      <w:r w:rsidRPr="00C77E77">
        <w:rPr>
          <w:rFonts w:ascii="Times New Roman" w:eastAsia="標楷體" w:hAnsi="Times New Roman" w:cs="Times New Roman"/>
          <w:sz w:val="28"/>
          <w:szCs w:val="28"/>
        </w:rPr>
        <w:t>年代的加工出口、電子代工；但是商業模式日新月異，</w:t>
      </w:r>
      <w:r w:rsidRPr="00C77E77">
        <w:rPr>
          <w:rFonts w:ascii="Times New Roman" w:eastAsia="標楷體" w:hAnsi="Times New Roman" w:cs="Times New Roman"/>
          <w:sz w:val="28"/>
          <w:szCs w:val="28"/>
        </w:rPr>
        <w:t>B2B</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B2C</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C2C</w:t>
      </w:r>
      <w:r w:rsidRPr="00C77E77">
        <w:rPr>
          <w:rFonts w:ascii="Times New Roman" w:eastAsia="標楷體" w:hAnsi="Times New Roman" w:cs="Times New Roman"/>
          <w:sz w:val="28"/>
          <w:szCs w:val="28"/>
        </w:rPr>
        <w:t>的商業模式進入成熟時期，大陸的「天貓」正與中國十家家電企業合作，針對特定客戶生產「小量多樣」的客製化家電。除此之外，跨國界、跨產業、跨領域的共享經濟</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w:t>
      </w:r>
      <w:r w:rsidR="00D039C1" w:rsidRPr="00C77E77">
        <w:rPr>
          <w:rFonts w:ascii="Times New Roman" w:eastAsia="標楷體" w:hAnsi="Times New Roman" w:cs="Times New Roman"/>
          <w:sz w:val="28"/>
          <w:szCs w:val="28"/>
        </w:rPr>
        <w:t>sharing economy</w:t>
      </w:r>
      <w:r w:rsidRPr="00C77E77">
        <w:rPr>
          <w:rFonts w:ascii="Times New Roman" w:eastAsia="標楷體" w:hAnsi="Times New Roman" w:cs="Times New Roman"/>
          <w:sz w:val="28"/>
          <w:szCs w:val="28"/>
        </w:rPr>
        <w:t>）</w:t>
      </w:r>
      <w:r w:rsidR="00D039C1" w:rsidRPr="00C77E77">
        <w:rPr>
          <w:rFonts w:ascii="Times New Roman" w:eastAsia="標楷體" w:hAnsi="Times New Roman" w:cs="Times New Roman"/>
          <w:sz w:val="28"/>
          <w:szCs w:val="28"/>
        </w:rPr>
        <w:t>也儼然成為未來不可忽視</w:t>
      </w:r>
      <w:r w:rsidRPr="00C77E77">
        <w:rPr>
          <w:rFonts w:ascii="Times New Roman" w:eastAsia="標楷體" w:hAnsi="Times New Roman" w:cs="Times New Roman"/>
          <w:sz w:val="28"/>
          <w:szCs w:val="28"/>
        </w:rPr>
        <w:t>的新趨勢。</w:t>
      </w:r>
    </w:p>
    <w:p w:rsidR="00A46051" w:rsidRPr="00C77E77" w:rsidRDefault="00F44D01" w:rsidP="00A46051">
      <w:pPr>
        <w:pStyle w:val="ab"/>
        <w:spacing w:beforeLines="50" w:before="180" w:afterLines="50" w:after="18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臺灣本土市場小、人口紅利有限，但對於能突破單一本土市場侷限的電子商務、跨境電商生意，臺灣多數企業</w:t>
      </w:r>
      <w:r w:rsidR="00A46051" w:rsidRPr="00C77E77">
        <w:rPr>
          <w:rFonts w:ascii="Times New Roman" w:eastAsia="標楷體" w:hAnsi="Times New Roman" w:cs="Times New Roman"/>
          <w:sz w:val="28"/>
          <w:szCs w:val="28"/>
        </w:rPr>
        <w:t>才正開始摸索。臺灣中小企業除了面臨「缺水、缺電、缺土地、缺勞工」</w:t>
      </w:r>
      <w:r w:rsidRPr="00C77E77">
        <w:rPr>
          <w:rFonts w:ascii="Times New Roman" w:eastAsia="標楷體" w:hAnsi="Times New Roman" w:cs="Times New Roman"/>
          <w:sz w:val="28"/>
          <w:szCs w:val="28"/>
        </w:rPr>
        <w:t>的問題，加上融資管道多集</w:t>
      </w:r>
      <w:r w:rsidR="00D039C1" w:rsidRPr="00C77E77">
        <w:rPr>
          <w:rFonts w:ascii="Times New Roman" w:eastAsia="標楷體" w:hAnsi="Times New Roman" w:cs="Times New Roman"/>
          <w:sz w:val="28"/>
          <w:szCs w:val="28"/>
        </w:rPr>
        <w:t>中</w:t>
      </w:r>
      <w:r w:rsidRPr="00C77E77">
        <w:rPr>
          <w:rFonts w:ascii="Times New Roman" w:eastAsia="標楷體" w:hAnsi="Times New Roman" w:cs="Times New Roman"/>
          <w:sz w:val="28"/>
          <w:szCs w:val="28"/>
        </w:rPr>
        <w:t>於向銀行貸款。</w:t>
      </w:r>
      <w:r w:rsidR="00A46051" w:rsidRPr="00C77E77">
        <w:rPr>
          <w:rFonts w:ascii="Times New Roman" w:eastAsia="標楷體" w:hAnsi="Times New Roman" w:cs="Times New Roman"/>
          <w:sz w:val="28"/>
          <w:szCs w:val="28"/>
        </w:rPr>
        <w:t>再者，臺灣製造業仍以生產為主，行銷、服務及客戶需求不被重視。因此，中小企業發展必須突破轉型升級的瓶頸。過去企業停留在製造業思維，隨著社會形態的轉變，業者除了專注於生產技術的精進，更應該結合大數據來掌握消費端的需求，</w:t>
      </w:r>
      <w:r w:rsidR="00DB5A2E" w:rsidRPr="00C77E77">
        <w:rPr>
          <w:rFonts w:ascii="Times New Roman" w:eastAsia="標楷體" w:hAnsi="Times New Roman" w:cs="Times New Roman"/>
          <w:sz w:val="28"/>
          <w:szCs w:val="28"/>
        </w:rPr>
        <w:t>將</w:t>
      </w:r>
      <w:r w:rsidR="00A46051" w:rsidRPr="00C77E77">
        <w:rPr>
          <w:rFonts w:ascii="Times New Roman" w:eastAsia="標楷體" w:hAnsi="Times New Roman" w:cs="Times New Roman"/>
          <w:sz w:val="28"/>
          <w:szCs w:val="28"/>
        </w:rPr>
        <w:t>最終消費者的想法反饋到決策。</w:t>
      </w:r>
      <w:r w:rsidR="00A46051" w:rsidRPr="00C77E77">
        <w:rPr>
          <w:rStyle w:val="a9"/>
          <w:rFonts w:ascii="Times New Roman" w:eastAsia="標楷體" w:hAnsi="Times New Roman" w:cs="Times New Roman"/>
          <w:sz w:val="28"/>
          <w:szCs w:val="28"/>
        </w:rPr>
        <w:footnoteReference w:id="53"/>
      </w:r>
    </w:p>
    <w:p w:rsidR="003840EC" w:rsidRPr="00C77E77" w:rsidRDefault="00A46051" w:rsidP="00A46051">
      <w:pPr>
        <w:pStyle w:val="ab"/>
        <w:spacing w:beforeLines="50" w:before="180" w:afterLines="50" w:after="18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w:t>
      </w:r>
      <w:r w:rsidR="00F44D01" w:rsidRPr="00C77E77">
        <w:rPr>
          <w:rFonts w:ascii="Times New Roman" w:eastAsia="標楷體" w:hAnsi="Times New Roman" w:cs="Times New Roman"/>
          <w:sz w:val="28"/>
          <w:szCs w:val="28"/>
        </w:rPr>
        <w:t>外，臺灣</w:t>
      </w:r>
      <w:r w:rsidR="003D01C1" w:rsidRPr="00C77E77">
        <w:rPr>
          <w:rFonts w:ascii="Times New Roman" w:eastAsia="標楷體" w:hAnsi="Times New Roman" w:cs="Times New Roman"/>
          <w:sz w:val="28"/>
          <w:szCs w:val="28"/>
        </w:rPr>
        <w:t>在電子商務公共管理型態立法上採取中度監理方式，允許非金融業者經營匯款業務，擺脫銀行法第二十九條僅限銀行匯款業務之限制。</w:t>
      </w:r>
      <w:r w:rsidR="00A033CB" w:rsidRPr="00C77E77">
        <w:rPr>
          <w:rFonts w:ascii="Times New Roman" w:eastAsia="標楷體" w:hAnsi="Times New Roman" w:cs="Times New Roman"/>
          <w:sz w:val="28"/>
          <w:szCs w:val="28"/>
        </w:rPr>
        <w:t>2015</w:t>
      </w:r>
      <w:r w:rsidR="00A033CB" w:rsidRPr="00C77E77">
        <w:rPr>
          <w:rFonts w:ascii="Times New Roman" w:eastAsia="標楷體" w:hAnsi="Times New Roman" w:cs="Times New Roman"/>
          <w:sz w:val="28"/>
          <w:szCs w:val="28"/>
        </w:rPr>
        <w:t>年立院雖通過《電子支付機構管理條例》，但在周邊綿密的相關機制及延伸法律上遲未建構，致使</w:t>
      </w:r>
      <w:r w:rsidR="00FD0D5A" w:rsidRPr="00C77E77">
        <w:rPr>
          <w:rFonts w:ascii="Times New Roman" w:eastAsia="標楷體" w:hAnsi="Times New Roman" w:cs="Times New Roman"/>
          <w:sz w:val="28"/>
          <w:szCs w:val="28"/>
        </w:rPr>
        <w:t>臺</w:t>
      </w:r>
      <w:r w:rsidR="00A033CB" w:rsidRPr="00C77E77">
        <w:rPr>
          <w:rFonts w:ascii="Times New Roman" w:eastAsia="標楷體" w:hAnsi="Times New Roman" w:cs="Times New Roman"/>
          <w:sz w:val="28"/>
          <w:szCs w:val="28"/>
        </w:rPr>
        <w:t>灣在個人資料、交易安全、網路稅法及營運型態實際運作等規範闕如，整體營運環境區居劣勢。</w:t>
      </w:r>
      <w:r w:rsidR="005C536C" w:rsidRPr="00C77E77">
        <w:rPr>
          <w:rFonts w:ascii="Times New Roman" w:eastAsia="標楷體" w:hAnsi="Times New Roman" w:cs="Times New Roman"/>
          <w:sz w:val="28"/>
          <w:szCs w:val="28"/>
        </w:rPr>
        <w:t>政府對於最新的電子商務模式只是被動觀察，監管防弊的態度優先於創新經濟的冒險，無形間阻礙了中小企業的轉型升級。</w:t>
      </w:r>
    </w:p>
    <w:p w:rsidR="003840EC" w:rsidRPr="00C77E77" w:rsidRDefault="00A033CB" w:rsidP="00A46051">
      <w:pPr>
        <w:pStyle w:val="ab"/>
        <w:spacing w:beforeLines="50" w:before="180" w:afterLines="50" w:after="18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更重要的是，</w:t>
      </w:r>
      <w:r w:rsidR="00B56325" w:rsidRPr="00C77E77">
        <w:rPr>
          <w:rFonts w:ascii="Times New Roman" w:eastAsia="標楷體" w:hAnsi="Times New Roman" w:cs="Times New Roman"/>
          <w:sz w:val="28"/>
          <w:szCs w:val="28"/>
        </w:rPr>
        <w:t>電子商務的顛覆效益及經營爭議不斷衝擊</w:t>
      </w:r>
      <w:r w:rsidR="005C536C" w:rsidRPr="00C77E77">
        <w:rPr>
          <w:rFonts w:ascii="Times New Roman" w:eastAsia="標楷體" w:hAnsi="Times New Roman" w:cs="Times New Roman"/>
          <w:sz w:val="28"/>
          <w:szCs w:val="28"/>
        </w:rPr>
        <w:t>經濟主權、產業運營、國家安全等</w:t>
      </w:r>
      <w:r w:rsidR="00B56325" w:rsidRPr="00C77E77">
        <w:rPr>
          <w:rFonts w:ascii="Times New Roman" w:eastAsia="標楷體" w:hAnsi="Times New Roman" w:cs="Times New Roman"/>
          <w:sz w:val="28"/>
          <w:szCs w:val="28"/>
        </w:rPr>
        <w:t>諸多領域，</w:t>
      </w:r>
      <w:r w:rsidR="00FD0D5A" w:rsidRPr="00C77E77">
        <w:rPr>
          <w:rFonts w:ascii="Times New Roman" w:eastAsia="標楷體" w:hAnsi="Times New Roman" w:cs="Times New Roman"/>
          <w:sz w:val="28"/>
          <w:szCs w:val="28"/>
        </w:rPr>
        <w:t>臺</w:t>
      </w:r>
      <w:r w:rsidR="00B56325" w:rsidRPr="00C77E77">
        <w:rPr>
          <w:rFonts w:ascii="Times New Roman" w:eastAsia="標楷體" w:hAnsi="Times New Roman" w:cs="Times New Roman"/>
          <w:sz w:val="28"/>
          <w:szCs w:val="28"/>
        </w:rPr>
        <w:t>灣公共政策與法規的基本定位若仍停留在</w:t>
      </w:r>
      <w:r w:rsidR="00905F46" w:rsidRPr="00C77E77">
        <w:rPr>
          <w:rFonts w:ascii="Times New Roman" w:eastAsia="標楷體" w:hAnsi="Times New Roman" w:cs="Times New Roman"/>
          <w:sz w:val="28"/>
          <w:szCs w:val="28"/>
        </w:rPr>
        <w:t>數位經濟的層次，那麼將跟不上世界潮流。</w:t>
      </w:r>
      <w:r w:rsidR="005C536C" w:rsidRPr="00C77E77">
        <w:rPr>
          <w:rFonts w:ascii="Times New Roman" w:eastAsia="標楷體" w:hAnsi="Times New Roman" w:cs="Times New Roman"/>
          <w:sz w:val="28"/>
          <w:szCs w:val="28"/>
        </w:rPr>
        <w:t>建議政府將現行電子商務定位在民生消費的層次，提升至國家經濟戰略</w:t>
      </w:r>
      <w:r w:rsidR="003840EC" w:rsidRPr="00C77E77">
        <w:rPr>
          <w:rFonts w:ascii="Times New Roman" w:eastAsia="標楷體" w:hAnsi="Times New Roman" w:cs="Times New Roman"/>
          <w:sz w:val="28"/>
          <w:szCs w:val="28"/>
        </w:rPr>
        <w:t>等級</w:t>
      </w:r>
      <w:r w:rsidR="005C536C" w:rsidRPr="00C77E77">
        <w:rPr>
          <w:rFonts w:ascii="Times New Roman" w:eastAsia="標楷體" w:hAnsi="Times New Roman" w:cs="Times New Roman"/>
          <w:sz w:val="28"/>
          <w:szCs w:val="28"/>
        </w:rPr>
        <w:t>，研擬</w:t>
      </w:r>
      <w:r w:rsidR="00AD05B8" w:rsidRPr="00C77E77">
        <w:rPr>
          <w:rFonts w:ascii="Times New Roman" w:eastAsia="標楷體" w:hAnsi="Times New Roman" w:cs="Times New Roman"/>
          <w:sz w:val="28"/>
          <w:szCs w:val="28"/>
        </w:rPr>
        <w:t>國家級電子商務公共政策的治理方向與原則，且不只放在經濟部下的局處等級來</w:t>
      </w:r>
      <w:r w:rsidR="00D039C1" w:rsidRPr="00C77E77">
        <w:rPr>
          <w:rFonts w:ascii="Times New Roman" w:eastAsia="標楷體" w:hAnsi="Times New Roman" w:cs="Times New Roman"/>
          <w:sz w:val="28"/>
          <w:szCs w:val="28"/>
        </w:rPr>
        <w:t>因</w:t>
      </w:r>
      <w:r w:rsidR="00AD05B8" w:rsidRPr="00C77E77">
        <w:rPr>
          <w:rFonts w:ascii="Times New Roman" w:eastAsia="標楷體" w:hAnsi="Times New Roman" w:cs="Times New Roman"/>
          <w:sz w:val="28"/>
          <w:szCs w:val="28"/>
        </w:rPr>
        <w:t>應。</w:t>
      </w:r>
      <w:r w:rsidR="00013691" w:rsidRPr="00C77E77">
        <w:rPr>
          <w:rFonts w:ascii="Times New Roman" w:eastAsia="標楷體" w:hAnsi="Times New Roman" w:cs="Times New Roman"/>
          <w:sz w:val="28"/>
          <w:szCs w:val="28"/>
        </w:rPr>
        <w:t>對網路詐騙、假貨、契作等議題建構高層次的運籌機制以降低交易風險。並</w:t>
      </w:r>
      <w:r w:rsidR="003840EC" w:rsidRPr="00C77E77">
        <w:rPr>
          <w:rFonts w:ascii="Times New Roman" w:eastAsia="標楷體" w:hAnsi="Times New Roman" w:cs="Times New Roman"/>
          <w:sz w:val="28"/>
          <w:szCs w:val="28"/>
        </w:rPr>
        <w:t>刻不容緩的銜接電子商務的國際組織與法規，例如在網路交易課稅方面可借鏡經濟合作暨發展組織（</w:t>
      </w:r>
      <w:r w:rsidR="003840EC" w:rsidRPr="00C77E77">
        <w:rPr>
          <w:rFonts w:ascii="Times New Roman" w:eastAsia="標楷體" w:hAnsi="Times New Roman" w:cs="Times New Roman"/>
          <w:sz w:val="28"/>
          <w:szCs w:val="28"/>
        </w:rPr>
        <w:t>OECD</w:t>
      </w:r>
      <w:r w:rsidR="003840EC" w:rsidRPr="00C77E77">
        <w:rPr>
          <w:rFonts w:ascii="Times New Roman" w:eastAsia="標楷體" w:hAnsi="Times New Roman" w:cs="Times New Roman"/>
          <w:sz w:val="28"/>
          <w:szCs w:val="28"/>
        </w:rPr>
        <w:t>）於</w:t>
      </w:r>
      <w:r w:rsidR="003840EC" w:rsidRPr="00C77E77">
        <w:rPr>
          <w:rFonts w:ascii="Times New Roman" w:eastAsia="標楷體" w:hAnsi="Times New Roman" w:cs="Times New Roman"/>
          <w:sz w:val="28"/>
          <w:szCs w:val="28"/>
        </w:rPr>
        <w:t>2015</w:t>
      </w:r>
      <w:r w:rsidR="003840EC" w:rsidRPr="00C77E77">
        <w:rPr>
          <w:rFonts w:ascii="Times New Roman" w:eastAsia="標楷體" w:hAnsi="Times New Roman" w:cs="Times New Roman"/>
          <w:sz w:val="28"/>
          <w:szCs w:val="28"/>
        </w:rPr>
        <w:t>年</w:t>
      </w:r>
      <w:r w:rsidR="003840EC" w:rsidRPr="00C77E77">
        <w:rPr>
          <w:rFonts w:ascii="Times New Roman" w:eastAsia="標楷體" w:hAnsi="Times New Roman" w:cs="Times New Roman"/>
          <w:sz w:val="28"/>
          <w:szCs w:val="28"/>
        </w:rPr>
        <w:t>10</w:t>
      </w:r>
      <w:r w:rsidR="003840EC" w:rsidRPr="00C77E77">
        <w:rPr>
          <w:rFonts w:ascii="Times New Roman" w:eastAsia="標楷體" w:hAnsi="Times New Roman" w:cs="Times New Roman"/>
          <w:sz w:val="28"/>
          <w:szCs w:val="28"/>
        </w:rPr>
        <w:t>月</w:t>
      </w:r>
      <w:r w:rsidR="003840EC" w:rsidRPr="00C77E77">
        <w:rPr>
          <w:rFonts w:ascii="Times New Roman" w:eastAsia="標楷體" w:hAnsi="Times New Roman" w:cs="Times New Roman"/>
          <w:sz w:val="28"/>
          <w:szCs w:val="28"/>
        </w:rPr>
        <w:t>5</w:t>
      </w:r>
      <w:r w:rsidR="003840EC" w:rsidRPr="00C77E77">
        <w:rPr>
          <w:rFonts w:ascii="Times New Roman" w:eastAsia="標楷體" w:hAnsi="Times New Roman" w:cs="Times New Roman"/>
          <w:sz w:val="28"/>
          <w:szCs w:val="28"/>
        </w:rPr>
        <w:t>日發佈有關稅基侵蝕與利潤轉移（</w:t>
      </w:r>
      <w:r w:rsidR="003840EC" w:rsidRPr="00C77E77">
        <w:rPr>
          <w:rFonts w:ascii="Times New Roman" w:eastAsia="標楷體" w:hAnsi="Times New Roman" w:cs="Times New Roman"/>
          <w:sz w:val="28"/>
          <w:szCs w:val="28"/>
        </w:rPr>
        <w:t>BEPS</w:t>
      </w:r>
      <w:r w:rsidR="003840EC" w:rsidRPr="00C77E77">
        <w:rPr>
          <w:rFonts w:ascii="Times New Roman" w:eastAsia="標楷體" w:hAnsi="Times New Roman" w:cs="Times New Roman"/>
          <w:sz w:val="28"/>
          <w:szCs w:val="28"/>
        </w:rPr>
        <w:t>）的報告，在國際營業稅</w:t>
      </w:r>
      <w:r w:rsidR="003840EC" w:rsidRPr="00C77E77">
        <w:rPr>
          <w:rFonts w:ascii="Times New Roman" w:eastAsia="標楷體" w:hAnsi="Times New Roman" w:cs="Times New Roman"/>
          <w:sz w:val="28"/>
          <w:szCs w:val="28"/>
        </w:rPr>
        <w:t>/</w:t>
      </w:r>
      <w:r w:rsidR="003840EC" w:rsidRPr="00C77E77">
        <w:rPr>
          <w:rFonts w:ascii="Times New Roman" w:eastAsia="標楷體" w:hAnsi="Times New Roman" w:cs="Times New Roman"/>
          <w:sz w:val="28"/>
          <w:szCs w:val="28"/>
        </w:rPr>
        <w:t>商品服務稅指引（</w:t>
      </w:r>
      <w:r w:rsidR="003840EC" w:rsidRPr="00C77E77">
        <w:rPr>
          <w:rFonts w:ascii="Times New Roman" w:eastAsia="標楷體" w:hAnsi="Times New Roman" w:cs="Times New Roman"/>
          <w:sz w:val="28"/>
          <w:szCs w:val="28"/>
        </w:rPr>
        <w:t>International/LAT/GST Guideline</w:t>
      </w:r>
      <w:r w:rsidR="003840EC" w:rsidRPr="00C77E77">
        <w:rPr>
          <w:rFonts w:ascii="Times New Roman" w:eastAsia="標楷體" w:hAnsi="Times New Roman" w:cs="Times New Roman"/>
          <w:sz w:val="28"/>
          <w:szCs w:val="28"/>
        </w:rPr>
        <w:t>）部分建議現行機制中的登記制可避免稅收的隱形流失。</w:t>
      </w:r>
    </w:p>
    <w:p w:rsidR="00F44D01" w:rsidRPr="00C77E77" w:rsidRDefault="003840EC" w:rsidP="00A46051">
      <w:pPr>
        <w:pStyle w:val="ab"/>
        <w:spacing w:beforeLines="50" w:before="180" w:afterLines="50" w:after="18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此外，在國際電子商務的交易上，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w:t>
      </w:r>
      <w:r w:rsidR="00013691" w:rsidRPr="00C77E77">
        <w:rPr>
          <w:rFonts w:ascii="Times New Roman" w:eastAsia="標楷體" w:hAnsi="Times New Roman" w:cs="Times New Roman"/>
          <w:sz w:val="28"/>
          <w:szCs w:val="28"/>
        </w:rPr>
        <w:t>現似</w:t>
      </w:r>
      <w:r w:rsidRPr="00C77E77">
        <w:rPr>
          <w:rFonts w:ascii="Times New Roman" w:eastAsia="標楷體" w:hAnsi="Times New Roman" w:cs="Times New Roman"/>
          <w:sz w:val="28"/>
          <w:szCs w:val="28"/>
        </w:rPr>
        <w:t>成為中國大陸的「次區」，要如何突圍爭取經濟主權，</w:t>
      </w:r>
      <w:r w:rsidR="00321C53" w:rsidRPr="00C77E77">
        <w:rPr>
          <w:rFonts w:ascii="Times New Roman" w:eastAsia="標楷體" w:hAnsi="Times New Roman" w:cs="Times New Roman"/>
          <w:sz w:val="28"/>
          <w:szCs w:val="28"/>
        </w:rPr>
        <w:t>宜採取</w:t>
      </w:r>
      <w:r w:rsidR="005C536C" w:rsidRPr="00C77E77">
        <w:rPr>
          <w:rFonts w:ascii="Times New Roman" w:eastAsia="標楷體" w:hAnsi="Times New Roman" w:cs="Times New Roman"/>
          <w:sz w:val="28"/>
          <w:szCs w:val="28"/>
        </w:rPr>
        <w:t>後進優勢</w:t>
      </w:r>
      <w:r w:rsidR="00321C53" w:rsidRPr="00C77E77">
        <w:rPr>
          <w:rFonts w:ascii="Times New Roman" w:eastAsia="標楷體" w:hAnsi="Times New Roman" w:cs="Times New Roman"/>
          <w:sz w:val="28"/>
          <w:szCs w:val="28"/>
        </w:rPr>
        <w:t>來</w:t>
      </w:r>
      <w:r w:rsidR="005C536C" w:rsidRPr="00C77E77">
        <w:rPr>
          <w:rFonts w:ascii="Times New Roman" w:eastAsia="標楷體" w:hAnsi="Times New Roman" w:cs="Times New Roman"/>
          <w:sz w:val="28"/>
          <w:szCs w:val="28"/>
        </w:rPr>
        <w:t>跨越在行動經濟發展初期的探索與磨合</w:t>
      </w:r>
      <w:r w:rsidR="00791764" w:rsidRPr="00C77E77">
        <w:rPr>
          <w:rFonts w:ascii="Times New Roman" w:eastAsia="標楷體" w:hAnsi="Times New Roman" w:cs="Times New Roman"/>
          <w:sz w:val="28"/>
          <w:szCs w:val="28"/>
        </w:rPr>
        <w:t>。例</w:t>
      </w:r>
      <w:r w:rsidR="005746D1" w:rsidRPr="00C77E77">
        <w:rPr>
          <w:rFonts w:ascii="Times New Roman" w:eastAsia="標楷體" w:hAnsi="Times New Roman" w:cs="Times New Roman"/>
          <w:sz w:val="28"/>
          <w:szCs w:val="28"/>
        </w:rPr>
        <w:t>如設置電商務公民學院全面提昇我國人民電子商務營運能力，積極網羅國際電商人才，爭取全球高利基電商平</w:t>
      </w:r>
      <w:r w:rsidR="00FD0D5A" w:rsidRPr="00C77E77">
        <w:rPr>
          <w:rFonts w:ascii="Times New Roman" w:eastAsia="標楷體" w:hAnsi="Times New Roman" w:cs="Times New Roman"/>
          <w:sz w:val="28"/>
          <w:szCs w:val="28"/>
        </w:rPr>
        <w:t>臺</w:t>
      </w:r>
      <w:r w:rsidR="005746D1" w:rsidRPr="00C77E77">
        <w:rPr>
          <w:rFonts w:ascii="Times New Roman" w:eastAsia="標楷體" w:hAnsi="Times New Roman" w:cs="Times New Roman"/>
          <w:sz w:val="28"/>
          <w:szCs w:val="28"/>
        </w:rPr>
        <w:t>的連結與合作，籌劃</w:t>
      </w:r>
      <w:r w:rsidR="00FD0D5A" w:rsidRPr="00C77E77">
        <w:rPr>
          <w:rFonts w:ascii="Times New Roman" w:eastAsia="標楷體" w:hAnsi="Times New Roman" w:cs="Times New Roman"/>
          <w:sz w:val="28"/>
          <w:szCs w:val="28"/>
        </w:rPr>
        <w:t>臺</w:t>
      </w:r>
      <w:r w:rsidR="005746D1" w:rsidRPr="00C77E77">
        <w:rPr>
          <w:rFonts w:ascii="Times New Roman" w:eastAsia="標楷體" w:hAnsi="Times New Roman" w:cs="Times New Roman"/>
          <w:sz w:val="28"/>
          <w:szCs w:val="28"/>
        </w:rPr>
        <w:t>灣與中國</w:t>
      </w:r>
      <w:r w:rsidR="00791764" w:rsidRPr="00C77E77">
        <w:rPr>
          <w:rFonts w:ascii="Times New Roman" w:eastAsia="標楷體" w:hAnsi="Times New Roman" w:cs="Times New Roman"/>
          <w:sz w:val="28"/>
          <w:szCs w:val="28"/>
        </w:rPr>
        <w:t>大陸、印度、東協國家及其它新興市場的電子商務論壇</w:t>
      </w:r>
      <w:r w:rsidR="005746D1" w:rsidRPr="00C77E77">
        <w:rPr>
          <w:rFonts w:ascii="Times New Roman" w:eastAsia="標楷體" w:hAnsi="Times New Roman" w:cs="Times New Roman"/>
          <w:sz w:val="28"/>
          <w:szCs w:val="28"/>
        </w:rPr>
        <w:t>等</w:t>
      </w:r>
      <w:r w:rsidR="00791764" w:rsidRPr="00C77E77">
        <w:rPr>
          <w:rFonts w:ascii="Times New Roman" w:eastAsia="標楷體" w:hAnsi="Times New Roman" w:cs="Times New Roman"/>
          <w:sz w:val="28"/>
          <w:szCs w:val="28"/>
        </w:rPr>
        <w:t>，以解決實質議題</w:t>
      </w:r>
      <w:r w:rsidR="005746D1" w:rsidRPr="00C77E77">
        <w:rPr>
          <w:rFonts w:ascii="Times New Roman" w:eastAsia="標楷體" w:hAnsi="Times New Roman" w:cs="Times New Roman"/>
          <w:sz w:val="28"/>
          <w:szCs w:val="28"/>
        </w:rPr>
        <w:t>，</w:t>
      </w:r>
      <w:r w:rsidR="00791764" w:rsidRPr="00C77E77">
        <w:rPr>
          <w:rFonts w:ascii="Times New Roman" w:eastAsia="標楷體" w:hAnsi="Times New Roman" w:cs="Times New Roman"/>
          <w:sz w:val="28"/>
          <w:szCs w:val="28"/>
        </w:rPr>
        <w:t>並</w:t>
      </w:r>
      <w:r w:rsidRPr="00C77E77">
        <w:rPr>
          <w:rFonts w:ascii="Times New Roman" w:eastAsia="標楷體" w:hAnsi="Times New Roman" w:cs="Times New Roman"/>
          <w:sz w:val="28"/>
          <w:szCs w:val="28"/>
        </w:rPr>
        <w:t>在快速、順暢、共享、超值、安全的基石上，構建大膽創新模式</w:t>
      </w:r>
      <w:r w:rsidR="00F44D01" w:rsidRPr="00C77E77">
        <w:rPr>
          <w:rFonts w:ascii="Times New Roman" w:eastAsia="標楷體" w:hAnsi="Times New Roman" w:cs="Times New Roman"/>
          <w:sz w:val="28"/>
          <w:szCs w:val="28"/>
        </w:rPr>
        <w:t>。</w:t>
      </w:r>
    </w:p>
    <w:p w:rsidR="00F44D01" w:rsidRPr="00C77E77" w:rsidRDefault="00F44D01" w:rsidP="00764ED7">
      <w:pPr>
        <w:pStyle w:val="ab"/>
        <w:numPr>
          <w:ilvl w:val="0"/>
          <w:numId w:val="23"/>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智慧物流</w:t>
      </w:r>
    </w:p>
    <w:p w:rsidR="00F44D01" w:rsidRPr="00C77E77" w:rsidRDefault="00F44D01" w:rsidP="00F44D01">
      <w:pPr>
        <w:spacing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據交通部統計，</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年我國運輸及倉儲業實質生產毛額</w:t>
      </w:r>
      <w:r w:rsidRPr="00C77E77">
        <w:rPr>
          <w:rFonts w:ascii="Times New Roman" w:eastAsia="標楷體" w:hAnsi="Times New Roman" w:cs="Times New Roman"/>
          <w:sz w:val="28"/>
          <w:szCs w:val="28"/>
        </w:rPr>
        <w:t>4,430</w:t>
      </w:r>
      <w:r w:rsidRPr="00C77E77">
        <w:rPr>
          <w:rFonts w:ascii="Times New Roman" w:eastAsia="標楷體" w:hAnsi="Times New Roman" w:cs="Times New Roman"/>
          <w:sz w:val="28"/>
          <w:szCs w:val="28"/>
        </w:rPr>
        <w:t>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年微增</w:t>
      </w:r>
      <w:r w:rsidRPr="00C77E77">
        <w:rPr>
          <w:rFonts w:ascii="Times New Roman" w:eastAsia="標楷體" w:hAnsi="Times New Roman" w:cs="Times New Roman"/>
          <w:sz w:val="28"/>
          <w:szCs w:val="28"/>
        </w:rPr>
        <w:t>37</w:t>
      </w:r>
      <w:r w:rsidRPr="00C77E77">
        <w:rPr>
          <w:rFonts w:ascii="Times New Roman" w:eastAsia="標楷體" w:hAnsi="Times New Roman" w:cs="Times New Roman"/>
          <w:sz w:val="28"/>
          <w:szCs w:val="28"/>
        </w:rPr>
        <w:t>億元，居各大行業第</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位，成長率</w:t>
      </w:r>
      <w:r w:rsidRPr="00C77E77">
        <w:rPr>
          <w:rFonts w:ascii="Times New Roman" w:eastAsia="標楷體" w:hAnsi="Times New Roman" w:cs="Times New Roman"/>
          <w:sz w:val="28"/>
          <w:szCs w:val="28"/>
        </w:rPr>
        <w:t>0.84%</w:t>
      </w:r>
      <w:r w:rsidRPr="00C77E77">
        <w:rPr>
          <w:rFonts w:ascii="Times New Roman" w:eastAsia="標楷體" w:hAnsi="Times New Roman" w:cs="Times New Roman"/>
          <w:sz w:val="28"/>
          <w:szCs w:val="28"/>
        </w:rPr>
        <w:t>，對經濟成長貢獻</w:t>
      </w:r>
      <w:r w:rsidRPr="00C77E77">
        <w:rPr>
          <w:rFonts w:ascii="Times New Roman" w:eastAsia="標楷體" w:hAnsi="Times New Roman" w:cs="Times New Roman"/>
          <w:sz w:val="28"/>
          <w:szCs w:val="28"/>
        </w:rPr>
        <w:t>0.02%</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54"/>
      </w:r>
      <w:r w:rsidRPr="00C77E77">
        <w:rPr>
          <w:rFonts w:ascii="Times New Roman" w:eastAsia="標楷體" w:hAnsi="Times New Roman" w:cs="Times New Roman"/>
          <w:sz w:val="28"/>
          <w:szCs w:val="28"/>
        </w:rPr>
        <w:t>當前國際物流的趨勢，是以「速度」創造商機，毫無落差的串聯起分散在全球各地的貨物、資訊、財務及作業程序等營運機能，使其相互流通順暢。在全球化時代，物流過程越來越複雜，物流資源優化配置和管理的複雜性與難度也隨之提高。</w:t>
      </w:r>
    </w:p>
    <w:p w:rsidR="00F44D01" w:rsidRPr="00C77E77" w:rsidRDefault="00F44D01" w:rsidP="00F44D01">
      <w:pPr>
        <w:spacing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我國智慧物流產業</w:t>
      </w:r>
      <w:r w:rsidR="00DB5A2E" w:rsidRPr="00C77E77">
        <w:rPr>
          <w:rFonts w:ascii="Times New Roman" w:eastAsia="標楷體" w:hAnsi="Times New Roman" w:cs="Times New Roman"/>
          <w:color w:val="000000" w:themeColor="text1"/>
          <w:sz w:val="28"/>
          <w:szCs w:val="28"/>
        </w:rPr>
        <w:t>具有國際競爭力，</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World Bank</w:t>
      </w:r>
      <w:r w:rsidRPr="00C77E77">
        <w:rPr>
          <w:rFonts w:ascii="Times New Roman" w:eastAsia="標楷體" w:hAnsi="Times New Roman" w:cs="Times New Roman"/>
          <w:sz w:val="28"/>
          <w:szCs w:val="28"/>
        </w:rPr>
        <w:t>公布之</w:t>
      </w:r>
      <w:r w:rsidRPr="00C77E77">
        <w:rPr>
          <w:rFonts w:ascii="Times New Roman" w:eastAsia="標楷體" w:hAnsi="Times New Roman" w:cs="Times New Roman"/>
          <w:sz w:val="28"/>
          <w:szCs w:val="28"/>
        </w:rPr>
        <w:t>LPI</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Logistics Performance</w:t>
      </w:r>
      <w:r w:rsidR="00D039C1"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Index, LPI</w:t>
      </w:r>
      <w:r w:rsidRPr="00C77E77">
        <w:rPr>
          <w:rFonts w:ascii="Times New Roman" w:eastAsia="標楷體" w:hAnsi="Times New Roman" w:cs="Times New Roman"/>
          <w:sz w:val="28"/>
          <w:szCs w:val="28"/>
        </w:rPr>
        <w:t>）指數，臺灣排名第</w:t>
      </w:r>
      <w:r w:rsidRPr="00C77E77">
        <w:rPr>
          <w:rFonts w:ascii="Times New Roman" w:eastAsia="標楷體" w:hAnsi="Times New Roman" w:cs="Times New Roman"/>
          <w:sz w:val="28"/>
          <w:szCs w:val="28"/>
        </w:rPr>
        <w:t>19</w:t>
      </w:r>
      <w:r w:rsidRPr="00C77E77">
        <w:rPr>
          <w:rFonts w:ascii="Times New Roman" w:eastAsia="標楷體" w:hAnsi="Times New Roman" w:cs="Times New Roman"/>
          <w:sz w:val="28"/>
          <w:szCs w:val="28"/>
        </w:rPr>
        <w:t>名，在亞洲地區國</w:t>
      </w:r>
      <w:r w:rsidRPr="00C77E77">
        <w:rPr>
          <w:rFonts w:ascii="Times New Roman" w:eastAsia="標楷體" w:hAnsi="Times New Roman" w:cs="Times New Roman"/>
          <w:sz w:val="28"/>
          <w:szCs w:val="28"/>
        </w:rPr>
        <w:lastRenderedPageBreak/>
        <w:t>家中，僅次於新加坡（第</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）、香港（第</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）及日本（第</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），優於南韓（第</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）及中國大陸（第</w:t>
      </w:r>
      <w:r w:rsidRPr="00C77E77">
        <w:rPr>
          <w:rFonts w:ascii="Times New Roman" w:eastAsia="標楷體" w:hAnsi="Times New Roman" w:cs="Times New Roman"/>
          <w:sz w:val="28"/>
          <w:szCs w:val="28"/>
        </w:rPr>
        <w:t>26</w:t>
      </w:r>
      <w:r w:rsidRPr="00C77E77">
        <w:rPr>
          <w:rFonts w:ascii="Times New Roman" w:eastAsia="標楷體" w:hAnsi="Times New Roman" w:cs="Times New Roman"/>
          <w:sz w:val="28"/>
          <w:szCs w:val="28"/>
        </w:rPr>
        <w:t>）。顯示臺灣物流市場具有一定的規模和潛力。</w:t>
      </w:r>
    </w:p>
    <w:p w:rsidR="00F44D01" w:rsidRPr="00C77E77" w:rsidRDefault="00F44D01" w:rsidP="00F44D01">
      <w:pPr>
        <w:spacing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根據</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年最新的</w:t>
      </w:r>
      <w:r w:rsidRPr="00C77E77">
        <w:rPr>
          <w:rFonts w:ascii="Times New Roman" w:eastAsia="標楷體" w:hAnsi="Times New Roman" w:cs="Times New Roman"/>
          <w:sz w:val="28"/>
          <w:szCs w:val="28"/>
        </w:rPr>
        <w:t xml:space="preserve">A&amp;A </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Armstrong &amp; Associates, Inc.</w:t>
      </w:r>
      <w:r w:rsidRPr="00C77E77">
        <w:rPr>
          <w:rFonts w:ascii="Times New Roman" w:eastAsia="標楷體" w:hAnsi="Times New Roman" w:cs="Times New Roman"/>
          <w:sz w:val="28"/>
          <w:szCs w:val="28"/>
        </w:rPr>
        <w:t>）之報告，中菲行以空運貨量達</w:t>
      </w:r>
      <w:r w:rsidRPr="00C77E77">
        <w:rPr>
          <w:rFonts w:ascii="Times New Roman" w:eastAsia="標楷體" w:hAnsi="Times New Roman" w:cs="Times New Roman"/>
          <w:sz w:val="28"/>
          <w:szCs w:val="28"/>
        </w:rPr>
        <w:t>204,332</w:t>
      </w:r>
      <w:r w:rsidRPr="00C77E77">
        <w:rPr>
          <w:rFonts w:ascii="Times New Roman" w:eastAsia="標楷體" w:hAnsi="Times New Roman" w:cs="Times New Roman"/>
          <w:sz w:val="28"/>
          <w:szCs w:val="28"/>
        </w:rPr>
        <w:t>公噸的佳績，成為臺灣同業中唯一名列「亞太第三方物流前十強」排行榜，該公司亦以服務高科技產業顧客的優異成果，名列「高科技垂直產業服務專家」之一。擁有專業國際物流經驗的中菲行在中國大陸、東協地區乃至全球深耕發展有成，近年亦專注於拓展東南亞及太平洋地區的新興市場。中菲行今年更成立專案服務團隊，擴大服務如航太業、跨境電子商務、石油及天然氣、服飾業及紡織業、醫療儀器、太陽能、消費性電子產品及汽車零配件等客戶群。由中菲行投資研發、以</w:t>
      </w:r>
      <w:r w:rsidRPr="00C77E77">
        <w:rPr>
          <w:rFonts w:ascii="Times New Roman" w:eastAsia="標楷體" w:hAnsi="Times New Roman" w:cs="Times New Roman"/>
          <w:sz w:val="28"/>
          <w:szCs w:val="28"/>
        </w:rPr>
        <w:t>Web 2.0</w:t>
      </w:r>
      <w:r w:rsidRPr="00C77E77">
        <w:rPr>
          <w:rFonts w:ascii="Times New Roman" w:eastAsia="標楷體" w:hAnsi="Times New Roman" w:cs="Times New Roman"/>
          <w:sz w:val="28"/>
          <w:szCs w:val="28"/>
        </w:rPr>
        <w:t>為平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建構的增值訊息系統（</w:t>
      </w:r>
      <w:r w:rsidRPr="00C77E77">
        <w:rPr>
          <w:rFonts w:ascii="Times New Roman" w:eastAsia="標楷體" w:hAnsi="Times New Roman" w:cs="Times New Roman"/>
          <w:sz w:val="28"/>
          <w:szCs w:val="28"/>
        </w:rPr>
        <w:t>Dimerco Value Plus System</w:t>
      </w:r>
      <w:r w:rsidRPr="00C77E77">
        <w:rPr>
          <w:rFonts w:ascii="Times New Roman" w:eastAsia="標楷體" w:hAnsi="Times New Roman" w:cs="Times New Roman"/>
          <w:sz w:val="28"/>
          <w:szCs w:val="28"/>
        </w:rPr>
        <w:t>），自</w:t>
      </w: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年上線以來，提供完美的</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解決方案，更儼然成為整合空海運、倉儲及財務會計管理等功能於一體的加值工具。此外，中菲行的東協佈局方面，在柬埔寨、中國、馬來西亞、新加坡及泰國之間的亞洲內部跨境陸運網絡，並設孟買為主要通道（</w:t>
      </w:r>
      <w:r w:rsidRPr="00C77E77">
        <w:rPr>
          <w:rFonts w:ascii="Times New Roman" w:eastAsia="標楷體" w:hAnsi="Times New Roman" w:cs="Times New Roman"/>
          <w:sz w:val="28"/>
          <w:szCs w:val="28"/>
        </w:rPr>
        <w:t>gateway</w:t>
      </w:r>
      <w:r w:rsidRPr="00C77E77">
        <w:rPr>
          <w:rFonts w:ascii="Times New Roman" w:eastAsia="標楷體" w:hAnsi="Times New Roman" w:cs="Times New Roman"/>
          <w:sz w:val="28"/>
          <w:szCs w:val="28"/>
        </w:rPr>
        <w:t>），近期並計畫將此納入印度網絡中。</w:t>
      </w:r>
      <w:r w:rsidRPr="00C77E77">
        <w:rPr>
          <w:rStyle w:val="a9"/>
          <w:rFonts w:ascii="Times New Roman" w:eastAsia="標楷體" w:hAnsi="Times New Roman" w:cs="Times New Roman"/>
          <w:sz w:val="28"/>
          <w:szCs w:val="28"/>
        </w:rPr>
        <w:footnoteReference w:id="55"/>
      </w:r>
    </w:p>
    <w:p w:rsidR="00F44D01" w:rsidRPr="00C77E77" w:rsidRDefault="00F44D01" w:rsidP="00F44D01">
      <w:pPr>
        <w:pStyle w:val="ab"/>
        <w:spacing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另一個臺灣物流業的成功案例是嘉里大榮。嘉里大榮前身為大榮汽車貨運公司，提供國內貨物運輸及偏遠地區農特產配送服務，</w:t>
      </w:r>
      <w:r w:rsidRPr="00C77E77">
        <w:rPr>
          <w:rFonts w:ascii="Times New Roman" w:eastAsia="標楷體" w:hAnsi="Times New Roman" w:cs="Times New Roman"/>
          <w:sz w:val="28"/>
          <w:szCs w:val="28"/>
        </w:rPr>
        <w:t>2008</w:t>
      </w:r>
      <w:r w:rsidRPr="00C77E77">
        <w:rPr>
          <w:rFonts w:ascii="Times New Roman" w:eastAsia="標楷體" w:hAnsi="Times New Roman" w:cs="Times New Roman"/>
          <w:sz w:val="28"/>
          <w:szCs w:val="28"/>
        </w:rPr>
        <w:t>年香港嘉里物流聯網入資大榮貨運後，業績由負轉正，業務範圍更擴展為零擔運輸、常溫倉儲、低溫倉儲、低溫配送及醫藥物流等。嘉里集團以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中為最大根據地，擁有</w:t>
      </w:r>
      <w:r w:rsidRPr="00C77E77">
        <w:rPr>
          <w:rFonts w:ascii="Times New Roman" w:eastAsia="標楷體" w:hAnsi="Times New Roman" w:cs="Times New Roman"/>
          <w:sz w:val="28"/>
          <w:szCs w:val="28"/>
        </w:rPr>
        <w:t>4000</w:t>
      </w:r>
      <w:r w:rsidRPr="00C77E77">
        <w:rPr>
          <w:rFonts w:ascii="Times New Roman" w:eastAsia="標楷體" w:hAnsi="Times New Roman" w:cs="Times New Roman"/>
          <w:sz w:val="28"/>
          <w:szCs w:val="28"/>
        </w:rPr>
        <w:t>多名員工及</w:t>
      </w:r>
      <w:r w:rsidRPr="00C77E77">
        <w:rPr>
          <w:rFonts w:ascii="Times New Roman" w:eastAsia="標楷體" w:hAnsi="Times New Roman" w:cs="Times New Roman"/>
          <w:sz w:val="28"/>
          <w:szCs w:val="28"/>
        </w:rPr>
        <w:t>3000</w:t>
      </w:r>
      <w:r w:rsidRPr="00C77E77">
        <w:rPr>
          <w:rFonts w:ascii="Times New Roman" w:eastAsia="標楷體" w:hAnsi="Times New Roman" w:cs="Times New Roman"/>
          <w:sz w:val="28"/>
          <w:szCs w:val="28"/>
        </w:rPr>
        <w:t>餘</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車輛，為臺灣主要路線運輸服務業者之一，為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中創造了許多就業機會。目前嘉里大榮在全球</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個國家設有實體據點，以新加坡為基地，而在東南亞有</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處實體通路，都有低溫冷藏配送設施。</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月中市長林佳龍與嘉里物流集團簽署合作備忘錄，希望透過嘉里集團全世界的據點，讓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中農產、貨物行銷到世界各地。嘉里大榮物流董事長沈宗桂說，</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中水果品質好，尤其甜柿、荔枝、</w:t>
      </w:r>
      <w:r w:rsidR="00DB5A2E" w:rsidRPr="00C77E77">
        <w:rPr>
          <w:rFonts w:ascii="Times New Roman" w:eastAsia="標楷體" w:hAnsi="Times New Roman" w:cs="Times New Roman"/>
          <w:sz w:val="28"/>
          <w:szCs w:val="28"/>
        </w:rPr>
        <w:t>火龍果等，在東南亞都受歡迎，未來商機無限。新加坡是東南亞門戶，新南向可</w:t>
      </w:r>
      <w:r w:rsidRPr="00C77E77">
        <w:rPr>
          <w:rFonts w:ascii="Times New Roman" w:eastAsia="標楷體" w:hAnsi="Times New Roman" w:cs="Times New Roman"/>
          <w:sz w:val="28"/>
          <w:szCs w:val="28"/>
        </w:rPr>
        <w:t>透過星國前往東協市場。</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lastRenderedPageBreak/>
        <w:t>中市府強調，未來每年將規劃「</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中高經濟農產品周」，透過嘉里大榮的通路，邀請東南亞廠商來下單，讓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中荔枝、甜柿等農產品外銷出去。</w:t>
      </w:r>
      <w:r w:rsidRPr="00C77E77">
        <w:rPr>
          <w:rFonts w:ascii="Times New Roman" w:eastAsia="標楷體" w:hAnsi="Times New Roman" w:cs="Times New Roman"/>
          <w:sz w:val="28"/>
          <w:szCs w:val="28"/>
        </w:rPr>
        <w:t xml:space="preserve"> </w:t>
      </w:r>
      <w:r w:rsidRPr="00C77E77">
        <w:rPr>
          <w:rStyle w:val="a9"/>
          <w:rFonts w:ascii="Times New Roman" w:eastAsia="標楷體" w:hAnsi="Times New Roman" w:cs="Times New Roman"/>
          <w:sz w:val="28"/>
          <w:szCs w:val="28"/>
        </w:rPr>
        <w:footnoteReference w:id="56"/>
      </w:r>
    </w:p>
    <w:p w:rsidR="00F44D01" w:rsidRPr="00C77E77" w:rsidRDefault="00F44D01" w:rsidP="00F44D01">
      <w:pPr>
        <w:pStyle w:val="ab"/>
        <w:spacing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第三個例子是「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港國際物流股份有限公司」創立「海運快遞」業務模式，成為臺灣第一家海運快遞專區業者。近年來不論是電子商務，或是貨物運送及物流倉儲等，需求都有逐年增長的趨勢，不過兩岸的空運運輸可說已達到最大負荷。由</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港國際物流首創的海運快遞業務，相較於傳統海運須經由金門、廈門轉運，將大幅縮短兩岸貨物運輸時間，可讓兩岸的快遞、電子商務、智慧物流、農業加值等，都有更迅速、便利及安全之物流服務。再者，由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北港鄰近桃園機場，密集的空運航班，讓海運快遞能進一步連結海空聯運服務，使貨物能快速轉至世界各地，並結合自經區保稅功能之優勢，創造高經濟效益。</w:t>
      </w:r>
      <w:r w:rsidRPr="00C77E77">
        <w:rPr>
          <w:rStyle w:val="a9"/>
          <w:rFonts w:ascii="Times New Roman" w:eastAsia="標楷體" w:hAnsi="Times New Roman" w:cs="Times New Roman"/>
          <w:sz w:val="28"/>
          <w:szCs w:val="28"/>
        </w:rPr>
        <w:footnoteReference w:id="57"/>
      </w:r>
    </w:p>
    <w:p w:rsidR="00F44D01" w:rsidRPr="00C77E77" w:rsidRDefault="00F44D01" w:rsidP="00F44D01">
      <w:pPr>
        <w:spacing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在我國智慧物流產業現況的劣勢方面，有鑑於電子商務的蓬勃</w:t>
      </w:r>
      <w:r w:rsidRPr="00C77E77">
        <w:rPr>
          <w:rFonts w:ascii="Times New Roman" w:eastAsia="標楷體" w:hAnsi="Times New Roman" w:cs="Times New Roman"/>
          <w:sz w:val="28"/>
          <w:szCs w:val="28"/>
        </w:rPr>
        <w:t>發展，跨境電商中，物流的繁瑣與極度不透明是最</w:t>
      </w:r>
      <w:r w:rsidR="00DB5A2E" w:rsidRPr="00C77E77">
        <w:rPr>
          <w:rFonts w:ascii="Times New Roman" w:eastAsia="標楷體" w:hAnsi="Times New Roman" w:cs="Times New Roman"/>
          <w:sz w:val="28"/>
          <w:szCs w:val="28"/>
        </w:rPr>
        <w:t>難解的課題</w:t>
      </w:r>
      <w:r w:rsidRPr="00C77E77">
        <w:rPr>
          <w:rFonts w:ascii="Times New Roman" w:eastAsia="標楷體" w:hAnsi="Times New Roman" w:cs="Times New Roman"/>
          <w:sz w:val="28"/>
          <w:szCs w:val="28"/>
        </w:rPr>
        <w:t>。消費者對貨物的訴求趨於即時性、小批量、多元化；不管是企業或消費大眾，對物流服務都有更多的要求以及更高的標準，故發展跨境商品之快速物流模式已經成為刻不容緩之趨勢。全球化時代來臨，更讓物品的物流過程，分散在全球不同地區的各個廠商手中，一旦物品相關資訊無法即時、正確由上一個廠商傳達到下一家廠商，下游需求資訊無法即時傳達給上游供應商，那麼物流將無法發揮原有之效能。品牌主必須精準地掌握到貨時間，否則收件日期不固定或待貨時間太長，都容易令消費者喪失信賴感。</w:t>
      </w:r>
    </w:p>
    <w:p w:rsidR="00F44D01" w:rsidRPr="00C77E77" w:rsidRDefault="00F44D01" w:rsidP="00F44D01">
      <w:pPr>
        <w:pStyle w:val="ab"/>
        <w:spacing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由於臺灣傳統物流企業的資訊化管理程度較低，無法實現物流組織效率和管理方法的提升。臺灣現有的貨運代理商仍多以人力接洽業務，透過電話或信件一來一往地詢價、比價，然而運輸中的種種細節都可能影響價格及時程，例如海空運航期、艙位與內陸運輸等等，客戶往往只能得知結果，被動且無效率地接受報價。導致實體流通過程出現各種流通障礙，進而影響</w:t>
      </w:r>
      <w:r w:rsidRPr="00C77E77">
        <w:rPr>
          <w:rFonts w:ascii="Times New Roman" w:eastAsia="標楷體" w:hAnsi="Times New Roman" w:cs="Times New Roman"/>
          <w:sz w:val="28"/>
          <w:szCs w:val="28"/>
        </w:rPr>
        <w:lastRenderedPageBreak/>
        <w:t>物流效率、成本和品質。因此要實現智慧物流，必須先從物流企業著手，建構整個物流網路的資訊化及智慧化。然而，對利潤不高的物流產業而言，成本考量是業者導入智慧物流的另一障礙。包括建立可以遠距離掃描的標籤、接收設備、系統整合、電腦通訊、資料處理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等綜合系統的建設等，以及建立以</w:t>
      </w:r>
      <w:r w:rsidRPr="00C77E77">
        <w:rPr>
          <w:rFonts w:ascii="Times New Roman" w:eastAsia="標楷體" w:hAnsi="Times New Roman" w:cs="Times New Roman"/>
          <w:sz w:val="28"/>
          <w:szCs w:val="28"/>
        </w:rPr>
        <w:t>GIS</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GPS</w:t>
      </w:r>
      <w:r w:rsidRPr="00C77E77">
        <w:rPr>
          <w:rFonts w:ascii="Times New Roman" w:eastAsia="標楷體" w:hAnsi="Times New Roman" w:cs="Times New Roman"/>
          <w:sz w:val="28"/>
          <w:szCs w:val="28"/>
        </w:rPr>
        <w:t>技術和無線網路通信技術（</w:t>
      </w:r>
      <w:r w:rsidRPr="00C77E77">
        <w:rPr>
          <w:rFonts w:ascii="Times New Roman" w:eastAsia="標楷體" w:hAnsi="Times New Roman" w:cs="Times New Roman"/>
          <w:sz w:val="28"/>
          <w:szCs w:val="28"/>
        </w:rPr>
        <w:t>GSM/GPRS</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CDMA</w:t>
      </w:r>
      <w:r w:rsidRPr="00C77E77">
        <w:rPr>
          <w:rFonts w:ascii="Times New Roman" w:eastAsia="標楷體" w:hAnsi="Times New Roman" w:cs="Times New Roman"/>
          <w:sz w:val="28"/>
          <w:szCs w:val="28"/>
        </w:rPr>
        <w:t>）為基礎，對車輛調度、倉儲、裝載與配送進行優化調度等成本。此外，更重要的是如何確保資訊安全問題，智慧物流也跟所有的網路應用一樣，面臨許多企業機密和個人隱私的資訊安全問題，甚至因為國際物流的環境複雜，還會涉及到越來越多的國家安全問題。</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color w:val="FF0000"/>
          <w:sz w:val="28"/>
          <w:szCs w:val="28"/>
          <w:highlight w:val="green"/>
        </w:rPr>
      </w:pPr>
      <w:r w:rsidRPr="00C77E77">
        <w:rPr>
          <w:rFonts w:ascii="Times New Roman" w:eastAsia="標楷體" w:hAnsi="Times New Roman" w:cs="Times New Roman"/>
          <w:sz w:val="28"/>
          <w:szCs w:val="28"/>
        </w:rPr>
        <w:t>最後，港口是運輸物流鏈的一環，為因應企業營運模式的發展，臺灣港口必須由純粹的運輸角色轉型，從造量的競爭移轉到加值的競爭。國際上港灣城市轉型成功的例子，如日本以水岸及港埠再開發政策，將舊有的大阪城打造為商業貿易與傳統文化並重的港都城市；韓國釜山近年以港灣物流、影視文化、會展產業等策略性產業發展提升整體經濟動能；英國利物浦近年主力推動港灣物流產業、文化創意及觀光會展產業，成功由工業之都轉型為文化之都；美國的邁阿密經由扶植油輪母港等相關政策，將原為槍枝販毒的犯罪城市成功轉型為會展觀光的港都城市；法國馬賽以運輸物流、微電子產業、文化觀光會展產業發展，成功扭轉過去多重文化移民的低階文化形象。</w:t>
      </w:r>
      <w:r w:rsidRPr="00C77E77">
        <w:rPr>
          <w:rStyle w:val="a9"/>
          <w:rFonts w:ascii="Times New Roman" w:eastAsia="標楷體" w:hAnsi="Times New Roman" w:cs="Times New Roman"/>
          <w:sz w:val="28"/>
          <w:szCs w:val="28"/>
        </w:rPr>
        <w:footnoteReference w:id="58"/>
      </w:r>
    </w:p>
    <w:p w:rsidR="00F44D01" w:rsidRPr="00C77E77" w:rsidRDefault="00F44D01" w:rsidP="00764ED7">
      <w:pPr>
        <w:pStyle w:val="ab"/>
        <w:numPr>
          <w:ilvl w:val="0"/>
          <w:numId w:val="23"/>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雲端系統</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雲端服務乃是經由網路，將龐大之運算能力供給使用者應用之一種服務。雲端服務的應用帶領三種服務模式興起：提供基礎架構運算資源之基礎架構及服務（</w:t>
      </w:r>
      <w:r w:rsidRPr="00C77E77">
        <w:rPr>
          <w:rFonts w:ascii="Times New Roman" w:eastAsia="標楷體" w:hAnsi="Times New Roman" w:cs="Times New Roman"/>
          <w:sz w:val="28"/>
          <w:szCs w:val="28"/>
        </w:rPr>
        <w:t>Infrastructure as a Service, IaaS</w:t>
      </w:r>
      <w:r w:rsidRPr="00C77E77">
        <w:rPr>
          <w:rFonts w:ascii="Times New Roman" w:eastAsia="標楷體" w:hAnsi="Times New Roman" w:cs="Times New Roman"/>
          <w:sz w:val="28"/>
          <w:szCs w:val="28"/>
        </w:rPr>
        <w:t>）、提供開發佈署工具功能之平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及服務（</w:t>
      </w:r>
      <w:r w:rsidRPr="00C77E77">
        <w:rPr>
          <w:rFonts w:ascii="Times New Roman" w:eastAsia="標楷體" w:hAnsi="Times New Roman" w:cs="Times New Roman"/>
          <w:sz w:val="28"/>
          <w:szCs w:val="28"/>
        </w:rPr>
        <w:t>PaaS</w:t>
      </w:r>
      <w:r w:rsidRPr="00C77E77">
        <w:rPr>
          <w:rFonts w:ascii="Times New Roman" w:eastAsia="標楷體" w:hAnsi="Times New Roman" w:cs="Times New Roman"/>
          <w:sz w:val="28"/>
          <w:szCs w:val="28"/>
        </w:rPr>
        <w:t>），與提供商業流程運作之軟體及服務（</w:t>
      </w:r>
      <w:r w:rsidRPr="00C77E77">
        <w:rPr>
          <w:rFonts w:ascii="Times New Roman" w:eastAsia="標楷體" w:hAnsi="Times New Roman" w:cs="Times New Roman"/>
          <w:sz w:val="28"/>
          <w:szCs w:val="28"/>
        </w:rPr>
        <w:t>SaaS</w:t>
      </w:r>
      <w:r w:rsidRPr="00C77E77">
        <w:rPr>
          <w:rFonts w:ascii="Times New Roman" w:eastAsia="標楷體" w:hAnsi="Times New Roman" w:cs="Times New Roman"/>
          <w:sz w:val="28"/>
          <w:szCs w:val="28"/>
        </w:rPr>
        <w:t>）。資訊服務市場發展重要議題雲端運算方興未艾，雲端服務在全球資訊服務市場中為成長最快速者。其全球市場規模將由</w:t>
      </w:r>
      <w:r w:rsidRPr="00C77E77">
        <w:rPr>
          <w:rFonts w:ascii="Times New Roman" w:eastAsia="標楷體" w:hAnsi="Times New Roman" w:cs="Times New Roman"/>
          <w:sz w:val="28"/>
          <w:szCs w:val="28"/>
        </w:rPr>
        <w:t xml:space="preserve"> 2013</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255</w:t>
      </w:r>
      <w:r w:rsidRPr="00C77E77">
        <w:rPr>
          <w:rFonts w:ascii="Times New Roman" w:eastAsia="標楷體" w:hAnsi="Times New Roman" w:cs="Times New Roman"/>
          <w:sz w:val="28"/>
          <w:szCs w:val="28"/>
        </w:rPr>
        <w:t>億美元成長至</w:t>
      </w:r>
      <w:r w:rsidRPr="00C77E77">
        <w:rPr>
          <w:rFonts w:ascii="Times New Roman" w:eastAsia="標楷體" w:hAnsi="Times New Roman" w:cs="Times New Roman"/>
          <w:sz w:val="28"/>
          <w:szCs w:val="28"/>
        </w:rPr>
        <w:t>2018</w:t>
      </w:r>
      <w:r w:rsidRPr="00C77E77">
        <w:rPr>
          <w:rFonts w:ascii="Times New Roman" w:eastAsia="標楷體" w:hAnsi="Times New Roman" w:cs="Times New Roman"/>
          <w:sz w:val="28"/>
          <w:szCs w:val="28"/>
        </w:rPr>
        <w:t>年預估的</w:t>
      </w:r>
      <w:r w:rsidRPr="00C77E77">
        <w:rPr>
          <w:rFonts w:ascii="Times New Roman" w:eastAsia="標楷體" w:hAnsi="Times New Roman" w:cs="Times New Roman"/>
          <w:sz w:val="28"/>
          <w:szCs w:val="28"/>
        </w:rPr>
        <w:t>1,810</w:t>
      </w:r>
      <w:r w:rsidRPr="00C77E77">
        <w:rPr>
          <w:rFonts w:ascii="Times New Roman" w:eastAsia="標楷體" w:hAnsi="Times New Roman" w:cs="Times New Roman"/>
          <w:sz w:val="28"/>
          <w:szCs w:val="28"/>
        </w:rPr>
        <w:lastRenderedPageBreak/>
        <w:t>億美元，複合年成長率為</w:t>
      </w:r>
      <w:r w:rsidRPr="00C77E77">
        <w:rPr>
          <w:rFonts w:ascii="Times New Roman" w:eastAsia="標楷體" w:hAnsi="Times New Roman" w:cs="Times New Roman"/>
          <w:sz w:val="28"/>
          <w:szCs w:val="28"/>
        </w:rPr>
        <w:t>18.6%</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59"/>
      </w:r>
      <w:r w:rsidRPr="00C77E77">
        <w:rPr>
          <w:rFonts w:ascii="Times New Roman" w:eastAsia="標楷體" w:hAnsi="Times New Roman" w:cs="Times New Roman"/>
          <w:sz w:val="28"/>
          <w:szCs w:val="28"/>
        </w:rPr>
        <w:t xml:space="preserve"> </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我國雲端系統產業現況的優勢（</w:t>
      </w:r>
      <w:r w:rsidRPr="00C77E77">
        <w:rPr>
          <w:rFonts w:ascii="Times New Roman" w:eastAsia="標楷體" w:hAnsi="Times New Roman" w:cs="Times New Roman"/>
          <w:color w:val="000000" w:themeColor="text1"/>
          <w:sz w:val="28"/>
          <w:szCs w:val="28"/>
        </w:rPr>
        <w:t>S</w:t>
      </w:r>
      <w:r w:rsidRPr="00C77E77">
        <w:rPr>
          <w:rFonts w:ascii="Times New Roman" w:eastAsia="標楷體" w:hAnsi="Times New Roman" w:cs="Times New Roman"/>
          <w:color w:val="000000" w:themeColor="text1"/>
          <w:sz w:val="28"/>
          <w:szCs w:val="28"/>
        </w:rPr>
        <w:t>）在於，臺灣雲端服務市場規模</w:t>
      </w:r>
      <w:r w:rsidRPr="00C77E77">
        <w:rPr>
          <w:rFonts w:ascii="Times New Roman" w:eastAsia="標楷體" w:hAnsi="Times New Roman" w:cs="Times New Roman"/>
          <w:sz w:val="28"/>
          <w:szCs w:val="28"/>
        </w:rPr>
        <w:t>的發展方面，其市場規模將由</w:t>
      </w:r>
      <w:r w:rsidRPr="00C77E77">
        <w:rPr>
          <w:rFonts w:ascii="Times New Roman" w:eastAsia="標楷體" w:hAnsi="Times New Roman" w:cs="Times New Roman"/>
          <w:sz w:val="28"/>
          <w:szCs w:val="28"/>
        </w:rPr>
        <w:t xml:space="preserve"> 2011 </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 xml:space="preserve"> 63 </w:t>
      </w:r>
      <w:r w:rsidRPr="00C77E77">
        <w:rPr>
          <w:rFonts w:ascii="Times New Roman" w:eastAsia="標楷體" w:hAnsi="Times New Roman" w:cs="Times New Roman"/>
          <w:sz w:val="28"/>
          <w:szCs w:val="28"/>
        </w:rPr>
        <w:t>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幣成長至</w:t>
      </w:r>
      <w:r w:rsidRPr="00C77E77">
        <w:rPr>
          <w:rFonts w:ascii="Times New Roman" w:eastAsia="標楷體" w:hAnsi="Times New Roman" w:cs="Times New Roman"/>
          <w:sz w:val="28"/>
          <w:szCs w:val="28"/>
        </w:rPr>
        <w:t xml:space="preserve"> 2016 </w:t>
      </w:r>
      <w:r w:rsidRPr="00C77E77">
        <w:rPr>
          <w:rFonts w:ascii="Times New Roman" w:eastAsia="標楷體" w:hAnsi="Times New Roman" w:cs="Times New Roman"/>
          <w:sz w:val="28"/>
          <w:szCs w:val="28"/>
        </w:rPr>
        <w:t>年預估的</w:t>
      </w:r>
      <w:r w:rsidRPr="00C77E77">
        <w:rPr>
          <w:rFonts w:ascii="Times New Roman" w:eastAsia="標楷體" w:hAnsi="Times New Roman" w:cs="Times New Roman"/>
          <w:sz w:val="28"/>
          <w:szCs w:val="28"/>
        </w:rPr>
        <w:t xml:space="preserve"> 138 </w:t>
      </w:r>
      <w:r w:rsidRPr="00C77E77">
        <w:rPr>
          <w:rFonts w:ascii="Times New Roman" w:eastAsia="標楷體" w:hAnsi="Times New Roman" w:cs="Times New Roman"/>
          <w:sz w:val="28"/>
          <w:szCs w:val="28"/>
        </w:rPr>
        <w:t>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幣，複合年成長率為</w:t>
      </w:r>
      <w:r w:rsidRPr="00C77E77">
        <w:rPr>
          <w:rFonts w:ascii="Times New Roman" w:eastAsia="標楷體" w:hAnsi="Times New Roman" w:cs="Times New Roman"/>
          <w:sz w:val="28"/>
          <w:szCs w:val="28"/>
        </w:rPr>
        <w:t xml:space="preserve"> 17.1%</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60"/>
      </w:r>
      <w:r w:rsidRPr="00C77E77">
        <w:rPr>
          <w:rFonts w:ascii="Times New Roman" w:eastAsia="標楷體" w:hAnsi="Times New Roman" w:cs="Times New Roman"/>
          <w:sz w:val="28"/>
          <w:szCs w:val="28"/>
        </w:rPr>
        <w:t>在臺灣雲端服務市場發展方面，企業持續對雲端服務採取評估與測試，並逐步將非核心業務的資訊系統轉移至雲端，惟目前仍以基本的電子郵件、視訊會議與資安掃毒等為主要採用的服務項目。同時，臺灣的大型電信業者，包括中華電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灣大哥大、遠傳等電信業者，各自結合本土資訊服務廠商、本土資通訊設備廠商，以及國際資訊服務大廠，推出雲端運算的基礎架構及服務（</w:t>
      </w:r>
      <w:r w:rsidRPr="00C77E77">
        <w:rPr>
          <w:rFonts w:ascii="Times New Roman" w:eastAsia="標楷體" w:hAnsi="Times New Roman" w:cs="Times New Roman"/>
          <w:sz w:val="28"/>
          <w:szCs w:val="28"/>
        </w:rPr>
        <w:t>IaaS</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此外臺灣系統整合業者也積極推展雲端服務。</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過去企業對於資料儲存的焦點大多集中在龐大的資料量如何儲存與備援。來到</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年，隨著雲端服務逐漸成熟，臺灣有越來越多企業將應用系統搬上雲端，目前在企業資訊基礎架構方面的重要資訊服務有運算資源虛擬化、災難復原修復工作、資料中心建置與供應資料平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等服務，而從這些服務中可分成傳統委外服務與雲端服務兩大類型。這類服務也驅動了企業對於伺服器的採購、汰換與升級。</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「數位化企業（</w:t>
      </w:r>
      <w:r w:rsidRPr="00C77E77">
        <w:rPr>
          <w:rFonts w:ascii="Times New Roman" w:eastAsia="標楷體" w:hAnsi="Times New Roman" w:cs="Times New Roman"/>
          <w:sz w:val="28"/>
          <w:szCs w:val="28"/>
        </w:rPr>
        <w:t>Digital Business</w:t>
      </w:r>
      <w:r w:rsidRPr="00C77E77">
        <w:rPr>
          <w:rFonts w:ascii="Times New Roman" w:eastAsia="標楷體" w:hAnsi="Times New Roman" w:cs="Times New Roman"/>
          <w:sz w:val="28"/>
          <w:szCs w:val="28"/>
        </w:rPr>
        <w:t>）」儼然成為轉型升級的必要資訊投資定位與策略。企業轉向採用雲端應用架構方向的同時，傳統資訊服務廠商亦順應趨勢採取因應之道，以私有雲或混合雲服務建置為先。雲端服務其相關產業亦從虛擬化及綠色節能等風潮引領下，衍生更多關於系統整合之應用。在大數據、智慧裝置、行動應用、雲端運算（大智移雲）等新興科技持續引領應用趨勢，以及結合智慧聯網（</w:t>
      </w:r>
      <w:r w:rsidRPr="00C77E77">
        <w:rPr>
          <w:rFonts w:ascii="Times New Roman" w:eastAsia="標楷體" w:hAnsi="Times New Roman" w:cs="Times New Roman"/>
          <w:sz w:val="28"/>
          <w:szCs w:val="28"/>
        </w:rPr>
        <w:t>M2M</w:t>
      </w:r>
      <w:r w:rsidRPr="00C77E77">
        <w:rPr>
          <w:rFonts w:ascii="Times New Roman" w:eastAsia="標楷體" w:hAnsi="Times New Roman" w:cs="Times New Roman"/>
          <w:sz w:val="28"/>
          <w:szCs w:val="28"/>
        </w:rPr>
        <w:t>）、物聯網（</w:t>
      </w:r>
      <w:r w:rsidRPr="00C77E77">
        <w:rPr>
          <w:rFonts w:ascii="Times New Roman" w:eastAsia="標楷體" w:hAnsi="Times New Roman" w:cs="Times New Roman"/>
          <w:sz w:val="28"/>
          <w:szCs w:val="28"/>
        </w:rPr>
        <w:t>IoT</w:t>
      </w:r>
      <w:r w:rsidRPr="00C77E77">
        <w:rPr>
          <w:rFonts w:ascii="Times New Roman" w:eastAsia="標楷體" w:hAnsi="Times New Roman" w:cs="Times New Roman"/>
          <w:sz w:val="28"/>
          <w:szCs w:val="28"/>
        </w:rPr>
        <w:t>）等發展萬物聯網環境下，將促使各行業資訊應用與樣貌出現大轉變。在未來，資料的即時性與多樣性將成為差異化競爭時的重要特性。資策會產業情報研究所資深產業分析</w:t>
      </w:r>
      <w:r w:rsidRPr="00C77E77">
        <w:rPr>
          <w:rFonts w:ascii="Times New Roman" w:eastAsia="標楷體" w:hAnsi="Times New Roman" w:cs="Times New Roman"/>
          <w:sz w:val="28"/>
          <w:szCs w:val="28"/>
        </w:rPr>
        <w:lastRenderedPageBreak/>
        <w:t>師童啟晟建議，企業朝向數位化轉變時，「核心業務改造」及「嶄新業務開拓」將是達成目標的兩支箭。「企業核心業務改造」技術，如：雲端資料中心的基礎建設、企業資源規劃軟體、雲端服務、網路暨語音</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資料之通信、資通訊安全、特定行業應用、傳統系統更新等。「企業嶄新業務開拓」技術，如：商業智慧暨分析軟體、行動應用、企業數位化</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數位行銷、客戶關係管理軟體、社群協作等。</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據臺灣資訊類雜誌中發行量最大的</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雜誌《</w:t>
      </w:r>
      <w:r w:rsidRPr="00C77E77">
        <w:rPr>
          <w:rFonts w:ascii="Times New Roman" w:eastAsia="標楷體" w:hAnsi="Times New Roman" w:cs="Times New Roman"/>
          <w:sz w:val="28"/>
          <w:szCs w:val="28"/>
        </w:rPr>
        <w:t>iThome</w:t>
      </w:r>
      <w:r w:rsidRPr="00C77E77">
        <w:rPr>
          <w:rFonts w:ascii="Times New Roman" w:eastAsia="標楷體" w:hAnsi="Times New Roman" w:cs="Times New Roman"/>
          <w:sz w:val="28"/>
          <w:szCs w:val="28"/>
        </w:rPr>
        <w:t>電腦周刊》進行的調查統計，</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年臺灣企業平均有</w:t>
      </w:r>
      <w:r w:rsidRPr="00C77E77">
        <w:rPr>
          <w:rFonts w:ascii="Times New Roman" w:eastAsia="標楷體" w:hAnsi="Times New Roman" w:cs="Times New Roman"/>
          <w:sz w:val="28"/>
          <w:szCs w:val="28"/>
        </w:rPr>
        <w:t>14.5%</w:t>
      </w:r>
      <w:r w:rsidRPr="00C77E77">
        <w:rPr>
          <w:rFonts w:ascii="Times New Roman" w:eastAsia="標楷體" w:hAnsi="Times New Roman" w:cs="Times New Roman"/>
          <w:sz w:val="28"/>
          <w:szCs w:val="28"/>
        </w:rPr>
        <w:t>的應用系統已經上雲端，而以個別產業來看，政府機關與學校居冠，高達</w:t>
      </w:r>
      <w:r w:rsidRPr="00C77E77">
        <w:rPr>
          <w:rFonts w:ascii="Times New Roman" w:eastAsia="標楷體" w:hAnsi="Times New Roman" w:cs="Times New Roman"/>
          <w:sz w:val="28"/>
          <w:szCs w:val="28"/>
        </w:rPr>
        <w:t>34.4%</w:t>
      </w:r>
      <w:r w:rsidRPr="00C77E77">
        <w:rPr>
          <w:rFonts w:ascii="Times New Roman" w:eastAsia="標楷體" w:hAnsi="Times New Roman" w:cs="Times New Roman"/>
          <w:sz w:val="28"/>
          <w:szCs w:val="28"/>
        </w:rPr>
        <w:t>，原因之一</w:t>
      </w:r>
      <w:r w:rsidR="00DB5A2E" w:rsidRPr="00C77E77">
        <w:rPr>
          <w:rFonts w:ascii="Times New Roman" w:eastAsia="標楷體" w:hAnsi="Times New Roman" w:cs="Times New Roman"/>
          <w:sz w:val="28"/>
          <w:szCs w:val="28"/>
        </w:rPr>
        <w:t>是</w:t>
      </w:r>
      <w:r w:rsidRPr="00C77E77">
        <w:rPr>
          <w:rFonts w:ascii="Times New Roman" w:eastAsia="標楷體" w:hAnsi="Times New Roman" w:cs="Times New Roman"/>
          <w:sz w:val="28"/>
          <w:szCs w:val="28"/>
        </w:rPr>
        <w:t>政府近年積極打造各</w:t>
      </w:r>
      <w:r w:rsidR="00DB5A2E" w:rsidRPr="00C77E77">
        <w:rPr>
          <w:rFonts w:ascii="Times New Roman" w:eastAsia="標楷體" w:hAnsi="Times New Roman" w:cs="Times New Roman"/>
          <w:sz w:val="28"/>
          <w:szCs w:val="28"/>
        </w:rPr>
        <w:t>種雲，如政府雲、食品雲、防災雲與教育雲等。目前政府雲的推動方向朝</w:t>
      </w:r>
      <w:r w:rsidRPr="00C77E77">
        <w:rPr>
          <w:rFonts w:ascii="Times New Roman" w:eastAsia="標楷體" w:hAnsi="Times New Roman" w:cs="Times New Roman"/>
          <w:sz w:val="28"/>
          <w:szCs w:val="28"/>
        </w:rPr>
        <w:t>SaaS</w:t>
      </w:r>
      <w:r w:rsidRPr="00C77E77">
        <w:rPr>
          <w:rFonts w:ascii="Times New Roman" w:eastAsia="標楷體" w:hAnsi="Times New Roman" w:cs="Times New Roman"/>
          <w:sz w:val="28"/>
          <w:szCs w:val="28"/>
        </w:rPr>
        <w:t>的雲端應用模式，也反應在雲端化的程度上。而金融業緊跟在後，已經將</w:t>
      </w:r>
      <w:r w:rsidRPr="00C77E77">
        <w:rPr>
          <w:rFonts w:ascii="Times New Roman" w:eastAsia="標楷體" w:hAnsi="Times New Roman" w:cs="Times New Roman"/>
          <w:sz w:val="28"/>
          <w:szCs w:val="28"/>
        </w:rPr>
        <w:t>21.1%</w:t>
      </w:r>
      <w:r w:rsidRPr="00C77E77">
        <w:rPr>
          <w:rFonts w:ascii="Times New Roman" w:eastAsia="標楷體" w:hAnsi="Times New Roman" w:cs="Times New Roman"/>
          <w:sz w:val="28"/>
          <w:szCs w:val="28"/>
        </w:rPr>
        <w:t>的應用系統上雲端，再來是服務業為</w:t>
      </w:r>
      <w:r w:rsidRPr="00C77E77">
        <w:rPr>
          <w:rFonts w:ascii="Times New Roman" w:eastAsia="標楷體" w:hAnsi="Times New Roman" w:cs="Times New Roman"/>
          <w:sz w:val="28"/>
          <w:szCs w:val="28"/>
        </w:rPr>
        <w:t>17.0%</w:t>
      </w:r>
      <w:r w:rsidRPr="00C77E77">
        <w:rPr>
          <w:rFonts w:ascii="Times New Roman" w:eastAsia="標楷體" w:hAnsi="Times New Roman" w:cs="Times New Roman"/>
          <w:sz w:val="28"/>
          <w:szCs w:val="28"/>
        </w:rPr>
        <w:t>。接著是高科技製造業、醫療業與一般製造業。高達</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成醫療業過半應用系統已上雲端。此外，企業內部應用超過</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雲端化來定義雲端企業時，政府機關與學校中，</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以上的內部應用系統已經搬上雲端的比例高達</w:t>
      </w:r>
      <w:r w:rsidRPr="00C77E77">
        <w:rPr>
          <w:rFonts w:ascii="Times New Roman" w:eastAsia="標楷體" w:hAnsi="Times New Roman" w:cs="Times New Roman"/>
          <w:sz w:val="28"/>
          <w:szCs w:val="28"/>
        </w:rPr>
        <w:t>40.0%</w:t>
      </w:r>
      <w:r w:rsidRPr="00C77E77">
        <w:rPr>
          <w:rFonts w:ascii="Times New Roman" w:eastAsia="標楷體" w:hAnsi="Times New Roman" w:cs="Times New Roman"/>
          <w:sz w:val="28"/>
          <w:szCs w:val="28"/>
        </w:rPr>
        <w:t>，顯示政府逐步深化雲端服務已有成果。接下來是金融業，隨著各家銀行紛紛推出新裝置與服務以滿足客戶需求，如個人網路銀行、行動支付等，使得金融業中，符合雲端企業條件的企業達到</w:t>
      </w:r>
      <w:r w:rsidRPr="00C77E77">
        <w:rPr>
          <w:rFonts w:ascii="Times New Roman" w:eastAsia="標楷體" w:hAnsi="Times New Roman" w:cs="Times New Roman"/>
          <w:sz w:val="28"/>
          <w:szCs w:val="28"/>
        </w:rPr>
        <w:t>21.4%</w:t>
      </w:r>
      <w:r w:rsidRPr="00C77E77">
        <w:rPr>
          <w:rFonts w:ascii="Times New Roman" w:eastAsia="標楷體" w:hAnsi="Times New Roman" w:cs="Times New Roman"/>
          <w:sz w:val="28"/>
          <w:szCs w:val="28"/>
        </w:rPr>
        <w:t>，不過，雖然金融業在</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投資金額高達</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7,838</w:t>
      </w:r>
      <w:r w:rsidRPr="00C77E77">
        <w:rPr>
          <w:rFonts w:ascii="Times New Roman" w:eastAsia="標楷體" w:hAnsi="Times New Roman" w:cs="Times New Roman"/>
          <w:sz w:val="28"/>
          <w:szCs w:val="28"/>
        </w:rPr>
        <w:t>萬元，居所有產業之冠，不過，達成雲端企業的時間最久，其餘近</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成的金融業者，需要</w:t>
      </w:r>
      <w:r w:rsidRPr="00C77E77">
        <w:rPr>
          <w:rFonts w:ascii="Times New Roman" w:eastAsia="標楷體" w:hAnsi="Times New Roman" w:cs="Times New Roman"/>
          <w:sz w:val="28"/>
          <w:szCs w:val="28"/>
        </w:rPr>
        <w:t>5.6</w:t>
      </w:r>
      <w:r w:rsidRPr="00C77E77">
        <w:rPr>
          <w:rFonts w:ascii="Times New Roman" w:eastAsia="標楷體" w:hAnsi="Times New Roman" w:cs="Times New Roman"/>
          <w:sz w:val="28"/>
          <w:szCs w:val="28"/>
        </w:rPr>
        <w:t>年才能成為雲端企業。接下來是服務業為</w:t>
      </w:r>
      <w:r w:rsidRPr="00C77E77">
        <w:rPr>
          <w:rFonts w:ascii="Times New Roman" w:eastAsia="標楷體" w:hAnsi="Times New Roman" w:cs="Times New Roman"/>
          <w:sz w:val="28"/>
          <w:szCs w:val="28"/>
        </w:rPr>
        <w:t>12.4%</w:t>
      </w:r>
      <w:r w:rsidRPr="00C77E77">
        <w:rPr>
          <w:rFonts w:ascii="Times New Roman" w:eastAsia="標楷體" w:hAnsi="Times New Roman" w:cs="Times New Roman"/>
          <w:sz w:val="28"/>
          <w:szCs w:val="28"/>
        </w:rPr>
        <w:t>，而醫療業與高科技製造業分別為</w:t>
      </w:r>
      <w:r w:rsidRPr="00C77E77">
        <w:rPr>
          <w:rFonts w:ascii="Times New Roman" w:eastAsia="標楷體" w:hAnsi="Times New Roman" w:cs="Times New Roman"/>
          <w:sz w:val="28"/>
          <w:szCs w:val="28"/>
        </w:rPr>
        <w:t>10.5%</w:t>
      </w:r>
      <w:r w:rsidRPr="00C77E77">
        <w:rPr>
          <w:rFonts w:ascii="Times New Roman" w:eastAsia="標楷體" w:hAnsi="Times New Roman" w:cs="Times New Roman"/>
          <w:sz w:val="28"/>
          <w:szCs w:val="28"/>
        </w:rPr>
        <w:t>與</w:t>
      </w:r>
      <w:r w:rsidRPr="00C77E77">
        <w:rPr>
          <w:rFonts w:ascii="Times New Roman" w:eastAsia="標楷體" w:hAnsi="Times New Roman" w:cs="Times New Roman"/>
          <w:sz w:val="28"/>
          <w:szCs w:val="28"/>
        </w:rPr>
        <w:t>10.4%</w:t>
      </w:r>
      <w:r w:rsidRPr="00C77E77">
        <w:rPr>
          <w:rFonts w:ascii="Times New Roman" w:eastAsia="標楷體" w:hAnsi="Times New Roman" w:cs="Times New Roman"/>
          <w:sz w:val="28"/>
          <w:szCs w:val="28"/>
        </w:rPr>
        <w:t>，最後是一般製造業則為</w:t>
      </w:r>
      <w:r w:rsidRPr="00C77E77">
        <w:rPr>
          <w:rFonts w:ascii="Times New Roman" w:eastAsia="標楷體" w:hAnsi="Times New Roman" w:cs="Times New Roman"/>
          <w:sz w:val="28"/>
          <w:szCs w:val="28"/>
        </w:rPr>
        <w:t>7.5%</w:t>
      </w:r>
      <w:r w:rsidRPr="00C77E77">
        <w:rPr>
          <w:rFonts w:ascii="Times New Roman" w:eastAsia="標楷體" w:hAnsi="Times New Roman" w:cs="Times New Roman"/>
          <w:sz w:val="28"/>
          <w:szCs w:val="28"/>
        </w:rPr>
        <w:t>。而綜觀來看，政府機關與學校的雲端化速度最快。</w:t>
      </w:r>
      <w:r w:rsidRPr="00C77E77">
        <w:rPr>
          <w:rStyle w:val="a9"/>
          <w:rFonts w:ascii="Times New Roman" w:eastAsia="標楷體" w:hAnsi="Times New Roman" w:cs="Times New Roman"/>
          <w:sz w:val="28"/>
          <w:szCs w:val="28"/>
        </w:rPr>
        <w:footnoteReference w:id="61"/>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政府亦將雲端產業作為主要推動對象。我國行政院推動之「雲端運算應用與產業發展方案」（</w:t>
      </w:r>
      <w:r w:rsidRPr="00C77E77">
        <w:rPr>
          <w:rFonts w:ascii="Times New Roman" w:eastAsia="標楷體" w:hAnsi="Times New Roman" w:cs="Times New Roman"/>
          <w:sz w:val="28"/>
          <w:szCs w:val="28"/>
        </w:rPr>
        <w:t>IDC Solution</w:t>
      </w:r>
      <w:r w:rsidRPr="00C77E77">
        <w:rPr>
          <w:rFonts w:ascii="Times New Roman" w:eastAsia="標楷體" w:hAnsi="Times New Roman" w:cs="Times New Roman"/>
          <w:sz w:val="28"/>
          <w:szCs w:val="28"/>
        </w:rPr>
        <w:t>），為經濟部工業局為協助我國資通訊業者轉型發展雲端所打造，目的是透過「軟硬整合」策略協助提升產業附加價值及布局雲端運算領域。該方案乃由英業達與中華電信等雲端知名業者合作，</w:t>
      </w:r>
      <w:r w:rsidRPr="00C77E77">
        <w:rPr>
          <w:rFonts w:ascii="Times New Roman" w:eastAsia="標楷體" w:hAnsi="Times New Roman" w:cs="Times New Roman"/>
          <w:sz w:val="28"/>
          <w:szCs w:val="28"/>
        </w:rPr>
        <w:lastRenderedPageBreak/>
        <w:t>並結合資策會的技術研發共同打造。</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年「國產雲端資料中心解決方案」啟動，預計在</w:t>
      </w:r>
      <w:r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年前將創造</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億元之雲端應用服務外銷金額。</w:t>
      </w:r>
      <w:r w:rsidRPr="00C77E77">
        <w:rPr>
          <w:rStyle w:val="a9"/>
          <w:rFonts w:ascii="Times New Roman" w:eastAsia="標楷體" w:hAnsi="Times New Roman" w:cs="Times New Roman"/>
          <w:sz w:val="28"/>
          <w:szCs w:val="28"/>
        </w:rPr>
        <w:footnoteReference w:id="62"/>
      </w:r>
    </w:p>
    <w:p w:rsidR="00F44D01" w:rsidRPr="00C77E77" w:rsidRDefault="00F44D01" w:rsidP="00F44D01">
      <w:pPr>
        <w:spacing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我國雲端系統產業現況的劣勢在於，臺灣同時面臨先進國家</w:t>
      </w:r>
      <w:r w:rsidRPr="00C77E77">
        <w:rPr>
          <w:rFonts w:ascii="Times New Roman" w:eastAsia="標楷體" w:hAnsi="Times New Roman" w:cs="Times New Roman"/>
          <w:sz w:val="28"/>
          <w:szCs w:val="28"/>
        </w:rPr>
        <w:t>產業技術領先與新興國家技術趕超的雙重壓力，我國製造業有急迫升級轉型的需求。當前世界上主要經濟體國家所構思的新產業發展方向，即是更加強調產業技術水準的提升。有別於傳統強調自動化生產模式，此波新的產業革命趨勢是，強調資訊技術與製造技術之間深度融合。德、美、日等主要國家對於智慧化製造的願景，陸續提出相關的發展計畫，例如美國的「先進製造技術（</w:t>
      </w:r>
      <w:r w:rsidRPr="00C77E77">
        <w:rPr>
          <w:rFonts w:ascii="Times New Roman" w:eastAsia="標楷體" w:hAnsi="Times New Roman" w:cs="Times New Roman"/>
          <w:sz w:val="28"/>
          <w:szCs w:val="28"/>
        </w:rPr>
        <w:t>AMP</w:t>
      </w:r>
      <w:r w:rsidRPr="00C77E77">
        <w:rPr>
          <w:rFonts w:ascii="Times New Roman" w:eastAsia="標楷體" w:hAnsi="Times New Roman" w:cs="Times New Roman"/>
          <w:sz w:val="28"/>
          <w:szCs w:val="28"/>
        </w:rPr>
        <w:t>）」、韓國的「製造業創新</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策略」、德國的「工業</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」、歐盟的「</w:t>
      </w:r>
      <w:r w:rsidRPr="00C77E77">
        <w:rPr>
          <w:rFonts w:ascii="Times New Roman" w:eastAsia="標楷體" w:hAnsi="Times New Roman" w:cs="Times New Roman"/>
          <w:sz w:val="28"/>
          <w:szCs w:val="28"/>
        </w:rPr>
        <w:t>ESPRIT</w:t>
      </w:r>
      <w:r w:rsidRPr="00C77E77">
        <w:rPr>
          <w:rFonts w:ascii="Times New Roman" w:eastAsia="標楷體" w:hAnsi="Times New Roman" w:cs="Times New Roman"/>
          <w:sz w:val="28"/>
          <w:szCs w:val="28"/>
        </w:rPr>
        <w:t>」、日本的「智慧製造系統（</w:t>
      </w:r>
      <w:r w:rsidRPr="00C77E77">
        <w:rPr>
          <w:rFonts w:ascii="Times New Roman" w:eastAsia="標楷體" w:hAnsi="Times New Roman" w:cs="Times New Roman"/>
          <w:sz w:val="28"/>
          <w:szCs w:val="28"/>
        </w:rPr>
        <w:t>IMS</w:t>
      </w:r>
      <w:r w:rsidRPr="00C77E77">
        <w:rPr>
          <w:rFonts w:ascii="Times New Roman" w:eastAsia="標楷體" w:hAnsi="Times New Roman" w:cs="Times New Roman"/>
          <w:sz w:val="28"/>
          <w:szCs w:val="28"/>
        </w:rPr>
        <w:t>）」。而被視為「世界工廠」的中國，除了將高階製造設備列入十二五及十三五計畫中，同時也啟動「中國製造</w:t>
      </w:r>
      <w:r w:rsidRPr="00C77E77">
        <w:rPr>
          <w:rFonts w:ascii="Times New Roman" w:eastAsia="標楷體" w:hAnsi="Times New Roman" w:cs="Times New Roman"/>
          <w:sz w:val="28"/>
          <w:szCs w:val="28"/>
        </w:rPr>
        <w:t>2025</w:t>
      </w:r>
      <w:r w:rsidRPr="00C77E77">
        <w:rPr>
          <w:rFonts w:ascii="Times New Roman" w:eastAsia="標楷體" w:hAnsi="Times New Roman" w:cs="Times New Roman"/>
          <w:sz w:val="28"/>
          <w:szCs w:val="28"/>
        </w:rPr>
        <w:t>」計畫，主要目標為於</w:t>
      </w:r>
      <w:r w:rsidRPr="00C77E77">
        <w:rPr>
          <w:rFonts w:ascii="Times New Roman" w:eastAsia="標楷體" w:hAnsi="Times New Roman" w:cs="Times New Roman"/>
          <w:sz w:val="28"/>
          <w:szCs w:val="28"/>
        </w:rPr>
        <w:t>2025</w:t>
      </w:r>
      <w:r w:rsidRPr="00C77E77">
        <w:rPr>
          <w:rFonts w:ascii="Times New Roman" w:eastAsia="標楷體" w:hAnsi="Times New Roman" w:cs="Times New Roman"/>
          <w:sz w:val="28"/>
          <w:szCs w:val="28"/>
        </w:rPr>
        <w:t>年成為全球製造強國。</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依據臺灣經濟研究院執行「主要經貿國家產業競爭研究及政策規劃計畫」之研究，並根據產業關聯表可測算分析我國製造業各業別投入智慧化之程度與變化，可觀察我國現階段「產業智慧化」的發展情況。其結果顯示，</w:t>
      </w:r>
      <w:r w:rsidRPr="00C77E77">
        <w:rPr>
          <w:rFonts w:ascii="Times New Roman" w:eastAsia="標楷體" w:hAnsi="Times New Roman" w:cs="Times New Roman"/>
          <w:sz w:val="28"/>
          <w:szCs w:val="28"/>
        </w:rPr>
        <w:t>2006</w:t>
      </w:r>
      <w:r w:rsidRPr="00C77E77">
        <w:rPr>
          <w:rFonts w:ascii="Times New Roman" w:eastAsia="標楷體" w:hAnsi="Times New Roman" w:cs="Times New Roman"/>
          <w:sz w:val="28"/>
          <w:szCs w:val="28"/>
        </w:rPr>
        <w:t>年我國製造業智慧化投入係數為</w:t>
      </w:r>
      <w:r w:rsidRPr="00C77E77">
        <w:rPr>
          <w:rFonts w:ascii="Times New Roman" w:eastAsia="標楷體" w:hAnsi="Times New Roman" w:cs="Times New Roman"/>
          <w:sz w:val="28"/>
          <w:szCs w:val="28"/>
        </w:rPr>
        <w:t>0.0069</w:t>
      </w:r>
      <w:r w:rsidRPr="00C77E77">
        <w:rPr>
          <w:rFonts w:ascii="Times New Roman" w:eastAsia="標楷體" w:hAnsi="Times New Roman" w:cs="Times New Roman"/>
          <w:sz w:val="28"/>
          <w:szCs w:val="28"/>
        </w:rPr>
        <w:t>，隨著各業對於資訊的支出增加，</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年我國製造業智慧化投入係數上升至</w:t>
      </w:r>
      <w:r w:rsidRPr="00C77E77">
        <w:rPr>
          <w:rFonts w:ascii="Times New Roman" w:eastAsia="標楷體" w:hAnsi="Times New Roman" w:cs="Times New Roman"/>
          <w:sz w:val="28"/>
          <w:szCs w:val="28"/>
        </w:rPr>
        <w:t>0.0090</w:t>
      </w:r>
      <w:r w:rsidRPr="00C77E77">
        <w:rPr>
          <w:rFonts w:ascii="Times New Roman" w:eastAsia="標楷體" w:hAnsi="Times New Roman" w:cs="Times New Roman"/>
          <w:sz w:val="28"/>
          <w:szCs w:val="28"/>
        </w:rPr>
        <w:t>，增加來源主要為電腦、電子產品及光學製品業。就製造業細產業而言，</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年智慧化投入較高的產業依序為電腦、電子產品及光學製品業（</w:t>
      </w:r>
      <w:r w:rsidRPr="00C77E77">
        <w:rPr>
          <w:rFonts w:ascii="Times New Roman" w:eastAsia="標楷體" w:hAnsi="Times New Roman" w:cs="Times New Roman"/>
          <w:sz w:val="28"/>
          <w:szCs w:val="28"/>
        </w:rPr>
        <w:t>0.0913</w:t>
      </w:r>
      <w:r w:rsidRPr="00C77E77">
        <w:rPr>
          <w:rFonts w:ascii="Times New Roman" w:eastAsia="標楷體" w:hAnsi="Times New Roman" w:cs="Times New Roman"/>
          <w:sz w:val="28"/>
          <w:szCs w:val="28"/>
        </w:rPr>
        <w:t>）、機械設備業（</w:t>
      </w:r>
      <w:r w:rsidRPr="00C77E77">
        <w:rPr>
          <w:rFonts w:ascii="Times New Roman" w:eastAsia="標楷體" w:hAnsi="Times New Roman" w:cs="Times New Roman"/>
          <w:sz w:val="28"/>
          <w:szCs w:val="28"/>
        </w:rPr>
        <w:t>0.0204</w:t>
      </w:r>
      <w:r w:rsidRPr="00C77E77">
        <w:rPr>
          <w:rFonts w:ascii="Times New Roman" w:eastAsia="標楷體" w:hAnsi="Times New Roman" w:cs="Times New Roman"/>
          <w:sz w:val="28"/>
          <w:szCs w:val="28"/>
        </w:rPr>
        <w:t>）、印刷及資料儲存媒體複製業（</w:t>
      </w:r>
      <w:r w:rsidRPr="00C77E77">
        <w:rPr>
          <w:rFonts w:ascii="Times New Roman" w:eastAsia="標楷體" w:hAnsi="Times New Roman" w:cs="Times New Roman"/>
          <w:sz w:val="28"/>
          <w:szCs w:val="28"/>
        </w:rPr>
        <w:t>0.016</w:t>
      </w:r>
      <w:r w:rsidRPr="00C77E77">
        <w:rPr>
          <w:rFonts w:ascii="Times New Roman" w:eastAsia="標楷體" w:hAnsi="Times New Roman" w:cs="Times New Roman"/>
          <w:sz w:val="28"/>
          <w:szCs w:val="28"/>
        </w:rPr>
        <w:t>）與其他運輸工具及其零件業（</w:t>
      </w:r>
      <w:r w:rsidRPr="00C77E77">
        <w:rPr>
          <w:rFonts w:ascii="Times New Roman" w:eastAsia="標楷體" w:hAnsi="Times New Roman" w:cs="Times New Roman"/>
          <w:sz w:val="28"/>
          <w:szCs w:val="28"/>
        </w:rPr>
        <w:t>0.011</w:t>
      </w:r>
      <w:r w:rsidRPr="00C77E77">
        <w:rPr>
          <w:rFonts w:ascii="Times New Roman" w:eastAsia="標楷體" w:hAnsi="Times New Roman" w:cs="Times New Roman"/>
          <w:sz w:val="28"/>
          <w:szCs w:val="28"/>
        </w:rPr>
        <w:t>），惟四個次產業中，僅有電腦、電子產品及光學製品業智慧化投入增加，其他主要三個產業智慧化投入程度皆下滑。其中，發展「智慧精密機械產業」是工業</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概念的相關核心產業，值得政府加以重視及解決。</w:t>
      </w:r>
      <w:r w:rsidRPr="00C77E77">
        <w:rPr>
          <w:rStyle w:val="a9"/>
          <w:rFonts w:ascii="Times New Roman" w:eastAsia="標楷體" w:hAnsi="Times New Roman" w:cs="Times New Roman"/>
          <w:sz w:val="28"/>
          <w:szCs w:val="28"/>
        </w:rPr>
        <w:footnoteReference w:id="63"/>
      </w:r>
      <w:r w:rsidRPr="00C77E77">
        <w:rPr>
          <w:rFonts w:ascii="Times New Roman" w:eastAsia="標楷體" w:hAnsi="Times New Roman" w:cs="Times New Roman"/>
          <w:sz w:val="28"/>
          <w:szCs w:val="28"/>
        </w:rPr>
        <w:t>換言之，臺灣製造業的「產業智慧化」將是重要發展方向，朝運用雲端、物聯網、大數據等高值製造與服務，推動「設備智動化」、「系統虛實化」與「工廠智慧化」。</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歸納我國電子商務、智慧物流、雲端系統之優、劣勢，由於電子電商是將過往實體的貿易行為，透過網路</w:t>
      </w:r>
      <w:r w:rsidRPr="00C77E77">
        <w:rPr>
          <w:rFonts w:ascii="Times New Roman" w:eastAsia="標楷體" w:hAnsi="Times New Roman" w:cs="Times New Roman"/>
          <w:sz w:val="28"/>
          <w:szCs w:val="28"/>
        </w:rPr>
        <w:t>e</w:t>
      </w:r>
      <w:r w:rsidRPr="00C77E77">
        <w:rPr>
          <w:rFonts w:ascii="Times New Roman" w:eastAsia="標楷體" w:hAnsi="Times New Roman" w:cs="Times New Roman"/>
          <w:sz w:val="28"/>
          <w:szCs w:val="28"/>
        </w:rPr>
        <w:t>化、橫跨國度的電商平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，將過往傳統貿易流程，轉變成在網路上傳送的流程。智慧物流和跨境電子商務的發展息息相關，涉及保稅倉、物流倉等貿易環節；而雲端科技將所有交易的資訊、行銷方案集中管理，有助於整合與溝通。</w:t>
      </w:r>
      <w:r w:rsidRPr="00C77E77">
        <w:rPr>
          <w:rFonts w:ascii="Times New Roman" w:eastAsia="標楷體" w:hAnsi="Times New Roman" w:cs="Times New Roman"/>
          <w:sz w:val="28"/>
          <w:szCs w:val="28"/>
        </w:rPr>
        <w:t xml:space="preserve"> </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進一步來說，預估</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年臺灣電子商務市場規模將比</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約</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兆零</w:t>
      </w:r>
      <w:r w:rsidRPr="00C77E77">
        <w:rPr>
          <w:rFonts w:ascii="Times New Roman" w:eastAsia="標楷體" w:hAnsi="Times New Roman" w:cs="Times New Roman"/>
          <w:sz w:val="28"/>
          <w:szCs w:val="28"/>
        </w:rPr>
        <w:t>69</w:t>
      </w:r>
      <w:r w:rsidRPr="00C77E77">
        <w:rPr>
          <w:rFonts w:ascii="Times New Roman" w:eastAsia="標楷體" w:hAnsi="Times New Roman" w:cs="Times New Roman"/>
          <w:sz w:val="28"/>
          <w:szCs w:val="28"/>
        </w:rPr>
        <w:t>億元產值再成長</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％，但因臺灣製造業仍以生產為主，較不重視行銷與服務及，</w:t>
      </w:r>
      <w:r w:rsidR="00E62E3B" w:rsidRPr="00C77E77">
        <w:rPr>
          <w:rFonts w:ascii="Times New Roman" w:eastAsia="標楷體" w:hAnsi="Times New Roman" w:cs="Times New Roman"/>
          <w:sz w:val="28"/>
          <w:szCs w:val="28"/>
        </w:rPr>
        <w:t>加上政府對於電子商務模式監管防弊的態度優先於創新經濟的冒險，導致</w:t>
      </w:r>
      <w:r w:rsidRPr="00C77E77">
        <w:rPr>
          <w:rFonts w:ascii="Times New Roman" w:eastAsia="標楷體" w:hAnsi="Times New Roman" w:cs="Times New Roman"/>
          <w:sz w:val="28"/>
          <w:szCs w:val="28"/>
        </w:rPr>
        <w:t>現階段能突破臺灣單一本土市場侷限的電子商務企業還不夠眾多與成熟。</w:t>
      </w:r>
    </w:p>
    <w:p w:rsidR="00F44D01" w:rsidRPr="00C77E77" w:rsidRDefault="00F44D01" w:rsidP="00F44D0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臺灣物流業具有國際競爭力，在世界銀行評比的物流績效指數中排名世界第</w:t>
      </w:r>
      <w:r w:rsidRPr="00C77E77">
        <w:rPr>
          <w:rFonts w:ascii="Times New Roman" w:eastAsia="標楷體" w:hAnsi="Times New Roman" w:cs="Times New Roman"/>
          <w:sz w:val="28"/>
          <w:szCs w:val="28"/>
        </w:rPr>
        <w:t>19</w:t>
      </w:r>
      <w:r w:rsidRPr="00C77E77">
        <w:rPr>
          <w:rFonts w:ascii="Times New Roman" w:eastAsia="標楷體" w:hAnsi="Times New Roman" w:cs="Times New Roman"/>
          <w:sz w:val="28"/>
          <w:szCs w:val="28"/>
        </w:rPr>
        <w:t>名。但是跨境電商中的物流甚為繁瑣與複雜，還會涉及到敏感的國家安全問題。臺灣傳統物流企業的資訊化管理程度較低，加上成本考量，讓利潤不高的物流業者無法提升智慧物流的技術。</w:t>
      </w:r>
    </w:p>
    <w:p w:rsidR="00F44D01" w:rsidRPr="00C77E77" w:rsidRDefault="00F44D01" w:rsidP="00F44D01">
      <w:pPr>
        <w:spacing w:beforeLines="50" w:before="180" w:afterLines="50" w:after="180" w:line="500" w:lineRule="exact"/>
        <w:ind w:firstLineChars="202" w:firstLine="566"/>
        <w:rPr>
          <w:rFonts w:ascii="Times New Roman" w:eastAsia="標楷體" w:hAnsi="Times New Roman" w:cs="Times New Roman"/>
          <w:sz w:val="28"/>
          <w:szCs w:val="28"/>
        </w:rPr>
      </w:pPr>
      <w:r w:rsidRPr="00C77E77">
        <w:rPr>
          <w:rFonts w:ascii="Times New Roman" w:eastAsia="標楷體" w:hAnsi="Times New Roman" w:cs="Times New Roman"/>
          <w:sz w:val="28"/>
          <w:szCs w:val="28"/>
        </w:rPr>
        <w:t>臺灣具備良好的雲端運算發展環境，工業電腦產業極具世界競爭力，在發展端、網、雲層級平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具有實績，在世界經濟論壇國際評比中位居全球前茅。不過與國際領導廠商相比，臺灣資通訊系統整合服務廠商規模小，且缺乏跨領域的整合實力與相應的軟體人才。</w:t>
      </w:r>
    </w:p>
    <w:p w:rsidR="00240B65" w:rsidRPr="00C77E77" w:rsidRDefault="00240B65" w:rsidP="00705F8A">
      <w:pPr>
        <w:spacing w:beforeLines="50" w:before="180" w:afterLines="50" w:after="180" w:line="500" w:lineRule="exact"/>
        <w:ind w:firstLine="480"/>
        <w:jc w:val="both"/>
        <w:rPr>
          <w:rFonts w:ascii="Times New Roman" w:eastAsia="標楷體" w:hAnsi="Times New Roman" w:cs="Times New Roman"/>
          <w:b/>
          <w:sz w:val="36"/>
          <w:szCs w:val="36"/>
        </w:rPr>
      </w:pPr>
      <w:r w:rsidRPr="00C77E77">
        <w:rPr>
          <w:rFonts w:ascii="Times New Roman" w:eastAsia="標楷體" w:hAnsi="Times New Roman" w:cs="Times New Roman"/>
          <w:b/>
          <w:sz w:val="36"/>
          <w:szCs w:val="36"/>
        </w:rPr>
        <w:br w:type="page"/>
      </w:r>
    </w:p>
    <w:p w:rsidR="00754B12" w:rsidRPr="00C77E77" w:rsidRDefault="00897640" w:rsidP="00764ED7">
      <w:pPr>
        <w:pStyle w:val="ab"/>
        <w:numPr>
          <w:ilvl w:val="0"/>
          <w:numId w:val="5"/>
        </w:numPr>
        <w:spacing w:beforeLines="50" w:before="180" w:afterLines="50" w:after="180" w:line="500" w:lineRule="exact"/>
        <w:ind w:leftChars="0"/>
        <w:jc w:val="both"/>
        <w:outlineLvl w:val="1"/>
        <w:rPr>
          <w:rFonts w:ascii="Times New Roman" w:eastAsia="標楷體" w:hAnsi="Times New Roman" w:cs="Times New Roman"/>
          <w:b/>
          <w:sz w:val="32"/>
          <w:szCs w:val="32"/>
        </w:rPr>
      </w:pPr>
      <w:bookmarkStart w:id="85" w:name="_Toc470676316"/>
      <w:r w:rsidRPr="00C77E77">
        <w:rPr>
          <w:rFonts w:ascii="Times New Roman" w:eastAsia="標楷體" w:hAnsi="Times New Roman" w:cs="Times New Roman"/>
          <w:b/>
          <w:sz w:val="32"/>
          <w:szCs w:val="32"/>
        </w:rPr>
        <w:lastRenderedPageBreak/>
        <w:t>我國太陽能、</w:t>
      </w:r>
      <w:r w:rsidRPr="00C77E77">
        <w:rPr>
          <w:rFonts w:ascii="Times New Roman" w:eastAsia="標楷體" w:hAnsi="Times New Roman" w:cs="Times New Roman"/>
          <w:b/>
          <w:sz w:val="32"/>
          <w:szCs w:val="32"/>
        </w:rPr>
        <w:t>LED</w:t>
      </w:r>
      <w:r w:rsidRPr="00C77E77">
        <w:rPr>
          <w:rFonts w:ascii="Times New Roman" w:eastAsia="標楷體" w:hAnsi="Times New Roman" w:cs="Times New Roman"/>
          <w:b/>
          <w:sz w:val="32"/>
          <w:szCs w:val="32"/>
        </w:rPr>
        <w:t>照明、綠色運輸產業發展現況</w:t>
      </w:r>
      <w:bookmarkEnd w:id="85"/>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隨著全球氣候變遷與極端氣候的出現，世界各國皆開始重視綠色經濟的相關議題，積極推動節能減碳措施，相應帶動綠色貿易的興起，太陽能、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，以及諸如燃料電池、電動車等綠色運輸產業，成為臺灣欣欣向榮的綠能產業。</w:t>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行政院在</w:t>
      </w: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年選定綠色能源等六大新興產業作為發展重點，</w:t>
      </w: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月並核定「綠色能源產業旭升方案」，協助太陽光電、</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照明光電、風力發電、氫能與燃料電池、生質燃料、能源資通訊及電動車輛等產業發展；</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月再核定「綠色能源產業躍升計畫」，集中資源聚焦推動太陽光電、</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照明光電、風力發電及能源資通訊等</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個領域。太陽光電主要是創能與節能，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與電動車則是節能為主，燃料電池則是節能與儲能並重。</w:t>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以下僅就太陽光電、</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照明光電，以及綠色運輸三個產業部分進行探討，說明這些產業的發展現況，以及臺灣產業在全球市場的競爭力。</w:t>
      </w:r>
    </w:p>
    <w:p w:rsidR="00967390" w:rsidRPr="00C77E77" w:rsidRDefault="00967390" w:rsidP="00967390">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一、太陽能產業</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太陽光電產業泛指太陽光發電裝置及其相關零組件、材料、晶圓、電池、模組、設備及其發電系統領域所涉及的製造、安裝及運維相關產業。產業鏈主要可以分為上、中、下游三部分，上游材料包括多晶矽材、矽晶片、太陽能電池用基材（例如玻璃、軟性基材、氣體、靶材、槳料、染料、電極材料）等；中游包括太陽電池與太陽光電模組；下游包括太陽光電系統與各種應用。我國太陽光電產業鏈可參見圖</w:t>
      </w:r>
      <w:r w:rsidRPr="00C77E77">
        <w:rPr>
          <w:rFonts w:ascii="Times New Roman" w:eastAsia="標楷體" w:hAnsi="Times New Roman" w:cs="Times New Roman"/>
          <w:sz w:val="28"/>
          <w:szCs w:val="28"/>
        </w:rPr>
        <w:t>3-3-1</w:t>
      </w:r>
      <w:r w:rsidRPr="00C77E77">
        <w:rPr>
          <w:rFonts w:ascii="Times New Roman" w:eastAsia="標楷體" w:hAnsi="Times New Roman" w:cs="Times New Roman"/>
          <w:sz w:val="28"/>
          <w:szCs w:val="28"/>
        </w:rPr>
        <w:t>、表</w:t>
      </w:r>
      <w:r w:rsidRPr="00C77E77">
        <w:rPr>
          <w:rFonts w:ascii="Times New Roman" w:eastAsia="標楷體" w:hAnsi="Times New Roman" w:cs="Times New Roman"/>
          <w:sz w:val="28"/>
          <w:szCs w:val="28"/>
        </w:rPr>
        <w:t>3-3-1</w:t>
      </w:r>
      <w:r w:rsidRPr="00C77E77">
        <w:rPr>
          <w:rFonts w:ascii="Times New Roman" w:eastAsia="標楷體" w:hAnsi="Times New Roman" w:cs="Times New Roman"/>
          <w:sz w:val="28"/>
          <w:szCs w:val="28"/>
        </w:rPr>
        <w:t>。</w:t>
      </w:r>
    </w:p>
    <w:p w:rsidR="00967390" w:rsidRPr="00C77E77" w:rsidRDefault="00967390" w:rsidP="00967390">
      <w:pPr>
        <w:spacing w:before="240" w:after="240"/>
        <w:jc w:val="center"/>
        <w:rPr>
          <w:rFonts w:ascii="Times New Roman" w:hAnsi="Times New Roman" w:cs="Times New Roman"/>
        </w:rPr>
      </w:pPr>
      <w:r w:rsidRPr="00C77E77">
        <w:rPr>
          <w:rFonts w:ascii="Times New Roman" w:hAnsi="Times New Roman" w:cs="Times New Roman"/>
          <w:noProof/>
        </w:rPr>
        <w:lastRenderedPageBreak/>
        <w:drawing>
          <wp:inline distT="0" distB="0" distL="0" distR="0" wp14:anchorId="50799EC2" wp14:editId="64CC5BE8">
            <wp:extent cx="5274310" cy="3047187"/>
            <wp:effectExtent l="0" t="0" r="2540" b="127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4310" cy="3047187"/>
                    </a:xfrm>
                    <a:prstGeom prst="rect">
                      <a:avLst/>
                    </a:prstGeom>
                    <a:noFill/>
                    <a:ln>
                      <a:noFill/>
                    </a:ln>
                  </pic:spPr>
                </pic:pic>
              </a:graphicData>
            </a:graphic>
          </wp:inline>
        </w:drawing>
      </w:r>
    </w:p>
    <w:p w:rsidR="00967390" w:rsidRPr="00C77E77" w:rsidRDefault="00967390" w:rsidP="00967390">
      <w:pPr>
        <w:pStyle w:val="af7"/>
        <w:spacing w:line="500" w:lineRule="exact"/>
      </w:pPr>
      <w:bookmarkStart w:id="86" w:name="_Toc458185150"/>
      <w:bookmarkStart w:id="87" w:name="_Toc470676636"/>
      <w:r w:rsidRPr="00C77E77">
        <w:t>圖</w:t>
      </w:r>
      <w:r w:rsidRPr="00C77E77">
        <w:t xml:space="preserve">3-3-1 </w:t>
      </w:r>
      <w:r w:rsidRPr="00C77E77">
        <w:t>太陽光電產業範疇</w:t>
      </w:r>
      <w:bookmarkEnd w:id="86"/>
      <w:bookmarkEnd w:id="87"/>
    </w:p>
    <w:p w:rsidR="00967390" w:rsidRPr="00C77E77" w:rsidRDefault="00967390" w:rsidP="00967390">
      <w:pPr>
        <w:spacing w:beforeLines="50" w:before="180" w:afterLines="50" w:after="180" w:line="500" w:lineRule="exact"/>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資料來源：行政院，綠色能源產業躍升計畫</w:t>
      </w:r>
    </w:p>
    <w:p w:rsidR="000A3D10" w:rsidRPr="00C77E77" w:rsidRDefault="000A3D10" w:rsidP="00967390">
      <w:pPr>
        <w:spacing w:beforeLines="50" w:before="180" w:afterLines="50" w:after="180" w:line="500" w:lineRule="exact"/>
        <w:rPr>
          <w:rFonts w:ascii="Times New Roman" w:eastAsia="標楷體" w:hAnsi="Times New Roman" w:cs="Times New Roman"/>
          <w:sz w:val="28"/>
          <w:szCs w:val="28"/>
        </w:rPr>
      </w:pPr>
    </w:p>
    <w:p w:rsidR="00967390" w:rsidRPr="00C77E77" w:rsidRDefault="00967390" w:rsidP="00967390">
      <w:pPr>
        <w:pStyle w:val="af9"/>
        <w:spacing w:line="500" w:lineRule="exact"/>
      </w:pPr>
      <w:bookmarkStart w:id="88" w:name="_Toc458184947"/>
      <w:bookmarkStart w:id="89" w:name="_Toc470676593"/>
      <w:r w:rsidRPr="00C77E77">
        <w:t>表</w:t>
      </w:r>
      <w:r w:rsidRPr="00C77E77">
        <w:t xml:space="preserve">3-3-1 </w:t>
      </w:r>
      <w:r w:rsidRPr="00C77E77">
        <w:t>我國太陽光電產業鏈概況</w:t>
      </w:r>
      <w:bookmarkEnd w:id="88"/>
      <w:bookmarkEnd w:id="89"/>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1832"/>
        <w:gridCol w:w="2268"/>
        <w:gridCol w:w="3667"/>
      </w:tblGrid>
      <w:tr w:rsidR="00967390" w:rsidRPr="00C77E77" w:rsidTr="002D6DDB">
        <w:trPr>
          <w:trHeight w:val="99"/>
          <w:jc w:val="center"/>
        </w:trPr>
        <w:tc>
          <w:tcPr>
            <w:tcW w:w="1413"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產業</w:t>
            </w:r>
          </w:p>
        </w:tc>
        <w:tc>
          <w:tcPr>
            <w:tcW w:w="1832" w:type="dxa"/>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上游</w:t>
            </w:r>
          </w:p>
        </w:tc>
        <w:tc>
          <w:tcPr>
            <w:tcW w:w="2268" w:type="dxa"/>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中游</w:t>
            </w:r>
          </w:p>
        </w:tc>
        <w:tc>
          <w:tcPr>
            <w:tcW w:w="3667" w:type="dxa"/>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下游</w:t>
            </w:r>
          </w:p>
        </w:tc>
      </w:tr>
      <w:tr w:rsidR="00967390" w:rsidRPr="00C77E77" w:rsidTr="002D6DDB">
        <w:trPr>
          <w:trHeight w:val="99"/>
          <w:jc w:val="center"/>
        </w:trPr>
        <w:tc>
          <w:tcPr>
            <w:tcW w:w="1413" w:type="dxa"/>
            <w:vMerge w:val="restart"/>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太陽光電</w:t>
            </w:r>
          </w:p>
        </w:tc>
        <w:tc>
          <w:tcPr>
            <w:tcW w:w="1832" w:type="dxa"/>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矽晶圓</w:t>
            </w:r>
          </w:p>
        </w:tc>
        <w:tc>
          <w:tcPr>
            <w:tcW w:w="2268" w:type="dxa"/>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太陽能電池片／太陽能電池模組</w:t>
            </w:r>
          </w:p>
        </w:tc>
        <w:tc>
          <w:tcPr>
            <w:tcW w:w="3667" w:type="dxa"/>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系統工程與電站營運</w:t>
            </w:r>
          </w:p>
        </w:tc>
      </w:tr>
      <w:tr w:rsidR="00967390" w:rsidRPr="00C77E77" w:rsidTr="002D6DDB">
        <w:trPr>
          <w:trHeight w:val="279"/>
          <w:jc w:val="center"/>
        </w:trPr>
        <w:tc>
          <w:tcPr>
            <w:tcW w:w="1413" w:type="dxa"/>
            <w:vMerge/>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p>
        </w:tc>
        <w:tc>
          <w:tcPr>
            <w:tcW w:w="183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中美晶、綠能、達能、國碩、</w:t>
            </w:r>
            <w:r w:rsidRPr="00C77E77">
              <w:rPr>
                <w:rFonts w:ascii="Times New Roman" w:eastAsia="標楷體" w:hAnsi="Times New Roman" w:cs="Times New Roman"/>
                <w:szCs w:val="24"/>
              </w:rPr>
              <w:t>統懋</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華立</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大同</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鑫禾</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旭晶</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凌昇</w:t>
            </w:r>
          </w:p>
        </w:tc>
        <w:tc>
          <w:tcPr>
            <w:tcW w:w="2268"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茂迪、益通、昱晶、新日光、太極、昇陽、元晶、</w:t>
            </w:r>
            <w:r w:rsidR="00FD0D5A" w:rsidRPr="00C77E77">
              <w:rPr>
                <w:rFonts w:ascii="Times New Roman" w:eastAsia="標楷體" w:hAnsi="Times New Roman" w:cs="Times New Roman"/>
                <w:szCs w:val="24"/>
              </w:rPr>
              <w:t>臺</w:t>
            </w:r>
            <w:r w:rsidRPr="00C77E77">
              <w:rPr>
                <w:rFonts w:ascii="Times New Roman" w:eastAsia="標楷體" w:hAnsi="Times New Roman" w:cs="Times New Roman"/>
                <w:szCs w:val="24"/>
              </w:rPr>
              <w:t>達電</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茂矽</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燿華</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昇貿</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鑫禾</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太陽光</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科風</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崇越</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頂晶、博大、有成</w:t>
            </w:r>
          </w:p>
        </w:tc>
        <w:tc>
          <w:tcPr>
            <w:tcW w:w="3667"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中美晶、碩禾、友達、昱晶、中租、英懋達、頂晶、同昱、太極、</w:t>
            </w:r>
            <w:r w:rsidR="00FD0D5A" w:rsidRPr="00C77E77">
              <w:rPr>
                <w:rFonts w:ascii="Times New Roman" w:eastAsia="標楷體" w:hAnsi="Times New Roman" w:cs="Times New Roman"/>
                <w:szCs w:val="24"/>
              </w:rPr>
              <w:t>臺</w:t>
            </w:r>
            <w:r w:rsidRPr="00C77E77">
              <w:rPr>
                <w:rFonts w:ascii="Times New Roman" w:eastAsia="標楷體" w:hAnsi="Times New Roman" w:cs="Times New Roman"/>
                <w:szCs w:val="24"/>
              </w:rPr>
              <w:t>達電</w:t>
            </w:r>
            <w:r w:rsidRPr="00C77E77">
              <w:rPr>
                <w:rFonts w:ascii="Times New Roman" w:eastAsia="標楷體" w:hAnsi="Times New Roman" w:cs="Times New Roman"/>
                <w:color w:val="000000"/>
                <w:kern w:val="0"/>
                <w:szCs w:val="24"/>
              </w:rPr>
              <w:t>、昇陽、</w:t>
            </w:r>
            <w:r w:rsidRPr="00C77E77">
              <w:rPr>
                <w:rFonts w:ascii="Times New Roman" w:eastAsia="標楷體" w:hAnsi="Times New Roman" w:cs="Times New Roman"/>
                <w:szCs w:val="24"/>
              </w:rPr>
              <w:t>茂矽</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大同</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信邦</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鑫禾</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辛耘</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崇越、旭隼、長華、博大、有成、</w:t>
            </w:r>
            <w:r w:rsidRPr="00C77E77">
              <w:rPr>
                <w:rFonts w:ascii="Times New Roman" w:eastAsia="標楷體" w:hAnsi="Times New Roman" w:cs="Times New Roman"/>
                <w:color w:val="000000"/>
                <w:kern w:val="0"/>
                <w:szCs w:val="24"/>
              </w:rPr>
              <w:t>茂迪、</w:t>
            </w:r>
            <w:r w:rsidRPr="00C77E77">
              <w:rPr>
                <w:rFonts w:ascii="Times New Roman" w:eastAsia="標楷體" w:hAnsi="Times New Roman" w:cs="Times New Roman"/>
                <w:szCs w:val="24"/>
              </w:rPr>
              <w:t>高僑、海德威、漢科、單井、聖暉、廣運、萬潤、長華</w:t>
            </w:r>
          </w:p>
        </w:tc>
      </w:tr>
    </w:tbl>
    <w:p w:rsidR="00967390" w:rsidRPr="00C77E77" w:rsidRDefault="00967390" w:rsidP="00967390">
      <w:pPr>
        <w:spacing w:line="500" w:lineRule="exact"/>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r w:rsidR="000C1684" w:rsidRPr="00C77E77">
        <w:rPr>
          <w:rFonts w:ascii="Times New Roman" w:eastAsia="標楷體" w:hAnsi="Times New Roman" w:cs="Times New Roman"/>
          <w:sz w:val="28"/>
          <w:szCs w:val="28"/>
        </w:rPr>
        <w:t>。</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行政院在</w:t>
      </w: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年推動「綠色能源產業旭升方案」，</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月再核定「綠色能源產業躍升計畫」，使我國的太陽光電產業整體產業鏈發展完整，產值約新臺幣</w:t>
      </w:r>
      <w:r w:rsidRPr="00C77E77">
        <w:rPr>
          <w:rFonts w:ascii="Times New Roman" w:eastAsia="標楷體" w:hAnsi="Times New Roman" w:cs="Times New Roman"/>
          <w:sz w:val="28"/>
          <w:szCs w:val="28"/>
        </w:rPr>
        <w:t>1,572</w:t>
      </w:r>
      <w:r w:rsidRPr="00C77E77">
        <w:rPr>
          <w:rFonts w:ascii="Times New Roman" w:eastAsia="標楷體" w:hAnsi="Times New Roman" w:cs="Times New Roman"/>
          <w:sz w:val="28"/>
          <w:szCs w:val="28"/>
        </w:rPr>
        <w:t>億元，主要產值來自於中游的太陽能電池。自</w:t>
      </w:r>
      <w:r w:rsidRPr="00C77E77">
        <w:rPr>
          <w:rFonts w:ascii="Times New Roman" w:eastAsia="標楷體" w:hAnsi="Times New Roman" w:cs="Times New Roman"/>
          <w:sz w:val="28"/>
          <w:szCs w:val="28"/>
        </w:rPr>
        <w:t>2010</w:t>
      </w:r>
      <w:r w:rsidRPr="00C77E77">
        <w:rPr>
          <w:rFonts w:ascii="Times New Roman" w:eastAsia="標楷體" w:hAnsi="Times New Roman" w:cs="Times New Roman"/>
          <w:sz w:val="28"/>
          <w:szCs w:val="28"/>
        </w:rPr>
        <w:t>年起，我</w:t>
      </w:r>
      <w:r w:rsidRPr="00C77E77">
        <w:rPr>
          <w:rFonts w:ascii="Times New Roman" w:eastAsia="標楷體" w:hAnsi="Times New Roman" w:cs="Times New Roman"/>
          <w:sz w:val="28"/>
          <w:szCs w:val="28"/>
        </w:rPr>
        <w:lastRenderedPageBreak/>
        <w:t>國即維持為全球第二大太陽能電池生產國，</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年太陽能電池年產量達</w:t>
      </w:r>
      <w:r w:rsidRPr="00C77E77">
        <w:rPr>
          <w:rFonts w:ascii="Times New Roman" w:eastAsia="標楷體" w:hAnsi="Times New Roman" w:cs="Times New Roman"/>
          <w:sz w:val="28"/>
          <w:szCs w:val="28"/>
        </w:rPr>
        <w:t>9.6GW</w:t>
      </w:r>
      <w:r w:rsidRPr="00C77E77">
        <w:rPr>
          <w:rFonts w:ascii="Times New Roman" w:eastAsia="標楷體" w:hAnsi="Times New Roman" w:cs="Times New Roman"/>
          <w:sz w:val="28"/>
          <w:szCs w:val="28"/>
        </w:rPr>
        <w:t>，為全球市占率第二名。</w:t>
      </w:r>
      <w:r w:rsidRPr="00C77E77">
        <w:rPr>
          <w:rStyle w:val="a9"/>
          <w:rFonts w:ascii="Times New Roman" w:eastAsia="標楷體" w:hAnsi="Times New Roman" w:cs="Times New Roman"/>
          <w:sz w:val="28"/>
          <w:szCs w:val="28"/>
        </w:rPr>
        <w:footnoteReference w:id="64"/>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年太陽光電產業產值達新臺幣</w:t>
      </w:r>
      <w:r w:rsidRPr="00C77E77">
        <w:rPr>
          <w:rFonts w:ascii="Times New Roman" w:eastAsia="標楷體" w:hAnsi="Times New Roman" w:cs="Times New Roman"/>
          <w:sz w:val="28"/>
          <w:szCs w:val="28"/>
        </w:rPr>
        <w:t>1,701</w:t>
      </w:r>
      <w:r w:rsidRPr="00C77E77">
        <w:rPr>
          <w:rFonts w:ascii="Times New Roman" w:eastAsia="標楷體" w:hAnsi="Times New Roman" w:cs="Times New Roman"/>
          <w:sz w:val="28"/>
          <w:szCs w:val="28"/>
        </w:rPr>
        <w:t>億元，其中中游的太陽能電池的產值便高達</w:t>
      </w:r>
      <w:r w:rsidRPr="00C77E77">
        <w:rPr>
          <w:rFonts w:ascii="Times New Roman" w:eastAsia="標楷體" w:hAnsi="Times New Roman" w:cs="Times New Roman"/>
          <w:sz w:val="28"/>
          <w:szCs w:val="28"/>
        </w:rPr>
        <w:t>1,049</w:t>
      </w:r>
      <w:r w:rsidRPr="00C77E77">
        <w:rPr>
          <w:rFonts w:ascii="Times New Roman" w:eastAsia="標楷體" w:hAnsi="Times New Roman" w:cs="Times New Roman"/>
          <w:sz w:val="28"/>
          <w:szCs w:val="28"/>
        </w:rPr>
        <w:t>億元，占總產值</w:t>
      </w:r>
      <w:r w:rsidRPr="00C77E77">
        <w:rPr>
          <w:rFonts w:ascii="Times New Roman" w:eastAsia="標楷體" w:hAnsi="Times New Roman" w:cs="Times New Roman"/>
          <w:sz w:val="28"/>
          <w:szCs w:val="28"/>
        </w:rPr>
        <w:t>62</w:t>
      </w:r>
      <w:r w:rsidRPr="00C77E77">
        <w:rPr>
          <w:rFonts w:ascii="Times New Roman" w:eastAsia="標楷體" w:hAnsi="Times New Roman" w:cs="Times New Roman"/>
          <w:sz w:val="28"/>
          <w:szCs w:val="28"/>
        </w:rPr>
        <w:t>％，其中出口即占了</w:t>
      </w:r>
      <w:r w:rsidRPr="00C77E77">
        <w:rPr>
          <w:rFonts w:ascii="Times New Roman" w:eastAsia="標楷體" w:hAnsi="Times New Roman" w:cs="Times New Roman"/>
          <w:sz w:val="28"/>
          <w:szCs w:val="28"/>
        </w:rPr>
        <w:t>93</w:t>
      </w:r>
      <w:r w:rsidRPr="00C77E77">
        <w:rPr>
          <w:rFonts w:ascii="Times New Roman" w:eastAsia="標楷體" w:hAnsi="Times New Roman" w:cs="Times New Roman"/>
          <w:sz w:val="28"/>
          <w:szCs w:val="28"/>
        </w:rPr>
        <w:t>％。由此可知，我國產業特性集中於中游製造，且太陽能電池市場以出口為導向。受到全球市場需求影響，上游矽晶圓的產值持續成長，但我國下游的模組產業雖有上游強大的電池產業供應關鍵零組件，但產值規模仍小，</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年產值僅新臺幣</w:t>
      </w:r>
      <w:r w:rsidRPr="00C77E77">
        <w:rPr>
          <w:rFonts w:ascii="Times New Roman" w:eastAsia="標楷體" w:hAnsi="Times New Roman" w:cs="Times New Roman"/>
          <w:sz w:val="28"/>
          <w:szCs w:val="28"/>
        </w:rPr>
        <w:t>120</w:t>
      </w:r>
      <w:r w:rsidRPr="00C77E77">
        <w:rPr>
          <w:rFonts w:ascii="Times New Roman" w:eastAsia="標楷體" w:hAnsi="Times New Roman" w:cs="Times New Roman"/>
          <w:sz w:val="28"/>
          <w:szCs w:val="28"/>
        </w:rPr>
        <w:t>億元，其中出口僅占</w:t>
      </w:r>
      <w:r w:rsidRPr="00C77E77">
        <w:rPr>
          <w:rFonts w:ascii="Times New Roman" w:eastAsia="標楷體" w:hAnsi="Times New Roman" w:cs="Times New Roman"/>
          <w:sz w:val="28"/>
          <w:szCs w:val="28"/>
        </w:rPr>
        <w:t>68</w:t>
      </w:r>
      <w:r w:rsidRPr="00C77E77">
        <w:rPr>
          <w:rFonts w:ascii="Times New Roman" w:eastAsia="標楷體" w:hAnsi="Times New Roman" w:cs="Times New Roman"/>
          <w:sz w:val="28"/>
          <w:szCs w:val="28"/>
        </w:rPr>
        <w:t>％。此外，因模組尚需大量的輔材，如︰鋁框、玻璃、封膠膜、焊條及接線盒等材料，國內自主供應量少，依賴海外進口，導致模組產業發展較為緩慢。</w:t>
      </w:r>
      <w:r w:rsidRPr="00C77E77">
        <w:rPr>
          <w:rStyle w:val="a9"/>
          <w:rFonts w:ascii="Times New Roman" w:eastAsia="標楷體" w:hAnsi="Times New Roman" w:cs="Times New Roman"/>
          <w:sz w:val="28"/>
          <w:szCs w:val="28"/>
        </w:rPr>
        <w:footnoteReference w:id="65"/>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由於全球太陽光電產業快速擴充產能而導致供過於求，製造業的毛利逐漸降低，整體產業獲利逐漸由中段的製造業，轉變為後段終端市場的系統設置服務業所掌握。尤其是在美、歐、日等起步較早的先進國家，國內業者為了搶佔先進國家市場，亦積極切入系統設置整合服務業，以掌握整體產業獲利逐漸向終端市場移動之產業脈動。</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由於我國產業特性集中於中游製造，且太陽能電池已具有全球產業競爭力，因此，如何積極推動太陽能電池製造業的市場，成為我國推動太陽光電產業的主要任務。尤其是我國相關產業在美國市場遭受反傾銷的關稅壁壘阻礙後，臺廠可能喪失美國市場（約占全球需求的</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％）的發展空間，因此，開發東南亞市場，甚至前往東南亞市場投資設廠，成為臺廠未來發展的重要考量。</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美國雙反（反補貼、反傾銷）終判裁定後，為保有美國市場，臺廠大多預期將會加速相關海外布局進度。如昇陽科已於</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年在馬來西亞設廠，</w:t>
      </w:r>
      <w:r w:rsidRPr="00C77E77">
        <w:rPr>
          <w:rFonts w:ascii="Times New Roman" w:eastAsia="標楷體" w:hAnsi="Times New Roman" w:cs="Times New Roman"/>
          <w:sz w:val="28"/>
          <w:szCs w:val="28"/>
        </w:rPr>
        <w:lastRenderedPageBreak/>
        <w:t>訂單以東協及中國大陸為主，亦有美國訂單；太極也將部分太陽能電池生產線移往越南，仍以美國市場為主；</w:t>
      </w:r>
      <w:r w:rsidRPr="00C77E77">
        <w:rPr>
          <w:rStyle w:val="a9"/>
          <w:rFonts w:ascii="Times New Roman" w:eastAsia="標楷體" w:hAnsi="Times New Roman" w:cs="Times New Roman"/>
          <w:sz w:val="28"/>
          <w:szCs w:val="28"/>
        </w:rPr>
        <w:footnoteReference w:id="66"/>
      </w:r>
      <w:r w:rsidRPr="00C77E77">
        <w:rPr>
          <w:rFonts w:ascii="Times New Roman" w:eastAsia="標楷體" w:hAnsi="Times New Roman" w:cs="Times New Roman"/>
          <w:sz w:val="28"/>
          <w:szCs w:val="28"/>
        </w:rPr>
        <w:t>新日光亦布局馬來西亞，在馬來西亞已有</w:t>
      </w:r>
      <w:r w:rsidRPr="00C77E77">
        <w:rPr>
          <w:rFonts w:ascii="Times New Roman" w:eastAsia="標楷體" w:hAnsi="Times New Roman" w:cs="Times New Roman"/>
          <w:sz w:val="28"/>
          <w:szCs w:val="28"/>
        </w:rPr>
        <w:t>340MW</w:t>
      </w:r>
      <w:r w:rsidRPr="00C77E77">
        <w:rPr>
          <w:rFonts w:ascii="Times New Roman" w:eastAsia="標楷體" w:hAnsi="Times New Roman" w:cs="Times New Roman"/>
          <w:sz w:val="28"/>
          <w:szCs w:val="28"/>
        </w:rPr>
        <w:t>電池產能，並關閉廠能較小（</w:t>
      </w:r>
      <w:r w:rsidRPr="00C77E77">
        <w:rPr>
          <w:rFonts w:ascii="Times New Roman" w:eastAsia="標楷體" w:hAnsi="Times New Roman" w:cs="Times New Roman"/>
          <w:sz w:val="28"/>
          <w:szCs w:val="28"/>
        </w:rPr>
        <w:t>60MW</w:t>
      </w:r>
      <w:r w:rsidRPr="00C77E77">
        <w:rPr>
          <w:rFonts w:ascii="Times New Roman" w:eastAsia="標楷體" w:hAnsi="Times New Roman" w:cs="Times New Roman"/>
          <w:sz w:val="28"/>
          <w:szCs w:val="28"/>
        </w:rPr>
        <w:t>）的新竹模組廠，將模組產能移至越南，目前也有</w:t>
      </w:r>
      <w:r w:rsidRPr="00C77E77">
        <w:rPr>
          <w:rFonts w:ascii="Times New Roman" w:eastAsia="標楷體" w:hAnsi="Times New Roman" w:cs="Times New Roman"/>
          <w:sz w:val="28"/>
          <w:szCs w:val="28"/>
        </w:rPr>
        <w:t>400MW</w:t>
      </w:r>
      <w:r w:rsidRPr="00C77E77">
        <w:rPr>
          <w:rFonts w:ascii="Times New Roman" w:eastAsia="標楷體" w:hAnsi="Times New Roman" w:cs="Times New Roman"/>
          <w:sz w:val="28"/>
          <w:szCs w:val="28"/>
        </w:rPr>
        <w:t>的模組產能；</w:t>
      </w:r>
      <w:r w:rsidRPr="00C77E77">
        <w:rPr>
          <w:rStyle w:val="a9"/>
          <w:rFonts w:ascii="Times New Roman" w:eastAsia="標楷體" w:hAnsi="Times New Roman" w:cs="Times New Roman"/>
          <w:sz w:val="28"/>
          <w:szCs w:val="28"/>
        </w:rPr>
        <w:footnoteReference w:id="67"/>
      </w:r>
      <w:r w:rsidRPr="00C77E77">
        <w:rPr>
          <w:rFonts w:ascii="Times New Roman" w:eastAsia="標楷體" w:hAnsi="Times New Roman" w:cs="Times New Roman"/>
          <w:sz w:val="28"/>
          <w:szCs w:val="28"/>
        </w:rPr>
        <w:t>昱晶泰國廠產能約</w:t>
      </w:r>
      <w:r w:rsidRPr="00C77E77">
        <w:rPr>
          <w:rFonts w:ascii="Times New Roman" w:eastAsia="標楷體" w:hAnsi="Times New Roman" w:cs="Times New Roman"/>
          <w:sz w:val="28"/>
          <w:szCs w:val="28"/>
        </w:rPr>
        <w:t>350MW</w:t>
      </w:r>
      <w:r w:rsidRPr="00C77E77">
        <w:rPr>
          <w:rFonts w:ascii="Times New Roman" w:eastAsia="標楷體" w:hAnsi="Times New Roman" w:cs="Times New Roman"/>
          <w:sz w:val="28"/>
          <w:szCs w:val="28"/>
        </w:rPr>
        <w:t>，今年底將拉高到</w:t>
      </w:r>
      <w:r w:rsidRPr="00C77E77">
        <w:rPr>
          <w:rFonts w:ascii="Times New Roman" w:eastAsia="標楷體" w:hAnsi="Times New Roman" w:cs="Times New Roman"/>
          <w:sz w:val="28"/>
          <w:szCs w:val="28"/>
        </w:rPr>
        <w:t>750MW</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68"/>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值得注意的是，我國的太陽光電產業雖然在綠能產業中較具優勢，但在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月福聚太陽能宣布破產後，我國已無生產太陽光電最上游原料</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多晶矽的廠商，再加上太陽能電池以中國大陸為主要市場，容易受國際貿易情勢影響，亦為太陽光電產業發展的隱憂。</w:t>
      </w:r>
    </w:p>
    <w:p w:rsidR="00967390" w:rsidRPr="00C77E77" w:rsidRDefault="00967390" w:rsidP="00967390">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二、</w:t>
      </w:r>
      <w:r w:rsidRPr="00C77E77">
        <w:rPr>
          <w:rFonts w:ascii="Times New Roman" w:eastAsia="標楷體" w:hAnsi="Times New Roman" w:cs="Times New Roman"/>
          <w:b/>
          <w:sz w:val="28"/>
          <w:szCs w:val="28"/>
        </w:rPr>
        <w:t>LED</w:t>
      </w:r>
      <w:r w:rsidRPr="00C77E77">
        <w:rPr>
          <w:rFonts w:ascii="Times New Roman" w:eastAsia="標楷體" w:hAnsi="Times New Roman" w:cs="Times New Roman"/>
          <w:b/>
          <w:sz w:val="28"/>
          <w:szCs w:val="28"/>
        </w:rPr>
        <w:t>照明產業</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發光二極體（</w:t>
      </w:r>
      <w:r w:rsidRPr="00C77E77">
        <w:rPr>
          <w:rFonts w:ascii="Times New Roman" w:eastAsia="標楷體" w:hAnsi="Times New Roman" w:cs="Times New Roman"/>
          <w:sz w:val="28"/>
          <w:szCs w:val="28"/>
        </w:rPr>
        <w:t>Light-Emitting Diode, LED</w:t>
      </w:r>
      <w:r w:rsidRPr="00C77E77">
        <w:rPr>
          <w:rFonts w:ascii="Times New Roman" w:eastAsia="標楷體" w:hAnsi="Times New Roman" w:cs="Times New Roman"/>
          <w:sz w:val="28"/>
          <w:szCs w:val="28"/>
        </w:rPr>
        <w:t>），是由半導體材料所製成之發光元件，因具有用電量低且易調控光的強弱等特性，故成為目前節能照明光源之一。各國為有效推動綠能產業，刻正運用及發展固態照明元件相關技術，以達到照明應用上節能減碳之目的。</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照明光電產業範疇涵蓋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元件、</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背光模組、</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車燈等四大次產業。</w:t>
      </w:r>
      <w:r w:rsidRPr="00C77E77">
        <w:rPr>
          <w:rStyle w:val="a9"/>
          <w:rFonts w:ascii="Times New Roman" w:eastAsia="標楷體" w:hAnsi="Times New Roman" w:cs="Times New Roman"/>
          <w:sz w:val="28"/>
          <w:szCs w:val="28"/>
        </w:rPr>
        <w:footnoteReference w:id="69"/>
      </w:r>
      <w:r w:rsidRPr="00C77E77">
        <w:rPr>
          <w:rFonts w:ascii="Times New Roman" w:eastAsia="標楷體" w:hAnsi="Times New Roman" w:cs="Times New Roman"/>
          <w:sz w:val="28"/>
          <w:szCs w:val="28"/>
        </w:rPr>
        <w:t>我國的</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產業具有完整的產業鏈，上游與中游具有相當的品牌競爭力，又以</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晶片生產與</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晶片封裝等元件產品貢獻金額較多，主要廠商亦具有市場領導地位，然而下游燈具業者多從事代工生產，在品牌出海口方面尚待突破。（我國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產業鏈請參見下表</w:t>
      </w:r>
      <w:r w:rsidRPr="00C77E77">
        <w:rPr>
          <w:rFonts w:ascii="Times New Roman" w:eastAsia="標楷體" w:hAnsi="Times New Roman" w:cs="Times New Roman"/>
          <w:sz w:val="28"/>
          <w:szCs w:val="28"/>
        </w:rPr>
        <w:t>3-3-2</w:t>
      </w:r>
      <w:r w:rsidRPr="00C77E77">
        <w:rPr>
          <w:rFonts w:ascii="Times New Roman" w:eastAsia="標楷體" w:hAnsi="Times New Roman" w:cs="Times New Roman"/>
          <w:sz w:val="28"/>
          <w:szCs w:val="28"/>
        </w:rPr>
        <w:t>）</w:t>
      </w:r>
    </w:p>
    <w:p w:rsidR="00967390" w:rsidRPr="00C77E77" w:rsidRDefault="00967390" w:rsidP="00967390">
      <w:pPr>
        <w:pStyle w:val="af9"/>
        <w:spacing w:line="500" w:lineRule="exact"/>
      </w:pPr>
      <w:bookmarkStart w:id="90" w:name="_Toc458184948"/>
      <w:bookmarkStart w:id="91" w:name="_Toc470676594"/>
      <w:r w:rsidRPr="00C77E77">
        <w:lastRenderedPageBreak/>
        <w:t>表</w:t>
      </w:r>
      <w:r w:rsidRPr="00C77E77">
        <w:t xml:space="preserve">3-3-2 </w:t>
      </w:r>
      <w:r w:rsidRPr="00C77E77">
        <w:t>我國</w:t>
      </w:r>
      <w:r w:rsidRPr="00C77E77">
        <w:t>LED</w:t>
      </w:r>
      <w:r w:rsidRPr="00C77E77">
        <w:t>照明光電產業鏈概況</w:t>
      </w:r>
      <w:bookmarkEnd w:id="90"/>
      <w:bookmarkEnd w:id="91"/>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1815"/>
        <w:gridCol w:w="4252"/>
        <w:gridCol w:w="1842"/>
      </w:tblGrid>
      <w:tr w:rsidR="00967390" w:rsidRPr="00C77E77" w:rsidTr="002D6DDB">
        <w:trPr>
          <w:trHeight w:val="99"/>
          <w:jc w:val="center"/>
        </w:trPr>
        <w:tc>
          <w:tcPr>
            <w:tcW w:w="1305"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產業</w:t>
            </w:r>
          </w:p>
        </w:tc>
        <w:tc>
          <w:tcPr>
            <w:tcW w:w="1815"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上游</w:t>
            </w:r>
          </w:p>
        </w:tc>
        <w:tc>
          <w:tcPr>
            <w:tcW w:w="4252"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中游</w:t>
            </w:r>
          </w:p>
        </w:tc>
        <w:tc>
          <w:tcPr>
            <w:tcW w:w="1842"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下游</w:t>
            </w:r>
          </w:p>
        </w:tc>
      </w:tr>
      <w:tr w:rsidR="00967390" w:rsidRPr="00C77E77" w:rsidTr="002D6DDB">
        <w:trPr>
          <w:trHeight w:val="99"/>
          <w:jc w:val="center"/>
        </w:trPr>
        <w:tc>
          <w:tcPr>
            <w:tcW w:w="1305" w:type="dxa"/>
            <w:vMerge w:val="restart"/>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LED</w:t>
            </w:r>
            <w:r w:rsidRPr="00C77E77">
              <w:rPr>
                <w:rFonts w:ascii="Times New Roman" w:eastAsia="標楷體" w:hAnsi="Times New Roman" w:cs="Times New Roman"/>
                <w:color w:val="000000"/>
                <w:kern w:val="0"/>
                <w:szCs w:val="24"/>
              </w:rPr>
              <w:br/>
            </w:r>
            <w:r w:rsidRPr="00C77E77">
              <w:rPr>
                <w:rFonts w:ascii="Times New Roman" w:eastAsia="標楷體" w:hAnsi="Times New Roman" w:cs="Times New Roman"/>
                <w:color w:val="000000"/>
                <w:kern w:val="0"/>
                <w:szCs w:val="24"/>
              </w:rPr>
              <w:t>照明光電</w:t>
            </w:r>
          </w:p>
        </w:tc>
        <w:tc>
          <w:tcPr>
            <w:tcW w:w="1815"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磊晶／晶粒</w:t>
            </w:r>
          </w:p>
        </w:tc>
        <w:tc>
          <w:tcPr>
            <w:tcW w:w="4252"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模組／封裝</w:t>
            </w:r>
          </w:p>
        </w:tc>
        <w:tc>
          <w:tcPr>
            <w:tcW w:w="1842"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燈具產品</w:t>
            </w:r>
          </w:p>
        </w:tc>
      </w:tr>
      <w:tr w:rsidR="00967390" w:rsidRPr="00C77E77" w:rsidTr="002D6DDB">
        <w:trPr>
          <w:trHeight w:val="279"/>
          <w:jc w:val="center"/>
        </w:trPr>
        <w:tc>
          <w:tcPr>
            <w:tcW w:w="1305" w:type="dxa"/>
            <w:vMerge/>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p>
        </w:tc>
        <w:tc>
          <w:tcPr>
            <w:tcW w:w="1815"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光磊、晶電、鼎元、泰谷、新世紀、光鋐、</w:t>
            </w:r>
            <w:r w:rsidRPr="00C77E77">
              <w:rPr>
                <w:rFonts w:ascii="Times New Roman" w:eastAsia="標楷體" w:hAnsi="Times New Roman" w:cs="Times New Roman"/>
                <w:szCs w:val="24"/>
              </w:rPr>
              <w:t>榮創</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隆達</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鑫禾</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同欣</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華上</w:t>
            </w: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szCs w:val="24"/>
              </w:rPr>
              <w:t>景傳</w:t>
            </w:r>
          </w:p>
        </w:tc>
        <w:tc>
          <w:tcPr>
            <w:tcW w:w="425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億光、東貝、佰鴻、榮創、艾笛森、華興、宏齊、</w:t>
            </w:r>
            <w:r w:rsidRPr="00C77E77">
              <w:rPr>
                <w:rFonts w:ascii="Times New Roman" w:eastAsia="標楷體" w:hAnsi="Times New Roman" w:cs="Times New Roman"/>
                <w:szCs w:val="24"/>
              </w:rPr>
              <w:t>中釉、光寶科技、</w:t>
            </w:r>
            <w:r w:rsidR="00FD0D5A" w:rsidRPr="00C77E77">
              <w:rPr>
                <w:rFonts w:ascii="Times New Roman" w:eastAsia="標楷體" w:hAnsi="Times New Roman" w:cs="Times New Roman"/>
                <w:szCs w:val="24"/>
              </w:rPr>
              <w:t>臺</w:t>
            </w:r>
            <w:r w:rsidRPr="00C77E77">
              <w:rPr>
                <w:rFonts w:ascii="Times New Roman" w:eastAsia="標楷體" w:hAnsi="Times New Roman" w:cs="Times New Roman"/>
                <w:szCs w:val="24"/>
              </w:rPr>
              <w:t>達電、大同、禾伸堂、佰鴻、新世紀、隆達、鑫禾、達興、崇越、光鼎、同欣、李洲、利機、雷笛克、雷科、豪勉、福華、立碁、麗清、連營、凌嘉科、通用、弘凱、葳天、聯嘉、長華</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szCs w:val="24"/>
              </w:rPr>
            </w:pPr>
            <w:r w:rsidRPr="00C77E77">
              <w:rPr>
                <w:rFonts w:ascii="Times New Roman" w:eastAsia="標楷體" w:hAnsi="Times New Roman" w:cs="Times New Roman"/>
                <w:color w:val="000000"/>
                <w:kern w:val="0"/>
                <w:szCs w:val="24"/>
              </w:rPr>
              <w:t>億光、東貝、佰鴻、湯石、光磊、華興、光鼎、隆達、光林、</w:t>
            </w:r>
            <w:r w:rsidR="00FD0D5A" w:rsidRPr="00C77E77">
              <w:rPr>
                <w:rFonts w:ascii="Times New Roman" w:eastAsia="標楷體" w:hAnsi="Times New Roman" w:cs="Times New Roman"/>
                <w:color w:val="000000"/>
                <w:kern w:val="0"/>
                <w:szCs w:val="24"/>
              </w:rPr>
              <w:t>臺</w:t>
            </w:r>
            <w:r w:rsidRPr="00C77E77">
              <w:rPr>
                <w:rFonts w:ascii="Times New Roman" w:eastAsia="標楷體" w:hAnsi="Times New Roman" w:cs="Times New Roman"/>
                <w:color w:val="000000"/>
                <w:kern w:val="0"/>
                <w:szCs w:val="24"/>
              </w:rPr>
              <w:t>達電</w:t>
            </w:r>
            <w:r w:rsidRPr="00C77E77">
              <w:rPr>
                <w:rFonts w:ascii="Times New Roman" w:eastAsia="標楷體" w:hAnsi="Times New Roman" w:cs="Times New Roman"/>
                <w:szCs w:val="24"/>
              </w:rPr>
              <w:t>、大同、鑫禾、禾伸堂、長華</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等</w:t>
            </w:r>
          </w:p>
        </w:tc>
      </w:tr>
    </w:tbl>
    <w:p w:rsidR="00967390" w:rsidRPr="00C77E77" w:rsidRDefault="00967390" w:rsidP="00967390">
      <w:pPr>
        <w:spacing w:line="500" w:lineRule="exact"/>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r w:rsidR="000C1684" w:rsidRPr="00C77E77">
        <w:rPr>
          <w:rFonts w:ascii="Times New Roman" w:eastAsia="標楷體" w:hAnsi="Times New Roman" w:cs="Times New Roman"/>
          <w:sz w:val="28"/>
          <w:szCs w:val="28"/>
        </w:rPr>
        <w:t>。</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元件產值位居全球前</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大，背光模組為全球第</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，以中國大陸為主要市場，產值集中於元件及背光模組此兩大次產業，以</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年為例，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元件產值約為</w:t>
      </w:r>
      <w:r w:rsidRPr="00C77E77">
        <w:rPr>
          <w:rFonts w:ascii="Times New Roman" w:eastAsia="標楷體" w:hAnsi="Times New Roman" w:cs="Times New Roman"/>
          <w:sz w:val="28"/>
          <w:szCs w:val="28"/>
        </w:rPr>
        <w:t>975</w:t>
      </w:r>
      <w:r w:rsidRPr="00C77E77">
        <w:rPr>
          <w:rFonts w:ascii="Times New Roman" w:eastAsia="標楷體" w:hAnsi="Times New Roman" w:cs="Times New Roman"/>
          <w:sz w:val="28"/>
          <w:szCs w:val="28"/>
        </w:rPr>
        <w:t>億元，全球市場占有率為</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％，為全球第</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大供應國；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背光模組產值約為</w:t>
      </w:r>
      <w:r w:rsidRPr="00C77E77">
        <w:rPr>
          <w:rFonts w:ascii="Times New Roman" w:eastAsia="標楷體" w:hAnsi="Times New Roman" w:cs="Times New Roman"/>
          <w:sz w:val="28"/>
          <w:szCs w:val="28"/>
        </w:rPr>
        <w:t>1,020</w:t>
      </w:r>
      <w:r w:rsidRPr="00C77E77">
        <w:rPr>
          <w:rFonts w:ascii="Times New Roman" w:eastAsia="標楷體" w:hAnsi="Times New Roman" w:cs="Times New Roman"/>
          <w:sz w:val="28"/>
          <w:szCs w:val="28"/>
        </w:rPr>
        <w:t>億元，全球市場占有率為</w:t>
      </w:r>
      <w:r w:rsidRPr="00C77E77">
        <w:rPr>
          <w:rFonts w:ascii="Times New Roman" w:eastAsia="標楷體" w:hAnsi="Times New Roman" w:cs="Times New Roman"/>
          <w:sz w:val="28"/>
          <w:szCs w:val="28"/>
        </w:rPr>
        <w:t>25.6</w:t>
      </w:r>
      <w:r w:rsidRPr="00C77E77">
        <w:rPr>
          <w:rFonts w:ascii="Times New Roman" w:eastAsia="標楷體" w:hAnsi="Times New Roman" w:cs="Times New Roman"/>
          <w:sz w:val="28"/>
          <w:szCs w:val="28"/>
        </w:rPr>
        <w:t>％，但因市場飽和度高，競爭激烈，產值成長趨緩；</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照明產值約為</w:t>
      </w:r>
      <w:r w:rsidRPr="00C77E77">
        <w:rPr>
          <w:rFonts w:ascii="Times New Roman" w:eastAsia="標楷體" w:hAnsi="Times New Roman" w:cs="Times New Roman"/>
          <w:sz w:val="28"/>
          <w:szCs w:val="28"/>
        </w:rPr>
        <w:t>184</w:t>
      </w:r>
      <w:r w:rsidRPr="00C77E77">
        <w:rPr>
          <w:rFonts w:ascii="Times New Roman" w:eastAsia="標楷體" w:hAnsi="Times New Roman" w:cs="Times New Roman"/>
          <w:sz w:val="28"/>
          <w:szCs w:val="28"/>
        </w:rPr>
        <w:t>億元，全球市場占有率為</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％，主要配合政府公共工程持續推動路燈與交通號誌燈之汰換；</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車燈產業市場產值約為</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億元，全球市場占有率為</w:t>
      </w:r>
      <w:r w:rsidRPr="00C77E77">
        <w:rPr>
          <w:rFonts w:ascii="Times New Roman" w:eastAsia="標楷體" w:hAnsi="Times New Roman" w:cs="Times New Roman"/>
          <w:sz w:val="28"/>
          <w:szCs w:val="28"/>
        </w:rPr>
        <w:t>2.4</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70"/>
      </w:r>
      <w:r w:rsidRPr="00C77E77">
        <w:rPr>
          <w:rFonts w:ascii="Times New Roman" w:eastAsia="標楷體" w:hAnsi="Times New Roman" w:cs="Times New Roman"/>
          <w:sz w:val="28"/>
          <w:szCs w:val="28"/>
        </w:rPr>
        <w:t>現在的主要問題是，</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產業除了上游晶片業者受到中國大陸業者的強力競爭外，下游照明產品出口的關稅條件相較於中國大陸廠商則同樣處於較為不利的地位。</w:t>
      </w:r>
    </w:p>
    <w:p w:rsidR="00967390" w:rsidRPr="00C77E77" w:rsidRDefault="00967390" w:rsidP="00967390">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三、綠色運輸</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綠色運輸是指以環境永續發展為基礎，使用低污染或零污染能源的運輸系統。因此，廣義的綠色運輸產業可以包括燃料電池與電動車兩大部分。</w:t>
      </w:r>
    </w:p>
    <w:p w:rsidR="00967390" w:rsidRPr="00C77E77" w:rsidRDefault="00967390" w:rsidP="004872CB">
      <w:pPr>
        <w:spacing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燃料電池是一種直接將燃料經由電化學反應而發電的裝置。燃料的選擇性非常多元，包括氫氣、甲醇、乙醇、天然氣甚至於汽油。氫氣因為能量密度高，來源多元化，所以適合用於燃料電池，氫能源就是利用燃料電池裝置</w:t>
      </w:r>
      <w:r w:rsidRPr="00C77E77">
        <w:rPr>
          <w:rFonts w:ascii="Times New Roman" w:eastAsia="標楷體" w:hAnsi="Times New Roman" w:cs="Times New Roman"/>
          <w:sz w:val="28"/>
          <w:szCs w:val="28"/>
        </w:rPr>
        <w:lastRenderedPageBreak/>
        <w:t>使化學能變成電能，其應用涵蓋分散式發電系統、運輸載具與可攜式</w:t>
      </w:r>
      <w:r w:rsidRPr="00C77E77">
        <w:rPr>
          <w:rFonts w:ascii="Times New Roman" w:eastAsia="標楷體" w:hAnsi="Times New Roman" w:cs="Times New Roman"/>
          <w:sz w:val="28"/>
          <w:szCs w:val="28"/>
        </w:rPr>
        <w:t>3C</w:t>
      </w:r>
      <w:r w:rsidRPr="00C77E77">
        <w:rPr>
          <w:rFonts w:ascii="Times New Roman" w:eastAsia="標楷體" w:hAnsi="Times New Roman" w:cs="Times New Roman"/>
          <w:sz w:val="28"/>
          <w:szCs w:val="28"/>
        </w:rPr>
        <w:t>產品。</w:t>
      </w:r>
      <w:r w:rsidRPr="00C77E77">
        <w:rPr>
          <w:rStyle w:val="a9"/>
          <w:rFonts w:ascii="Times New Roman" w:eastAsia="標楷體" w:hAnsi="Times New Roman" w:cs="Times New Roman"/>
          <w:sz w:val="28"/>
          <w:szCs w:val="28"/>
        </w:rPr>
        <w:footnoteReference w:id="71"/>
      </w:r>
      <w:r w:rsidRPr="00C77E77">
        <w:rPr>
          <w:rFonts w:ascii="Times New Roman" w:eastAsia="標楷體" w:hAnsi="Times New Roman" w:cs="Times New Roman"/>
          <w:sz w:val="28"/>
          <w:szCs w:val="28"/>
        </w:rPr>
        <w:t>我國目前的燃料電池產業上、中、下游產業鏈逐漸成形，系統產品整合能力強，關鍵組件（膜電極組、氣體擴散層／電極、重組器）能力持續提升中。（產業鏈見下表</w:t>
      </w:r>
      <w:r w:rsidRPr="00C77E77">
        <w:rPr>
          <w:rFonts w:ascii="Times New Roman" w:eastAsia="標楷體" w:hAnsi="Times New Roman" w:cs="Times New Roman"/>
          <w:sz w:val="28"/>
          <w:szCs w:val="28"/>
        </w:rPr>
        <w:t>3-3-3</w:t>
      </w:r>
      <w:r w:rsidRPr="00C77E77">
        <w:rPr>
          <w:rFonts w:ascii="Times New Roman" w:eastAsia="標楷體" w:hAnsi="Times New Roman" w:cs="Times New Roman"/>
          <w:sz w:val="28"/>
          <w:szCs w:val="28"/>
        </w:rPr>
        <w:t>）</w:t>
      </w:r>
    </w:p>
    <w:p w:rsidR="00967390" w:rsidRPr="00C77E77" w:rsidRDefault="00967390" w:rsidP="00967390">
      <w:pPr>
        <w:pStyle w:val="af9"/>
        <w:spacing w:line="500" w:lineRule="exact"/>
      </w:pPr>
      <w:bookmarkStart w:id="92" w:name="_Toc458184949"/>
      <w:bookmarkStart w:id="93" w:name="_Toc470676595"/>
      <w:r w:rsidRPr="00C77E77">
        <w:t>表</w:t>
      </w:r>
      <w:r w:rsidRPr="00C77E77">
        <w:t xml:space="preserve">3-3-3 </w:t>
      </w:r>
      <w:r w:rsidRPr="00C77E77">
        <w:t>我國</w:t>
      </w:r>
      <w:r w:rsidRPr="00C77E77">
        <w:rPr>
          <w:color w:val="000000"/>
          <w:kern w:val="0"/>
          <w:szCs w:val="20"/>
        </w:rPr>
        <w:t>氫能與燃料電池</w:t>
      </w:r>
      <w:r w:rsidRPr="00C77E77">
        <w:t>產業鏈概況</w:t>
      </w:r>
      <w:bookmarkEnd w:id="92"/>
      <w:bookmarkEnd w:id="93"/>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5"/>
        <w:gridCol w:w="2239"/>
        <w:gridCol w:w="2605"/>
        <w:gridCol w:w="3065"/>
      </w:tblGrid>
      <w:tr w:rsidR="00967390" w:rsidRPr="00C77E77" w:rsidTr="002D6DDB">
        <w:trPr>
          <w:trHeight w:val="99"/>
        </w:trPr>
        <w:tc>
          <w:tcPr>
            <w:tcW w:w="1305"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產業</w:t>
            </w:r>
          </w:p>
        </w:tc>
        <w:tc>
          <w:tcPr>
            <w:tcW w:w="2239"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上游</w:t>
            </w:r>
          </w:p>
        </w:tc>
        <w:tc>
          <w:tcPr>
            <w:tcW w:w="2605"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中游</w:t>
            </w:r>
          </w:p>
        </w:tc>
        <w:tc>
          <w:tcPr>
            <w:tcW w:w="3065"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下游</w:t>
            </w:r>
          </w:p>
        </w:tc>
      </w:tr>
      <w:tr w:rsidR="00967390" w:rsidRPr="00C77E77" w:rsidTr="002D6DDB">
        <w:trPr>
          <w:trHeight w:val="99"/>
        </w:trPr>
        <w:tc>
          <w:tcPr>
            <w:tcW w:w="1305" w:type="dxa"/>
            <w:vMerge w:val="restart"/>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氫能與燃料電池</w:t>
            </w:r>
          </w:p>
        </w:tc>
        <w:tc>
          <w:tcPr>
            <w:tcW w:w="2239"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原材料</w:t>
            </w:r>
          </w:p>
        </w:tc>
        <w:tc>
          <w:tcPr>
            <w:tcW w:w="2605"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電池組件</w:t>
            </w:r>
          </w:p>
        </w:tc>
        <w:tc>
          <w:tcPr>
            <w:tcW w:w="3065" w:type="dxa"/>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系統應用</w:t>
            </w:r>
          </w:p>
        </w:tc>
      </w:tr>
      <w:tr w:rsidR="00967390" w:rsidRPr="00C77E77" w:rsidTr="002D6DDB">
        <w:trPr>
          <w:trHeight w:val="279"/>
        </w:trPr>
        <w:tc>
          <w:tcPr>
            <w:tcW w:w="1305" w:type="dxa"/>
            <w:vMerge/>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8"/>
              </w:rPr>
            </w:pPr>
          </w:p>
        </w:tc>
        <w:tc>
          <w:tcPr>
            <w:tcW w:w="223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安矩科技、南亞電路板、盛英、鼎旭、異能科技</w:t>
            </w:r>
          </w:p>
        </w:tc>
        <w:tc>
          <w:tcPr>
            <w:tcW w:w="2605"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高力、南亞電路板、光騰、博研、鼎佳、中興電工、亞太燃料電池</w:t>
            </w:r>
          </w:p>
        </w:tc>
        <w:tc>
          <w:tcPr>
            <w:tcW w:w="3065"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高力、中興電工、亞太燃料電池、美菲德、成功大學、工研院、核能研究所、鼎佳</w:t>
            </w:r>
          </w:p>
        </w:tc>
      </w:tr>
    </w:tbl>
    <w:p w:rsidR="00967390" w:rsidRPr="00C77E77" w:rsidRDefault="004872CB" w:rsidP="00967390">
      <w:pPr>
        <w:spacing w:line="500" w:lineRule="exact"/>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資料來源：臺灣經濟研究院產經資料庫</w:t>
      </w:r>
    </w:p>
    <w:p w:rsidR="00967390" w:rsidRPr="00C77E77" w:rsidRDefault="00967390" w:rsidP="004872CB">
      <w:pPr>
        <w:spacing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不過，由於綠色運輸強調的是運輸系統，而電動車本身就包含複合動力車、插電式複合動力車、純電動車、燃料電池車等不同類型，而且燃料電池的東南亞及南亞市場目前還看不到明顯的前景，因此，本研究計畫有關綠色運輸的部分便以電動車為主。</w:t>
      </w:r>
    </w:p>
    <w:p w:rsidR="00967390" w:rsidRPr="00C77E77" w:rsidRDefault="00967390" w:rsidP="004872CB">
      <w:pPr>
        <w:spacing w:line="500" w:lineRule="exact"/>
        <w:ind w:firstLine="488"/>
        <w:jc w:val="both"/>
        <w:rPr>
          <w:rFonts w:ascii="Times New Roman" w:hAnsi="Times New Roman" w:cs="Times New Roman"/>
        </w:rPr>
      </w:pPr>
      <w:r w:rsidRPr="00C77E77">
        <w:rPr>
          <w:rFonts w:ascii="Times New Roman" w:eastAsia="標楷體" w:hAnsi="Times New Roman" w:cs="Times New Roman"/>
          <w:sz w:val="28"/>
          <w:szCs w:val="28"/>
        </w:rPr>
        <w:t>我國的電動車開發上，自上游電池原料供應商至下游整車製造廠，已逐漸具備完整的產業鏈，</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年整體電動車產值約新臺幣</w:t>
      </w:r>
      <w:r w:rsidRPr="00C77E77">
        <w:rPr>
          <w:rFonts w:ascii="Times New Roman" w:eastAsia="標楷體" w:hAnsi="Times New Roman" w:cs="Times New Roman"/>
          <w:sz w:val="28"/>
          <w:szCs w:val="28"/>
        </w:rPr>
        <w:t>92</w:t>
      </w:r>
      <w:r w:rsidRPr="00C77E77">
        <w:rPr>
          <w:rFonts w:ascii="Times New Roman" w:eastAsia="標楷體" w:hAnsi="Times New Roman" w:cs="Times New Roman"/>
          <w:sz w:val="28"/>
          <w:szCs w:val="28"/>
        </w:rPr>
        <w:t>億。尤其是電動機車與電動自行車方面，上、中、下游產業已具品牌與規模，電動汽車整車則在起步階段。</w:t>
      </w:r>
    </w:p>
    <w:p w:rsidR="00967390" w:rsidRPr="00C77E77" w:rsidRDefault="00967390" w:rsidP="00967390">
      <w:pPr>
        <w:pStyle w:val="af9"/>
        <w:spacing w:line="500" w:lineRule="exact"/>
      </w:pPr>
      <w:bookmarkStart w:id="94" w:name="_Toc458184950"/>
      <w:bookmarkStart w:id="95" w:name="_Toc470676596"/>
      <w:r w:rsidRPr="00C77E77">
        <w:t>表</w:t>
      </w:r>
      <w:r w:rsidRPr="00C77E77">
        <w:t xml:space="preserve">3-3-4 </w:t>
      </w:r>
      <w:r w:rsidRPr="00C77E77">
        <w:t>我國</w:t>
      </w:r>
      <w:r w:rsidRPr="00C77E77">
        <w:rPr>
          <w:color w:val="000000"/>
          <w:kern w:val="0"/>
          <w:szCs w:val="20"/>
        </w:rPr>
        <w:t>電動車</w:t>
      </w:r>
      <w:r w:rsidRPr="00C77E77">
        <w:t>產業鏈概況</w:t>
      </w:r>
      <w:bookmarkEnd w:id="94"/>
      <w:bookmarkEnd w:id="95"/>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417"/>
        <w:gridCol w:w="3827"/>
        <w:gridCol w:w="2977"/>
      </w:tblGrid>
      <w:tr w:rsidR="00967390" w:rsidRPr="00C77E77" w:rsidTr="002D6DDB">
        <w:trPr>
          <w:trHeight w:val="99"/>
        </w:trPr>
        <w:tc>
          <w:tcPr>
            <w:tcW w:w="993" w:type="dxa"/>
          </w:tcPr>
          <w:p w:rsidR="00967390" w:rsidRPr="00C77E77" w:rsidRDefault="00967390" w:rsidP="004872CB">
            <w:pPr>
              <w:spacing w:line="0" w:lineRule="atLeast"/>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產業</w:t>
            </w:r>
          </w:p>
        </w:tc>
        <w:tc>
          <w:tcPr>
            <w:tcW w:w="1417" w:type="dxa"/>
          </w:tcPr>
          <w:p w:rsidR="00967390" w:rsidRPr="00C77E77" w:rsidRDefault="00967390" w:rsidP="004872CB">
            <w:pPr>
              <w:spacing w:line="0" w:lineRule="atLeast"/>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上游</w:t>
            </w:r>
          </w:p>
        </w:tc>
        <w:tc>
          <w:tcPr>
            <w:tcW w:w="3827" w:type="dxa"/>
          </w:tcPr>
          <w:p w:rsidR="00967390" w:rsidRPr="00C77E77" w:rsidRDefault="00967390" w:rsidP="004872CB">
            <w:pPr>
              <w:spacing w:line="0" w:lineRule="atLeast"/>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中游</w:t>
            </w:r>
          </w:p>
        </w:tc>
        <w:tc>
          <w:tcPr>
            <w:tcW w:w="2977" w:type="dxa"/>
          </w:tcPr>
          <w:p w:rsidR="00967390" w:rsidRPr="00C77E77" w:rsidRDefault="00967390" w:rsidP="004872CB">
            <w:pPr>
              <w:spacing w:line="0" w:lineRule="atLeast"/>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下游</w:t>
            </w:r>
          </w:p>
        </w:tc>
      </w:tr>
      <w:tr w:rsidR="00967390" w:rsidRPr="00C77E77" w:rsidTr="002D6DDB">
        <w:trPr>
          <w:trHeight w:val="99"/>
        </w:trPr>
        <w:tc>
          <w:tcPr>
            <w:tcW w:w="993" w:type="dxa"/>
            <w:vMerge w:val="restart"/>
            <w:vAlign w:val="center"/>
          </w:tcPr>
          <w:p w:rsidR="00967390" w:rsidRPr="00C77E77" w:rsidRDefault="00967390" w:rsidP="004872CB">
            <w:pPr>
              <w:spacing w:line="0" w:lineRule="atLeast"/>
              <w:jc w:val="both"/>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電動車</w:t>
            </w:r>
          </w:p>
        </w:tc>
        <w:tc>
          <w:tcPr>
            <w:tcW w:w="1417" w:type="dxa"/>
          </w:tcPr>
          <w:p w:rsidR="00967390" w:rsidRPr="00C77E77" w:rsidRDefault="00967390" w:rsidP="004872CB">
            <w:pPr>
              <w:spacing w:line="0" w:lineRule="atLeast"/>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電池材料</w:t>
            </w:r>
          </w:p>
        </w:tc>
        <w:tc>
          <w:tcPr>
            <w:tcW w:w="3827" w:type="dxa"/>
          </w:tcPr>
          <w:p w:rsidR="00967390" w:rsidRPr="00C77E77" w:rsidRDefault="00967390" w:rsidP="004872CB">
            <w:pPr>
              <w:spacing w:line="0" w:lineRule="atLeast"/>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電池芯、模組系統、動力馬達等</w:t>
            </w:r>
          </w:p>
        </w:tc>
        <w:tc>
          <w:tcPr>
            <w:tcW w:w="2977" w:type="dxa"/>
          </w:tcPr>
          <w:p w:rsidR="00967390" w:rsidRPr="00C77E77" w:rsidRDefault="00967390" w:rsidP="004872CB">
            <w:pPr>
              <w:spacing w:line="0" w:lineRule="atLeast"/>
              <w:jc w:val="center"/>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整車</w:t>
            </w:r>
          </w:p>
        </w:tc>
      </w:tr>
      <w:tr w:rsidR="00967390" w:rsidRPr="00C77E77" w:rsidTr="002D6DDB">
        <w:trPr>
          <w:trHeight w:val="279"/>
        </w:trPr>
        <w:tc>
          <w:tcPr>
            <w:tcW w:w="993" w:type="dxa"/>
            <w:vMerge/>
          </w:tcPr>
          <w:p w:rsidR="00967390" w:rsidRPr="00C77E77" w:rsidRDefault="00967390" w:rsidP="004872CB">
            <w:pPr>
              <w:spacing w:line="0" w:lineRule="atLeast"/>
              <w:jc w:val="both"/>
              <w:rPr>
                <w:rFonts w:ascii="Times New Roman" w:eastAsia="標楷體" w:hAnsi="Times New Roman" w:cs="Times New Roman"/>
                <w:color w:val="000000"/>
                <w:kern w:val="0"/>
                <w:szCs w:val="28"/>
              </w:rPr>
            </w:pPr>
          </w:p>
        </w:tc>
        <w:tc>
          <w:tcPr>
            <w:tcW w:w="1417" w:type="dxa"/>
          </w:tcPr>
          <w:p w:rsidR="00967390" w:rsidRPr="00C77E77" w:rsidRDefault="00FD0D5A" w:rsidP="004872CB">
            <w:pPr>
              <w:spacing w:line="0" w:lineRule="atLeast"/>
              <w:jc w:val="both"/>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臺</w:t>
            </w:r>
            <w:r w:rsidR="00967390" w:rsidRPr="00C77E77">
              <w:rPr>
                <w:rFonts w:ascii="Times New Roman" w:eastAsia="標楷體" w:hAnsi="Times New Roman" w:cs="Times New Roman"/>
                <w:color w:val="000000"/>
                <w:kern w:val="0"/>
                <w:szCs w:val="28"/>
              </w:rPr>
              <w:t>塑長園、中鋼碳素、</w:t>
            </w:r>
            <w:r w:rsidRPr="00C77E77">
              <w:rPr>
                <w:rFonts w:ascii="Times New Roman" w:eastAsia="標楷體" w:hAnsi="Times New Roman" w:cs="Times New Roman"/>
                <w:color w:val="000000"/>
                <w:kern w:val="0"/>
                <w:szCs w:val="28"/>
              </w:rPr>
              <w:t>臺</w:t>
            </w:r>
            <w:r w:rsidR="00967390" w:rsidRPr="00C77E77">
              <w:rPr>
                <w:rFonts w:ascii="Times New Roman" w:eastAsia="標楷體" w:hAnsi="Times New Roman" w:cs="Times New Roman"/>
                <w:color w:val="000000"/>
                <w:kern w:val="0"/>
                <w:szCs w:val="28"/>
              </w:rPr>
              <w:t>茂蓄電池、</w:t>
            </w:r>
            <w:r w:rsidRPr="00C77E77">
              <w:rPr>
                <w:rFonts w:ascii="Times New Roman" w:eastAsia="標楷體" w:hAnsi="Times New Roman" w:cs="Times New Roman"/>
                <w:color w:val="000000"/>
                <w:kern w:val="0"/>
                <w:szCs w:val="28"/>
              </w:rPr>
              <w:t>臺</w:t>
            </w:r>
            <w:r w:rsidR="00967390" w:rsidRPr="00C77E77">
              <w:rPr>
                <w:rFonts w:ascii="Times New Roman" w:eastAsia="標楷體" w:hAnsi="Times New Roman" w:cs="Times New Roman"/>
                <w:color w:val="000000"/>
                <w:kern w:val="0"/>
                <w:szCs w:val="28"/>
              </w:rPr>
              <w:t>達電、大同、鑫禾、康普、長園、金居開發</w:t>
            </w:r>
          </w:p>
        </w:tc>
        <w:tc>
          <w:tcPr>
            <w:tcW w:w="3827" w:type="dxa"/>
          </w:tcPr>
          <w:p w:rsidR="00967390" w:rsidRPr="00C77E77" w:rsidRDefault="00967390" w:rsidP="004872CB">
            <w:pPr>
              <w:spacing w:line="0" w:lineRule="atLeast"/>
              <w:jc w:val="both"/>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能元、有量、必翔、新普、達振、統量、富田、</w:t>
            </w:r>
            <w:r w:rsidR="00FD0D5A" w:rsidRPr="00C77E77">
              <w:rPr>
                <w:rFonts w:ascii="Times New Roman" w:eastAsia="標楷體" w:hAnsi="Times New Roman" w:cs="Times New Roman"/>
                <w:szCs w:val="28"/>
              </w:rPr>
              <w:t>臺</w:t>
            </w:r>
            <w:r w:rsidRPr="00C77E77">
              <w:rPr>
                <w:rFonts w:ascii="Times New Roman" w:eastAsia="標楷體" w:hAnsi="Times New Roman" w:cs="Times New Roman"/>
                <w:szCs w:val="28"/>
              </w:rPr>
              <w:t>全、東元、順達、泓記、兆曜、</w:t>
            </w:r>
            <w:r w:rsidR="00FD0D5A" w:rsidRPr="00C77E77">
              <w:rPr>
                <w:rFonts w:ascii="Times New Roman" w:eastAsia="標楷體" w:hAnsi="Times New Roman" w:cs="Times New Roman"/>
                <w:szCs w:val="28"/>
              </w:rPr>
              <w:t>臺</w:t>
            </w:r>
            <w:r w:rsidRPr="00C77E77">
              <w:rPr>
                <w:rFonts w:ascii="Times New Roman" w:eastAsia="標楷體" w:hAnsi="Times New Roman" w:cs="Times New Roman"/>
                <w:szCs w:val="28"/>
              </w:rPr>
              <w:t>湯、速克立、長利、</w:t>
            </w:r>
            <w:r w:rsidR="00FD0D5A" w:rsidRPr="00C77E77">
              <w:rPr>
                <w:rFonts w:ascii="Times New Roman" w:eastAsia="標楷體" w:hAnsi="Times New Roman" w:cs="Times New Roman"/>
                <w:color w:val="000000"/>
                <w:kern w:val="0"/>
                <w:szCs w:val="28"/>
              </w:rPr>
              <w:t>臺</w:t>
            </w:r>
            <w:r w:rsidRPr="00C77E77">
              <w:rPr>
                <w:rFonts w:ascii="Times New Roman" w:eastAsia="標楷體" w:hAnsi="Times New Roman" w:cs="Times New Roman"/>
                <w:color w:val="000000"/>
                <w:kern w:val="0"/>
                <w:szCs w:val="28"/>
              </w:rPr>
              <w:t>達電、大同、鑫禾、鴻海、華碩、長園、士電、華城、車王、和大、廣隆、光寶、正崴、建準、敦吉、百容、信邦、康舒、華美、博大、天宇、吉茂、映興、威力能</w:t>
            </w:r>
          </w:p>
        </w:tc>
        <w:tc>
          <w:tcPr>
            <w:tcW w:w="2977" w:type="dxa"/>
          </w:tcPr>
          <w:p w:rsidR="00967390" w:rsidRPr="00C77E77" w:rsidRDefault="00967390" w:rsidP="004872CB">
            <w:pPr>
              <w:spacing w:line="0" w:lineRule="atLeast"/>
              <w:jc w:val="both"/>
              <w:rPr>
                <w:rFonts w:ascii="Times New Roman" w:eastAsia="標楷體" w:hAnsi="Times New Roman" w:cs="Times New Roman"/>
                <w:color w:val="000000"/>
                <w:kern w:val="0"/>
                <w:szCs w:val="28"/>
              </w:rPr>
            </w:pPr>
            <w:r w:rsidRPr="00C77E77">
              <w:rPr>
                <w:rFonts w:ascii="Times New Roman" w:eastAsia="標楷體" w:hAnsi="Times New Roman" w:cs="Times New Roman"/>
                <w:color w:val="000000"/>
                <w:kern w:val="0"/>
                <w:szCs w:val="28"/>
              </w:rPr>
              <w:t>易維特、易立歐、亞太燃料電池、飛寶、上陞、地球村、伍氏、光陽、三陽、摩特、麒宇、必翔、合騏、益通、中華汽車、迪吉亞、綠鑽、宏佳騰、摩力美、金牌</w:t>
            </w:r>
            <w:r w:rsidRPr="00C77E77">
              <w:rPr>
                <w:rFonts w:ascii="Times New Roman" w:eastAsia="標楷體" w:hAnsi="Times New Roman" w:cs="Times New Roman"/>
                <w:szCs w:val="28"/>
              </w:rPr>
              <w:t>、</w:t>
            </w:r>
            <w:r w:rsidR="00FD0D5A" w:rsidRPr="00C77E77">
              <w:rPr>
                <w:rFonts w:ascii="Times New Roman" w:eastAsia="標楷體" w:hAnsi="Times New Roman" w:cs="Times New Roman"/>
                <w:color w:val="000000"/>
                <w:kern w:val="0"/>
                <w:szCs w:val="28"/>
              </w:rPr>
              <w:t>臺</w:t>
            </w:r>
            <w:r w:rsidRPr="00C77E77">
              <w:rPr>
                <w:rFonts w:ascii="Times New Roman" w:eastAsia="標楷體" w:hAnsi="Times New Roman" w:cs="Times New Roman"/>
                <w:color w:val="000000"/>
                <w:kern w:val="0"/>
                <w:szCs w:val="28"/>
              </w:rPr>
              <w:t>達電、鑫禾、美利達、宏佳騰、愛地雅、華德動</w:t>
            </w:r>
          </w:p>
        </w:tc>
      </w:tr>
    </w:tbl>
    <w:p w:rsidR="00967390" w:rsidRPr="00C77E77" w:rsidRDefault="00967390" w:rsidP="00967390">
      <w:pPr>
        <w:spacing w:line="500" w:lineRule="exact"/>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r w:rsidR="000C1684" w:rsidRPr="00C77E77">
        <w:rPr>
          <w:rFonts w:ascii="Times New Roman" w:eastAsia="標楷體" w:hAnsi="Times New Roman" w:cs="Times New Roman"/>
          <w:sz w:val="28"/>
          <w:szCs w:val="28"/>
        </w:rPr>
        <w:t>。</w:t>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行政院</w:t>
      </w:r>
      <w:r w:rsidRPr="00C77E77">
        <w:rPr>
          <w:rFonts w:ascii="Times New Roman" w:eastAsia="標楷體" w:hAnsi="Times New Roman" w:cs="Times New Roman"/>
          <w:sz w:val="28"/>
          <w:szCs w:val="28"/>
        </w:rPr>
        <w:t>2010</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日核定「智慧電動車發展策略與行動方案」，促進臺灣電動車產業之發展，又在</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年推動</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個智慧電動車先導運行專案，創造</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3,000</w:t>
      </w:r>
      <w:r w:rsidRPr="00C77E77">
        <w:rPr>
          <w:rFonts w:ascii="Times New Roman" w:eastAsia="標楷體" w:hAnsi="Times New Roman" w:cs="Times New Roman"/>
          <w:sz w:val="28"/>
          <w:szCs w:val="28"/>
        </w:rPr>
        <w:t>輛智慧電動車上路。成果方面，政府已輔導</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家電動汽車廠商，共</w:t>
      </w:r>
      <w:r w:rsidRPr="00C77E77">
        <w:rPr>
          <w:rFonts w:ascii="Times New Roman" w:eastAsia="標楷體" w:hAnsi="Times New Roman" w:cs="Times New Roman"/>
          <w:sz w:val="28"/>
          <w:szCs w:val="28"/>
        </w:rPr>
        <w:t>27</w:t>
      </w:r>
      <w:r w:rsidRPr="00C77E77">
        <w:rPr>
          <w:rFonts w:ascii="Times New Roman" w:eastAsia="標楷體" w:hAnsi="Times New Roman" w:cs="Times New Roman"/>
          <w:sz w:val="28"/>
          <w:szCs w:val="28"/>
        </w:rPr>
        <w:t>款電動車輛取得交通部安審合格證，可掛牌合法上路；推動完成</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家</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款充電設備，以及</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家</w:t>
      </w:r>
      <w:r w:rsidRPr="00C77E77">
        <w:rPr>
          <w:rFonts w:ascii="Times New Roman" w:eastAsia="標楷體" w:hAnsi="Times New Roman" w:cs="Times New Roman"/>
          <w:sz w:val="28"/>
          <w:szCs w:val="28"/>
        </w:rPr>
        <w:t>17</w:t>
      </w:r>
      <w:r w:rsidRPr="00C77E77">
        <w:rPr>
          <w:rFonts w:ascii="Times New Roman" w:eastAsia="標楷體" w:hAnsi="Times New Roman" w:cs="Times New Roman"/>
          <w:sz w:val="28"/>
          <w:szCs w:val="28"/>
        </w:rPr>
        <w:t>款車端充電系統</w:t>
      </w:r>
      <w:r w:rsidRPr="00C77E77">
        <w:rPr>
          <w:rFonts w:ascii="Times New Roman" w:eastAsia="標楷體" w:hAnsi="Times New Roman" w:cs="Times New Roman"/>
          <w:sz w:val="28"/>
          <w:szCs w:val="28"/>
        </w:rPr>
        <w:t>CNS</w:t>
      </w:r>
      <w:r w:rsidRPr="00C77E77">
        <w:rPr>
          <w:rFonts w:ascii="Times New Roman" w:eastAsia="標楷體" w:hAnsi="Times New Roman" w:cs="Times New Roman"/>
          <w:sz w:val="28"/>
          <w:szCs w:val="28"/>
        </w:rPr>
        <w:t>驗證測試，並順利取得經濟部標檢局審核合格函；輔導</w:t>
      </w:r>
      <w:r w:rsidRPr="00C77E77">
        <w:rPr>
          <w:rFonts w:ascii="Times New Roman" w:eastAsia="標楷體" w:hAnsi="Times New Roman" w:cs="Times New Roman"/>
          <w:sz w:val="28"/>
          <w:szCs w:val="28"/>
        </w:rPr>
        <w:t>113</w:t>
      </w:r>
      <w:r w:rsidRPr="00C77E77">
        <w:rPr>
          <w:rFonts w:ascii="Times New Roman" w:eastAsia="標楷體" w:hAnsi="Times New Roman" w:cs="Times New Roman"/>
          <w:sz w:val="28"/>
          <w:szCs w:val="28"/>
        </w:rPr>
        <w:t>家次電動車相關業者進行產品性能改良，廠商範疇從原材料、系統整合到整車廠等完整電動車供應鏈。</w:t>
      </w:r>
      <w:r w:rsidRPr="00C77E77">
        <w:rPr>
          <w:rStyle w:val="a9"/>
          <w:rFonts w:ascii="Times New Roman" w:eastAsia="標楷體" w:hAnsi="Times New Roman" w:cs="Times New Roman"/>
          <w:sz w:val="28"/>
          <w:szCs w:val="28"/>
        </w:rPr>
        <w:footnoteReference w:id="72"/>
      </w:r>
      <w:r w:rsidRPr="00C77E77">
        <w:rPr>
          <w:rFonts w:ascii="Times New Roman" w:eastAsia="標楷體" w:hAnsi="Times New Roman" w:cs="Times New Roman"/>
          <w:sz w:val="28"/>
          <w:szCs w:val="28"/>
        </w:rPr>
        <w:t>在政府的大力推動下，加上近年來歐美市場強調節能減碳，力求降低交通運輸的碳排放，我國的電動車產業發展迅速，已經具有整車輸出的國際競爭力，關鍵零組件也已經打入國際市場，成為國際品牌大廠的供應商。（見下圖</w:t>
      </w:r>
      <w:r w:rsidRPr="00C77E77">
        <w:rPr>
          <w:rFonts w:ascii="Times New Roman" w:eastAsia="標楷體" w:hAnsi="Times New Roman" w:cs="Times New Roman"/>
          <w:sz w:val="28"/>
          <w:szCs w:val="28"/>
        </w:rPr>
        <w:t>3-3-2</w:t>
      </w:r>
      <w:r w:rsidRPr="00C77E77">
        <w:rPr>
          <w:rFonts w:ascii="Times New Roman" w:eastAsia="標楷體" w:hAnsi="Times New Roman" w:cs="Times New Roman"/>
          <w:sz w:val="28"/>
          <w:szCs w:val="28"/>
        </w:rPr>
        <w:t>）</w:t>
      </w:r>
    </w:p>
    <w:p w:rsidR="00967390" w:rsidRPr="00C77E77" w:rsidRDefault="00967390" w:rsidP="00967390">
      <w:pPr>
        <w:spacing w:before="240" w:after="240"/>
        <w:jc w:val="center"/>
        <w:rPr>
          <w:rFonts w:ascii="Times New Roman" w:hAnsi="Times New Roman" w:cs="Times New Roman"/>
        </w:rPr>
      </w:pPr>
      <w:r w:rsidRPr="00C77E77">
        <w:rPr>
          <w:rFonts w:ascii="Times New Roman" w:hAnsi="Times New Roman" w:cs="Times New Roman"/>
          <w:noProof/>
        </w:rPr>
        <w:drawing>
          <wp:inline distT="0" distB="0" distL="0" distR="0" wp14:anchorId="0EEEAE8C" wp14:editId="75AAED79">
            <wp:extent cx="5274310" cy="3143204"/>
            <wp:effectExtent l="0" t="0" r="2540" b="635"/>
            <wp:docPr id="15" name="圖片 15" descr="http://www.npf.org.tw/Image/activity/forum20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pf.org.tw/Image/activity/forum2010-00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3143204"/>
                    </a:xfrm>
                    <a:prstGeom prst="rect">
                      <a:avLst/>
                    </a:prstGeom>
                    <a:noFill/>
                    <a:ln>
                      <a:noFill/>
                    </a:ln>
                  </pic:spPr>
                </pic:pic>
              </a:graphicData>
            </a:graphic>
          </wp:inline>
        </w:drawing>
      </w:r>
    </w:p>
    <w:p w:rsidR="00967390" w:rsidRPr="00C77E77" w:rsidRDefault="00967390" w:rsidP="00967390">
      <w:pPr>
        <w:pStyle w:val="af7"/>
      </w:pPr>
      <w:bookmarkStart w:id="96" w:name="_Toc458185151"/>
      <w:bookmarkStart w:id="97" w:name="_Toc470676637"/>
      <w:r w:rsidRPr="00C77E77">
        <w:t>圖</w:t>
      </w:r>
      <w:r w:rsidRPr="00C77E77">
        <w:t xml:space="preserve">3-3-2 </w:t>
      </w:r>
      <w:r w:rsidRPr="00C77E77">
        <w:t>臺灣電動車發展優勢</w:t>
      </w:r>
      <w:bookmarkEnd w:id="96"/>
      <w:bookmarkEnd w:id="97"/>
    </w:p>
    <w:p w:rsidR="00967390" w:rsidRPr="00C77E77" w:rsidRDefault="00967390" w:rsidP="007B507B">
      <w:pPr>
        <w:ind w:left="1417" w:hangingChars="506" w:hanging="1417"/>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資料來源：國家政策研究基金會</w:t>
      </w:r>
      <w:r w:rsidR="007B507B"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007B507B" w:rsidRPr="00C77E77">
        <w:rPr>
          <w:rFonts w:ascii="Times New Roman" w:eastAsia="標楷體" w:hAnsi="Times New Roman" w:cs="Times New Roman"/>
          <w:sz w:val="28"/>
          <w:szCs w:val="28"/>
        </w:rPr>
        <w:t>灣電動車產業發展現況與兩岸合作契機〉，</w:t>
      </w:r>
      <w:hyperlink r:id="rId42" w:history="1">
        <w:r w:rsidR="007B507B" w:rsidRPr="00C77E77">
          <w:rPr>
            <w:rStyle w:val="aa"/>
            <w:rFonts w:ascii="Times New Roman" w:eastAsia="標楷體" w:hAnsi="Times New Roman" w:cs="Times New Roman"/>
            <w:sz w:val="28"/>
            <w:szCs w:val="28"/>
            <w:u w:val="none"/>
          </w:rPr>
          <w:t>http://www.npf.org.tw/12/7873</w:t>
        </w:r>
      </w:hyperlink>
      <w:r w:rsidR="007B507B" w:rsidRPr="00C77E77">
        <w:rPr>
          <w:rFonts w:ascii="Times New Roman" w:eastAsia="標楷體" w:hAnsi="Times New Roman" w:cs="Times New Roman"/>
          <w:sz w:val="28"/>
          <w:szCs w:val="28"/>
        </w:rPr>
        <w:t xml:space="preserve"> </w:t>
      </w:r>
    </w:p>
    <w:p w:rsidR="00967390" w:rsidRPr="00C77E77" w:rsidRDefault="00967390" w:rsidP="00967390">
      <w:pPr>
        <w:rPr>
          <w:rFonts w:ascii="Times New Roman" w:eastAsia="標楷體" w:hAnsi="Times New Roman" w:cs="Times New Roman"/>
          <w:sz w:val="28"/>
          <w:szCs w:val="28"/>
        </w:rPr>
      </w:pP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臺灣的電動車整車輸出大多以中國大陸及歐美市場為主，主因是因為電動車價格較一般燃油車輛高，故以較具消費能力的先進國家為主，中國大陸近年來因霾害嚴重，故大力推行電動車，惟中國大陸本身的電動車產業便具有一定的競爭力，臺灣電動車要銷往大陸市場面臨到相當大的壓力。</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目前臺灣本身的電動車市場也正逐漸打開，很大程度是因為臺灣市場具有先天優勢，南北縱長僅</w:t>
      </w:r>
      <w:r w:rsidRPr="00C77E77">
        <w:rPr>
          <w:rFonts w:ascii="Times New Roman" w:eastAsia="標楷體" w:hAnsi="Times New Roman" w:cs="Times New Roman"/>
          <w:sz w:val="28"/>
          <w:szCs w:val="28"/>
        </w:rPr>
        <w:t>400</w:t>
      </w:r>
      <w:r w:rsidRPr="00C77E77">
        <w:rPr>
          <w:rFonts w:ascii="Times New Roman" w:eastAsia="標楷體" w:hAnsi="Times New Roman" w:cs="Times New Roman"/>
          <w:sz w:val="28"/>
          <w:szCs w:val="28"/>
        </w:rPr>
        <w:t>公里，而且城市聚落明顯，電力網絡完整，充電站的設置相對容易。如電動機車品牌</w:t>
      </w:r>
      <w:r w:rsidRPr="00C77E77">
        <w:rPr>
          <w:rFonts w:ascii="Times New Roman" w:eastAsia="標楷體" w:hAnsi="Times New Roman" w:cs="Times New Roman"/>
          <w:sz w:val="28"/>
          <w:szCs w:val="28"/>
        </w:rPr>
        <w:t>Gogoro</w:t>
      </w:r>
      <w:r w:rsidRPr="00C77E77">
        <w:rPr>
          <w:rFonts w:ascii="Times New Roman" w:eastAsia="標楷體" w:hAnsi="Times New Roman" w:cs="Times New Roman"/>
          <w:sz w:val="28"/>
          <w:szCs w:val="28"/>
        </w:rPr>
        <w:t>推出新款的平價電動機車，在政府補助後與一般機車價錢相去不遠。加上外型時尚，且與智慧手機、智慧手錶等智慧產品能夠結合，對年輕人的吸引力大增。具有相當強勁的市場競爭力。</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除此之外，我國的電動車也積極往南向開發市場，如</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年臺菲經濟合作會議，由臺菲兩國代表處簽訂「電動車開發技術合作」意向書，打開臺菲電動車合作大門。</w:t>
      </w:r>
    </w:p>
    <w:p w:rsidR="00030DDE" w:rsidRPr="00C77E77" w:rsidRDefault="00030DDE">
      <w:pPr>
        <w:widowControl/>
        <w:rPr>
          <w:rFonts w:ascii="Times New Roman" w:eastAsia="標楷體" w:hAnsi="Times New Roman" w:cs="Times New Roman"/>
          <w:sz w:val="28"/>
          <w:szCs w:val="28"/>
        </w:rPr>
      </w:pPr>
    </w:p>
    <w:p w:rsidR="00897640" w:rsidRPr="00C77E77" w:rsidRDefault="00897640" w:rsidP="00764ED7">
      <w:pPr>
        <w:pStyle w:val="ab"/>
        <w:numPr>
          <w:ilvl w:val="0"/>
          <w:numId w:val="5"/>
        </w:numPr>
        <w:spacing w:beforeLines="50" w:before="180" w:afterLines="50" w:after="180" w:line="500" w:lineRule="exact"/>
        <w:ind w:leftChars="0"/>
        <w:jc w:val="both"/>
        <w:outlineLvl w:val="1"/>
        <w:rPr>
          <w:rFonts w:ascii="Times New Roman" w:eastAsia="標楷體" w:hAnsi="Times New Roman" w:cs="Times New Roman"/>
          <w:b/>
          <w:sz w:val="32"/>
          <w:szCs w:val="32"/>
        </w:rPr>
      </w:pPr>
      <w:bookmarkStart w:id="98" w:name="_Toc470676317"/>
      <w:r w:rsidRPr="00C77E77">
        <w:rPr>
          <w:rFonts w:ascii="Times New Roman" w:eastAsia="標楷體" w:hAnsi="Times New Roman" w:cs="Times New Roman"/>
          <w:b/>
          <w:sz w:val="32"/>
          <w:szCs w:val="32"/>
        </w:rPr>
        <w:t>我國石化、智慧健康、新農業產業發展現況</w:t>
      </w:r>
      <w:bookmarkEnd w:id="98"/>
    </w:p>
    <w:p w:rsidR="00D5764A" w:rsidRPr="00C77E77" w:rsidRDefault="00D5764A" w:rsidP="00D5764A">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石化產品為現今民生用品主要原料之一，相關產業涵蓋範圍廣泛，其產業發展影響一國經濟甚鉅。因應當前高齡化社會趨勢及醫療支出負擔加重，健康管理與疾病預防蔚為趨勢，智慧健康產業崛起。而臺灣農業曾經締造經濟奇蹟，因應農產貿易自由化及國民消費結構改變，精緻農業、樂活農業、科技農業等新農業之發展，成為再造我國農業新經濟奇蹟之基石。本節擬就石化、智慧健康、新農業三個產業，探討我國發展現況及全球市場競爭力。</w:t>
      </w:r>
    </w:p>
    <w:p w:rsidR="00C30DA2" w:rsidRPr="00C77E77" w:rsidRDefault="00C30DA2" w:rsidP="0001327A">
      <w:pPr>
        <w:pStyle w:val="ab"/>
        <w:numPr>
          <w:ilvl w:val="0"/>
          <w:numId w:val="32"/>
        </w:numPr>
        <w:spacing w:beforeLines="50" w:before="180" w:afterLines="50" w:after="180" w:line="500" w:lineRule="exact"/>
        <w:ind w:leftChars="0"/>
        <w:jc w:val="both"/>
        <w:rPr>
          <w:rFonts w:ascii="Times New Roman" w:eastAsia="標楷體" w:hAnsi="Times New Roman" w:cs="Times New Roman"/>
          <w:b/>
          <w:color w:val="000000" w:themeColor="text1"/>
          <w:spacing w:val="14"/>
          <w:sz w:val="28"/>
          <w:szCs w:val="28"/>
        </w:rPr>
      </w:pPr>
      <w:r w:rsidRPr="00C77E77">
        <w:rPr>
          <w:rFonts w:ascii="Times New Roman" w:eastAsia="標楷體" w:hAnsi="Times New Roman" w:cs="Times New Roman"/>
          <w:b/>
          <w:color w:val="000000" w:themeColor="text1"/>
          <w:spacing w:val="14"/>
          <w:sz w:val="28"/>
          <w:szCs w:val="28"/>
        </w:rPr>
        <w:t>石化產業</w:t>
      </w:r>
    </w:p>
    <w:p w:rsidR="001522B3" w:rsidRPr="00C77E77" w:rsidRDefault="00C30DA2" w:rsidP="001522B3">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hAnsi="Times New Roman" w:cs="Times New Roman"/>
          <w:sz w:val="28"/>
          <w:szCs w:val="28"/>
        </w:rPr>
        <w:tab/>
      </w:r>
      <w:r w:rsidR="001522B3" w:rsidRPr="00C77E77">
        <w:rPr>
          <w:rFonts w:ascii="Times New Roman" w:eastAsia="標楷體" w:hAnsi="Times New Roman" w:cs="Times New Roman"/>
          <w:sz w:val="28"/>
          <w:szCs w:val="28"/>
        </w:rPr>
        <w:t>依我國經濟部行業別分類，石化產業可分為三個子行業，包含石油化工原料製造業、合成樹脂及塑膠製造業、合成橡膠製造業。石化產業結構包含上游業者的輕油裂解以生產石化基本原料，包括乙烯和丙烯等；中游業者將</w:t>
      </w:r>
      <w:r w:rsidR="001522B3" w:rsidRPr="00C77E77">
        <w:rPr>
          <w:rFonts w:ascii="Times New Roman" w:eastAsia="標楷體" w:hAnsi="Times New Roman" w:cs="Times New Roman"/>
          <w:sz w:val="28"/>
          <w:szCs w:val="28"/>
        </w:rPr>
        <w:lastRenderedPageBreak/>
        <w:t>上游產品進行加工處理以產出石化原料，包括塑膠原料、人造纖維原料、人造橡膠原料等；下游業者利用石化原料加工生產製品，包含生產塑膠及塑膠製品、人造纖維、紡織品、人造橡膠及其製品等，惟此部分不包含在石化產業之中。</w:t>
      </w:r>
      <w:r w:rsidR="001522B3" w:rsidRPr="00C77E77">
        <w:rPr>
          <w:rStyle w:val="a9"/>
          <w:rFonts w:ascii="Times New Roman" w:eastAsia="標楷體" w:hAnsi="Times New Roman" w:cs="Times New Roman"/>
          <w:sz w:val="28"/>
          <w:szCs w:val="28"/>
        </w:rPr>
        <w:footnoteReference w:id="73"/>
      </w:r>
    </w:p>
    <w:p w:rsidR="001522B3" w:rsidRPr="00C77E77" w:rsidRDefault="001522B3" w:rsidP="001522B3">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石化產業由其群聚特殊性，係因產業結構屬產品眾多且製造複雜，加以資本密集且技術密集，上下游之間利益關係密切，產業各環節之間必須高度整合，藉以節省成本提高市場競爭力之故。同時，石化原料多為易燃又危險的化學品，運送方式特殊且不便，故石化廠商彼此距離不會差距太遠，因而易形成大型專屬石化特區。</w:t>
      </w:r>
      <w:r w:rsidRPr="00C77E77">
        <w:rPr>
          <w:rStyle w:val="a9"/>
          <w:rFonts w:ascii="Times New Roman" w:eastAsia="標楷體" w:hAnsi="Times New Roman" w:cs="Times New Roman"/>
          <w:sz w:val="28"/>
          <w:szCs w:val="28"/>
        </w:rPr>
        <w:footnoteReference w:id="74"/>
      </w:r>
    </w:p>
    <w:p w:rsidR="001522B3" w:rsidRPr="00C77E77" w:rsidRDefault="001522B3" w:rsidP="001522B3">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石化業是我國重要兆元產業之一，</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年我國石化產業總產值約</w:t>
      </w:r>
      <w:r w:rsidRPr="00C77E77">
        <w:rPr>
          <w:rFonts w:ascii="Times New Roman" w:eastAsia="標楷體" w:hAnsi="Times New Roman" w:cs="Times New Roman"/>
          <w:sz w:val="28"/>
          <w:szCs w:val="28"/>
        </w:rPr>
        <w:t>1.45</w:t>
      </w:r>
      <w:r w:rsidRPr="00C77E77">
        <w:rPr>
          <w:rFonts w:ascii="Times New Roman" w:eastAsia="標楷體" w:hAnsi="Times New Roman" w:cs="Times New Roman"/>
          <w:sz w:val="28"/>
          <w:szCs w:val="28"/>
        </w:rPr>
        <w:t>兆元；若納入上中下游產業鏈及運用石化原料周邊相關產業，包含紙漿、印刷、電子產品及製藥等，整體石化相關產業總產值約</w:t>
      </w:r>
      <w:r w:rsidRPr="00C77E77">
        <w:rPr>
          <w:rFonts w:ascii="Times New Roman" w:eastAsia="標楷體" w:hAnsi="Times New Roman" w:cs="Times New Roman"/>
          <w:sz w:val="28"/>
          <w:szCs w:val="28"/>
        </w:rPr>
        <w:t>3.4</w:t>
      </w:r>
      <w:r w:rsidRPr="00C77E77">
        <w:rPr>
          <w:rFonts w:ascii="Times New Roman" w:eastAsia="標楷體" w:hAnsi="Times New Roman" w:cs="Times New Roman"/>
          <w:sz w:val="28"/>
          <w:szCs w:val="28"/>
        </w:rPr>
        <w:t>兆元</w:t>
      </w:r>
      <w:r w:rsidRPr="00C77E77">
        <w:rPr>
          <w:rStyle w:val="a9"/>
          <w:rFonts w:ascii="Times New Roman" w:eastAsia="標楷體" w:hAnsi="Times New Roman" w:cs="Times New Roman"/>
          <w:sz w:val="28"/>
          <w:szCs w:val="28"/>
        </w:rPr>
        <w:footnoteReference w:id="75"/>
      </w:r>
      <w:r w:rsidRPr="00C77E77">
        <w:rPr>
          <w:rFonts w:ascii="Times New Roman" w:eastAsia="標楷體" w:hAnsi="Times New Roman" w:cs="Times New Roman"/>
          <w:sz w:val="28"/>
          <w:szCs w:val="28"/>
        </w:rPr>
        <w:t>。</w:t>
      </w:r>
    </w:p>
    <w:p w:rsidR="0024359D" w:rsidRPr="00C77E77" w:rsidRDefault="001522B3" w:rsidP="001522B3">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石化產品主要用於民生用途，並且是電子材料、汽車零件、建築材料等產業發展的重要原料，運用廣泛，為我國民間投資要角。</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年，石化產業重大投資計劃金額達</w:t>
      </w:r>
      <w:r w:rsidRPr="00C77E77">
        <w:rPr>
          <w:rFonts w:ascii="Times New Roman" w:eastAsia="標楷體" w:hAnsi="Times New Roman" w:cs="Times New Roman"/>
          <w:sz w:val="28"/>
          <w:szCs w:val="28"/>
        </w:rPr>
        <w:t>1,156</w:t>
      </w:r>
      <w:r w:rsidRPr="00C77E77">
        <w:rPr>
          <w:rFonts w:ascii="Times New Roman" w:eastAsia="標楷體" w:hAnsi="Times New Roman" w:cs="Times New Roman"/>
          <w:sz w:val="28"/>
          <w:szCs w:val="28"/>
        </w:rPr>
        <w:t>億元，其中高值化投資占五分之一，整體占</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年民間投資比重近</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％。主要代表廠商包含</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塑、長春石化、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聚等。</w:t>
      </w:r>
      <w:r w:rsidRPr="00C77E77">
        <w:rPr>
          <w:rStyle w:val="a9"/>
          <w:rFonts w:ascii="Times New Roman" w:eastAsia="標楷體" w:hAnsi="Times New Roman" w:cs="Times New Roman"/>
          <w:sz w:val="28"/>
          <w:szCs w:val="28"/>
        </w:rPr>
        <w:footnoteReference w:id="76"/>
      </w:r>
    </w:p>
    <w:p w:rsidR="00030DDE" w:rsidRPr="00C77E77" w:rsidRDefault="0024359D" w:rsidP="000A3D10">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須注意的是，我國石化產業年產值呈減少趨勢。</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年第四季產值為</w:t>
      </w:r>
      <w:r w:rsidRPr="00C77E77">
        <w:rPr>
          <w:rFonts w:ascii="Times New Roman" w:eastAsia="標楷體" w:hAnsi="Times New Roman" w:cs="Times New Roman"/>
          <w:sz w:val="28"/>
          <w:szCs w:val="28"/>
        </w:rPr>
        <w:t>3,249</w:t>
      </w:r>
      <w:r w:rsidRPr="00C77E77">
        <w:rPr>
          <w:rFonts w:ascii="Times New Roman" w:eastAsia="標楷體" w:hAnsi="Times New Roman" w:cs="Times New Roman"/>
          <w:sz w:val="28"/>
          <w:szCs w:val="28"/>
        </w:rPr>
        <w:t>億元新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幣，較</w:t>
      </w:r>
      <w:r w:rsidR="007E5894"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年減少</w:t>
      </w:r>
      <w:r w:rsidRPr="00C77E77">
        <w:rPr>
          <w:rFonts w:ascii="Times New Roman" w:eastAsia="標楷體" w:hAnsi="Times New Roman" w:cs="Times New Roman"/>
          <w:sz w:val="28"/>
          <w:szCs w:val="28"/>
        </w:rPr>
        <w:t>22.5</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年第一季產值為</w:t>
      </w:r>
      <w:r w:rsidRPr="00C77E77">
        <w:rPr>
          <w:rFonts w:ascii="Times New Roman" w:eastAsia="標楷體" w:hAnsi="Times New Roman" w:cs="Times New Roman"/>
          <w:sz w:val="28"/>
          <w:szCs w:val="28"/>
        </w:rPr>
        <w:t>3,111</w:t>
      </w:r>
      <w:r w:rsidRPr="00C77E77">
        <w:rPr>
          <w:rFonts w:ascii="Times New Roman" w:eastAsia="標楷體" w:hAnsi="Times New Roman" w:cs="Times New Roman"/>
          <w:sz w:val="28"/>
          <w:szCs w:val="28"/>
        </w:rPr>
        <w:t>億元新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幣，較</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年第四季減少</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％，亦較</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年同期減少</w:t>
      </w:r>
      <w:r w:rsidRPr="00C77E77">
        <w:rPr>
          <w:rFonts w:ascii="Times New Roman" w:eastAsia="標楷體" w:hAnsi="Times New Roman" w:cs="Times New Roman"/>
          <w:sz w:val="28"/>
          <w:szCs w:val="28"/>
        </w:rPr>
        <w:t>14.3</w:t>
      </w:r>
      <w:r w:rsidRPr="00C77E77">
        <w:rPr>
          <w:rFonts w:ascii="Times New Roman" w:eastAsia="標楷體" w:hAnsi="Times New Roman" w:cs="Times New Roman"/>
          <w:sz w:val="28"/>
          <w:szCs w:val="28"/>
        </w:rPr>
        <w:t>％。由於</w:t>
      </w:r>
      <w:r w:rsidRPr="00C77E77">
        <w:rPr>
          <w:rFonts w:ascii="Times New Roman" w:eastAsia="標楷體" w:hAnsi="Times New Roman" w:cs="Times New Roman"/>
          <w:sz w:val="28"/>
          <w:szCs w:val="28"/>
        </w:rPr>
        <w:t>OECD</w:t>
      </w:r>
      <w:r w:rsidR="001168F8" w:rsidRPr="00C77E77">
        <w:rPr>
          <w:rFonts w:ascii="Times New Roman" w:eastAsia="標楷體" w:hAnsi="Times New Roman" w:cs="Times New Roman"/>
          <w:sz w:val="28"/>
          <w:szCs w:val="28"/>
        </w:rPr>
        <w:t>未如預期減少石油產量，加以伊朗計畫增加原油</w:t>
      </w:r>
      <w:r w:rsidRPr="00C77E77">
        <w:rPr>
          <w:rFonts w:ascii="Times New Roman" w:eastAsia="標楷體" w:hAnsi="Times New Roman" w:cs="Times New Roman"/>
          <w:sz w:val="28"/>
          <w:szCs w:val="28"/>
        </w:rPr>
        <w:t>產量，國際原油供給持續大於需求，致使上游原油價格下跌，從而導致中下游石化產品價格下跌，總產值遂減少。相對地，受惠於上游原料價格下跌，我國石化產業相關企業之獲利率因而增加；以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塑四寶之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塑石化、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塑、南亞、</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化為例，</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年整</w:t>
      </w:r>
      <w:r w:rsidRPr="00C77E77">
        <w:rPr>
          <w:rFonts w:ascii="Times New Roman" w:eastAsia="標楷體" w:hAnsi="Times New Roman" w:cs="Times New Roman"/>
          <w:sz w:val="28"/>
          <w:szCs w:val="28"/>
        </w:rPr>
        <w:lastRenderedPageBreak/>
        <w:t>體稅後淨利成長</w:t>
      </w:r>
      <w:r w:rsidRPr="00C77E77">
        <w:rPr>
          <w:rFonts w:ascii="Times New Roman" w:eastAsia="標楷體" w:hAnsi="Times New Roman" w:cs="Times New Roman"/>
          <w:sz w:val="28"/>
          <w:szCs w:val="28"/>
        </w:rPr>
        <w:t>97.8</w:t>
      </w:r>
      <w:r w:rsidRPr="00C77E77">
        <w:rPr>
          <w:rFonts w:ascii="Times New Roman" w:eastAsia="標楷體" w:hAnsi="Times New Roman" w:cs="Times New Roman"/>
          <w:sz w:val="28"/>
          <w:szCs w:val="28"/>
        </w:rPr>
        <w:t>％。</w:t>
      </w:r>
    </w:p>
    <w:p w:rsidR="0024359D" w:rsidRPr="00C77E77" w:rsidRDefault="0024359D" w:rsidP="0024359D">
      <w:pPr>
        <w:pStyle w:val="af9"/>
      </w:pPr>
      <w:bookmarkStart w:id="99" w:name="_Toc458184951"/>
      <w:bookmarkStart w:id="100" w:name="_Toc470676597"/>
      <w:r w:rsidRPr="00C77E77">
        <w:t>表</w:t>
      </w:r>
      <w:r w:rsidRPr="00C77E77">
        <w:t xml:space="preserve">3-4-1 </w:t>
      </w:r>
      <w:r w:rsidRPr="00C77E77">
        <w:t>我國石化產業產值變化趨勢</w:t>
      </w:r>
      <w:bookmarkEnd w:id="99"/>
      <w:bookmarkEnd w:id="100"/>
    </w:p>
    <w:p w:rsidR="0024359D" w:rsidRPr="00C77E77" w:rsidRDefault="0024359D" w:rsidP="0024359D">
      <w:pPr>
        <w:spacing w:line="360" w:lineRule="auto"/>
        <w:jc w:val="right"/>
        <w:rPr>
          <w:rFonts w:ascii="Times New Roman" w:eastAsia="標楷體" w:hAnsi="Times New Roman" w:cs="Times New Roman"/>
          <w:color w:val="FF0000"/>
          <w:sz w:val="28"/>
          <w:szCs w:val="28"/>
        </w:rPr>
      </w:pPr>
      <w:r w:rsidRPr="00C77E77">
        <w:rPr>
          <w:rFonts w:ascii="Times New Roman" w:eastAsia="標楷體" w:hAnsi="Times New Roman" w:cs="Times New Roman"/>
          <w:color w:val="000000" w:themeColor="text1"/>
          <w:sz w:val="28"/>
          <w:szCs w:val="28"/>
        </w:rPr>
        <w:t>單位</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新</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幣億元</w:t>
      </w:r>
    </w:p>
    <w:tbl>
      <w:tblPr>
        <w:tblStyle w:val="af4"/>
        <w:tblW w:w="0" w:type="auto"/>
        <w:jc w:val="center"/>
        <w:tblLook w:val="04A0" w:firstRow="1" w:lastRow="0" w:firstColumn="1" w:lastColumn="0" w:noHBand="0" w:noVBand="1"/>
      </w:tblPr>
      <w:tblGrid>
        <w:gridCol w:w="1555"/>
        <w:gridCol w:w="849"/>
        <w:gridCol w:w="850"/>
        <w:gridCol w:w="850"/>
        <w:gridCol w:w="849"/>
        <w:gridCol w:w="850"/>
        <w:gridCol w:w="850"/>
        <w:gridCol w:w="849"/>
        <w:gridCol w:w="850"/>
        <w:gridCol w:w="850"/>
      </w:tblGrid>
      <w:tr w:rsidR="0024359D" w:rsidRPr="00C77E77" w:rsidTr="0024359D">
        <w:trPr>
          <w:jc w:val="center"/>
        </w:trPr>
        <w:tc>
          <w:tcPr>
            <w:tcW w:w="1555" w:type="dxa"/>
          </w:tcPr>
          <w:p w:rsidR="0024359D" w:rsidRPr="00C77E77" w:rsidRDefault="0024359D" w:rsidP="0024359D">
            <w:pPr>
              <w:jc w:val="both"/>
              <w:rPr>
                <w:rFonts w:ascii="Times New Roman" w:eastAsia="標楷體" w:hAnsi="Times New Roman" w:cs="Times New Roman"/>
                <w:szCs w:val="24"/>
              </w:rPr>
            </w:pP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2014</w:t>
            </w:r>
          </w:p>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Q4</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2015</w:t>
            </w:r>
          </w:p>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Q1</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2015</w:t>
            </w:r>
          </w:p>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Q2</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2015</w:t>
            </w:r>
          </w:p>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Q3</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2015</w:t>
            </w:r>
          </w:p>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Q4</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2016</w:t>
            </w:r>
          </w:p>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Q1</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2014</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2015</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2016</w:t>
            </w:r>
          </w:p>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(e)</w:t>
            </w:r>
          </w:p>
        </w:tc>
      </w:tr>
      <w:tr w:rsidR="0024359D" w:rsidRPr="00C77E77" w:rsidTr="0024359D">
        <w:trPr>
          <w:jc w:val="center"/>
        </w:trPr>
        <w:tc>
          <w:tcPr>
            <w:tcW w:w="1555" w:type="dxa"/>
          </w:tcPr>
          <w:p w:rsidR="0024359D" w:rsidRPr="00C77E77" w:rsidRDefault="0024359D" w:rsidP="0024359D">
            <w:pPr>
              <w:rPr>
                <w:rFonts w:ascii="Times New Roman" w:eastAsia="標楷體" w:hAnsi="Times New Roman" w:cs="Times New Roman"/>
                <w:sz w:val="22"/>
              </w:rPr>
            </w:pPr>
            <w:r w:rsidRPr="00C77E77">
              <w:rPr>
                <w:rFonts w:ascii="Times New Roman" w:eastAsia="標楷體" w:hAnsi="Times New Roman" w:cs="Times New Roman"/>
                <w:sz w:val="22"/>
              </w:rPr>
              <w:t>石油化工原料製造業</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2697.0</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2249.7</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2603.8</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2158.1</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1965.1</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1930.8</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12,053</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9003</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9588</w:t>
            </w:r>
          </w:p>
        </w:tc>
      </w:tr>
      <w:tr w:rsidR="0024359D" w:rsidRPr="00C77E77" w:rsidTr="0024359D">
        <w:trPr>
          <w:jc w:val="center"/>
        </w:trPr>
        <w:tc>
          <w:tcPr>
            <w:tcW w:w="1555" w:type="dxa"/>
          </w:tcPr>
          <w:p w:rsidR="0024359D" w:rsidRPr="00C77E77" w:rsidRDefault="0024359D" w:rsidP="0024359D">
            <w:pPr>
              <w:jc w:val="both"/>
              <w:rPr>
                <w:rFonts w:ascii="Times New Roman" w:eastAsia="標楷體" w:hAnsi="Times New Roman" w:cs="Times New Roman"/>
                <w:sz w:val="22"/>
              </w:rPr>
            </w:pPr>
            <w:r w:rsidRPr="00C77E77">
              <w:rPr>
                <w:rFonts w:ascii="Times New Roman" w:eastAsia="標楷體" w:hAnsi="Times New Roman" w:cs="Times New Roman"/>
                <w:sz w:val="22"/>
              </w:rPr>
              <w:t>合成樹脂及塑膠製造業</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1390.7</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1301.8</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1395.7</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1239.1</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1197.1</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1098.3</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5973</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5136</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5316</w:t>
            </w:r>
          </w:p>
        </w:tc>
      </w:tr>
      <w:tr w:rsidR="0024359D" w:rsidRPr="00C77E77" w:rsidTr="0024359D">
        <w:trPr>
          <w:jc w:val="center"/>
        </w:trPr>
        <w:tc>
          <w:tcPr>
            <w:tcW w:w="1555" w:type="dxa"/>
          </w:tcPr>
          <w:p w:rsidR="0024359D" w:rsidRPr="00C77E77" w:rsidRDefault="0024359D" w:rsidP="0024359D">
            <w:pPr>
              <w:jc w:val="both"/>
              <w:rPr>
                <w:rFonts w:ascii="Times New Roman" w:eastAsia="標楷體" w:hAnsi="Times New Roman" w:cs="Times New Roman"/>
                <w:sz w:val="22"/>
              </w:rPr>
            </w:pPr>
            <w:r w:rsidRPr="00C77E77">
              <w:rPr>
                <w:rFonts w:ascii="Times New Roman" w:eastAsia="標楷體" w:hAnsi="Times New Roman" w:cs="Times New Roman"/>
                <w:sz w:val="22"/>
              </w:rPr>
              <w:t>合成橡膠製造業</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103.1</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80.1</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88.9</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91.2</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83.8</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82.7</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393</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345</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354</w:t>
            </w:r>
          </w:p>
        </w:tc>
      </w:tr>
      <w:tr w:rsidR="0024359D" w:rsidRPr="00C77E77" w:rsidTr="0024359D">
        <w:trPr>
          <w:jc w:val="center"/>
        </w:trPr>
        <w:tc>
          <w:tcPr>
            <w:tcW w:w="1555" w:type="dxa"/>
          </w:tcPr>
          <w:p w:rsidR="0024359D" w:rsidRPr="00C77E77" w:rsidRDefault="0024359D" w:rsidP="0024359D">
            <w:pPr>
              <w:jc w:val="both"/>
              <w:rPr>
                <w:rFonts w:ascii="Times New Roman" w:eastAsia="標楷體" w:hAnsi="Times New Roman" w:cs="Times New Roman"/>
                <w:sz w:val="22"/>
              </w:rPr>
            </w:pPr>
            <w:r w:rsidRPr="00C77E77">
              <w:rPr>
                <w:rFonts w:ascii="Times New Roman" w:eastAsia="標楷體" w:hAnsi="Times New Roman" w:cs="Times New Roman"/>
                <w:sz w:val="22"/>
              </w:rPr>
              <w:t>石化產業</w:t>
            </w:r>
          </w:p>
          <w:p w:rsidR="0024359D" w:rsidRPr="00C77E77" w:rsidRDefault="00C5509E" w:rsidP="0024359D">
            <w:pPr>
              <w:jc w:val="both"/>
              <w:rPr>
                <w:rFonts w:ascii="Times New Roman" w:eastAsia="標楷體" w:hAnsi="Times New Roman" w:cs="Times New Roman"/>
                <w:sz w:val="22"/>
              </w:rPr>
            </w:pPr>
            <w:r w:rsidRPr="00C77E77">
              <w:rPr>
                <w:rFonts w:ascii="Times New Roman" w:eastAsia="標楷體" w:hAnsi="Times New Roman" w:cs="Times New Roman"/>
                <w:sz w:val="22"/>
              </w:rPr>
              <w:t>（</w:t>
            </w:r>
            <w:r w:rsidR="0024359D" w:rsidRPr="00C77E77">
              <w:rPr>
                <w:rFonts w:ascii="Times New Roman" w:eastAsia="標楷體" w:hAnsi="Times New Roman" w:cs="Times New Roman"/>
                <w:sz w:val="22"/>
              </w:rPr>
              <w:t>合計</w:t>
            </w:r>
            <w:r w:rsidRPr="00C77E77">
              <w:rPr>
                <w:rFonts w:ascii="Times New Roman" w:eastAsia="標楷體" w:hAnsi="Times New Roman" w:cs="Times New Roman"/>
                <w:sz w:val="22"/>
              </w:rPr>
              <w:t>）</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4190.8</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3631.6</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4088.5</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3488.3</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3246.0</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3111.9</w:t>
            </w:r>
          </w:p>
        </w:tc>
        <w:tc>
          <w:tcPr>
            <w:tcW w:w="849"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18,419</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14,484</w:t>
            </w:r>
          </w:p>
        </w:tc>
        <w:tc>
          <w:tcPr>
            <w:tcW w:w="850" w:type="dxa"/>
            <w:vAlign w:val="center"/>
          </w:tcPr>
          <w:p w:rsidR="0024359D" w:rsidRPr="00C77E77" w:rsidRDefault="0024359D" w:rsidP="0024359D">
            <w:pPr>
              <w:jc w:val="center"/>
              <w:rPr>
                <w:rFonts w:ascii="Times New Roman" w:eastAsia="標楷體" w:hAnsi="Times New Roman" w:cs="Times New Roman"/>
                <w:sz w:val="22"/>
              </w:rPr>
            </w:pPr>
            <w:r w:rsidRPr="00C77E77">
              <w:rPr>
                <w:rFonts w:ascii="Times New Roman" w:eastAsia="標楷體" w:hAnsi="Times New Roman" w:cs="Times New Roman"/>
                <w:sz w:val="22"/>
              </w:rPr>
              <w:t>15258</w:t>
            </w:r>
          </w:p>
        </w:tc>
      </w:tr>
    </w:tbl>
    <w:p w:rsidR="0024359D" w:rsidRPr="00C77E77" w:rsidRDefault="0024359D" w:rsidP="0024359D">
      <w:pPr>
        <w:spacing w:line="360" w:lineRule="auto"/>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經濟統計資訊</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工研院</w:t>
      </w:r>
      <w:r w:rsidRPr="00C77E77">
        <w:rPr>
          <w:rFonts w:ascii="Times New Roman" w:eastAsia="標楷體" w:hAnsi="Times New Roman" w:cs="Times New Roman"/>
          <w:sz w:val="28"/>
          <w:szCs w:val="28"/>
        </w:rPr>
        <w:t>IEK-ITIS</w:t>
      </w:r>
      <w:r w:rsidRPr="00C77E77">
        <w:rPr>
          <w:rFonts w:ascii="Times New Roman" w:eastAsia="標楷體" w:hAnsi="Times New Roman" w:cs="Times New Roman"/>
          <w:sz w:val="28"/>
          <w:szCs w:val="28"/>
        </w:rPr>
        <w:t>計畫</w:t>
      </w:r>
      <w:r w:rsidR="00C5509E"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2016</w:t>
      </w:r>
      <w:r w:rsidR="00C5509E" w:rsidRPr="00C77E77">
        <w:rPr>
          <w:rFonts w:ascii="Times New Roman" w:eastAsia="標楷體" w:hAnsi="Times New Roman" w:cs="Times New Roman"/>
          <w:sz w:val="28"/>
          <w:szCs w:val="28"/>
        </w:rPr>
        <w:t>）。</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此外，我國石化業出口總值及全球占比亦呈下降趨勢。我國石化產出用於國內銷售者約</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％，其餘</w:t>
      </w:r>
      <w:r w:rsidRPr="00C77E77">
        <w:rPr>
          <w:rFonts w:ascii="Times New Roman" w:eastAsia="標楷體" w:hAnsi="Times New Roman" w:cs="Times New Roman"/>
          <w:sz w:val="28"/>
          <w:szCs w:val="28"/>
        </w:rPr>
        <w:t>70</w:t>
      </w:r>
      <w:r w:rsidRPr="00C77E77">
        <w:rPr>
          <w:rFonts w:ascii="Times New Roman" w:eastAsia="標楷體" w:hAnsi="Times New Roman" w:cs="Times New Roman"/>
          <w:sz w:val="28"/>
          <w:szCs w:val="28"/>
        </w:rPr>
        <w:t>％供予國外出口。除了臺灣之外，全球主要石化出口國包含日本</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韓國及中國大陸；於</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年間，韓國為最大出口國，日本自</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年起排名由第二退居第三，中國大陸則排名第二，臺灣則持續穩住第四大石化出口國。惟分析我國石化出口變化趨勢，顯示我國石化出口總值逐年減少且全球占比亦逐年下降；</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年我國石化出口總值為</w:t>
      </w:r>
      <w:r w:rsidRPr="00C77E77">
        <w:rPr>
          <w:rFonts w:ascii="Times New Roman" w:eastAsia="標楷體" w:hAnsi="Times New Roman" w:cs="Times New Roman"/>
          <w:sz w:val="28"/>
          <w:szCs w:val="28"/>
        </w:rPr>
        <w:t>293.89</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18.2</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年減少為</w:t>
      </w:r>
      <w:r w:rsidRPr="00C77E77">
        <w:rPr>
          <w:rFonts w:ascii="Times New Roman" w:eastAsia="標楷體" w:hAnsi="Times New Roman" w:cs="Times New Roman"/>
          <w:sz w:val="28"/>
          <w:szCs w:val="28"/>
        </w:rPr>
        <w:t>273.08</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16.7</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年更驟減至</w:t>
      </w:r>
      <w:r w:rsidRPr="00C77E77">
        <w:rPr>
          <w:rFonts w:ascii="Times New Roman" w:eastAsia="標楷體" w:hAnsi="Times New Roman" w:cs="Times New Roman"/>
          <w:sz w:val="28"/>
          <w:szCs w:val="28"/>
        </w:rPr>
        <w:t>213.61</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15.7</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。然而，同期間中國大陸急起直追，出口總值逐年增加，全球占比亦逐年上升，</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年已擠下韓國躍升第一大石化出口國，總產值達</w:t>
      </w:r>
      <w:r w:rsidRPr="00C77E77">
        <w:rPr>
          <w:rFonts w:ascii="Times New Roman" w:eastAsia="標楷體" w:hAnsi="Times New Roman" w:cs="Times New Roman"/>
          <w:sz w:val="28"/>
          <w:szCs w:val="28"/>
        </w:rPr>
        <w:t>435.96</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32.0</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。相較之下，彼長我消之勢顯而易見。</w:t>
      </w:r>
    </w:p>
    <w:p w:rsidR="000A3D10" w:rsidRPr="00C77E77" w:rsidRDefault="000A3D10"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p>
    <w:p w:rsidR="00520024" w:rsidRPr="00C77E77" w:rsidRDefault="00520024"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p>
    <w:p w:rsidR="00520024" w:rsidRPr="00C77E77" w:rsidRDefault="00520024"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p>
    <w:p w:rsidR="00030DDE" w:rsidRPr="00C77E77" w:rsidRDefault="00030DDE">
      <w:pPr>
        <w:widowControl/>
        <w:rPr>
          <w:rFonts w:ascii="Times New Roman" w:eastAsia="標楷體" w:hAnsi="Times New Roman" w:cs="Times New Roman"/>
          <w:sz w:val="28"/>
          <w:szCs w:val="28"/>
        </w:rPr>
      </w:pPr>
    </w:p>
    <w:p w:rsidR="0024359D" w:rsidRPr="00C77E77" w:rsidRDefault="0024359D" w:rsidP="0024359D">
      <w:pPr>
        <w:pStyle w:val="af9"/>
        <w:rPr>
          <w:color w:val="FF0000"/>
        </w:rPr>
      </w:pPr>
      <w:bookmarkStart w:id="101" w:name="_Toc458184952"/>
      <w:bookmarkStart w:id="102" w:name="_Toc470676598"/>
      <w:r w:rsidRPr="00C77E77">
        <w:lastRenderedPageBreak/>
        <w:t>表</w:t>
      </w:r>
      <w:r w:rsidRPr="00C77E77">
        <w:t>3-4-2</w:t>
      </w:r>
      <w:r w:rsidRPr="00C77E77">
        <w:t>我國石化產業出口總值變化趨勢</w:t>
      </w:r>
      <w:bookmarkEnd w:id="101"/>
      <w:bookmarkEnd w:id="102"/>
    </w:p>
    <w:p w:rsidR="0024359D" w:rsidRPr="00C77E77" w:rsidRDefault="0024359D" w:rsidP="0024359D">
      <w:pPr>
        <w:spacing w:line="360" w:lineRule="auto"/>
        <w:jc w:val="right"/>
        <w:rPr>
          <w:rFonts w:ascii="Times New Roman" w:eastAsia="標楷體" w:hAnsi="Times New Roman" w:cs="Times New Roman"/>
          <w:color w:val="FF0000"/>
          <w:sz w:val="28"/>
          <w:szCs w:val="28"/>
        </w:rPr>
      </w:pPr>
      <w:r w:rsidRPr="00C77E77">
        <w:rPr>
          <w:rFonts w:ascii="Times New Roman" w:eastAsia="標楷體" w:hAnsi="Times New Roman" w:cs="Times New Roman"/>
          <w:color w:val="000000" w:themeColor="text1"/>
          <w:sz w:val="28"/>
          <w:szCs w:val="28"/>
        </w:rPr>
        <w:t>單位</w:t>
      </w:r>
      <w:r w:rsidRPr="00C77E77">
        <w:rPr>
          <w:rFonts w:ascii="Times New Roman" w:eastAsia="標楷體" w:hAnsi="Times New Roman" w:cs="Times New Roman"/>
          <w:color w:val="000000" w:themeColor="text1"/>
          <w:sz w:val="28"/>
          <w:szCs w:val="28"/>
        </w:rPr>
        <w:t xml:space="preserve">: </w:t>
      </w:r>
      <w:r w:rsidRPr="00C77E77">
        <w:rPr>
          <w:rFonts w:ascii="Times New Roman" w:eastAsia="標楷體" w:hAnsi="Times New Roman" w:cs="Times New Roman"/>
          <w:color w:val="000000" w:themeColor="text1"/>
          <w:sz w:val="28"/>
          <w:szCs w:val="28"/>
        </w:rPr>
        <w:t>億美元</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w:t>
      </w:r>
    </w:p>
    <w:tbl>
      <w:tblPr>
        <w:tblStyle w:val="af4"/>
        <w:tblW w:w="0" w:type="auto"/>
        <w:jc w:val="center"/>
        <w:tblLook w:val="04A0" w:firstRow="1" w:lastRow="0" w:firstColumn="1" w:lastColumn="0" w:noHBand="0" w:noVBand="1"/>
      </w:tblPr>
      <w:tblGrid>
        <w:gridCol w:w="704"/>
        <w:gridCol w:w="849"/>
        <w:gridCol w:w="850"/>
        <w:gridCol w:w="850"/>
        <w:gridCol w:w="850"/>
        <w:gridCol w:w="850"/>
        <w:gridCol w:w="849"/>
        <w:gridCol w:w="850"/>
        <w:gridCol w:w="850"/>
        <w:gridCol w:w="850"/>
        <w:gridCol w:w="850"/>
      </w:tblGrid>
      <w:tr w:rsidR="0024359D" w:rsidRPr="00C77E77" w:rsidTr="0024359D">
        <w:trPr>
          <w:jc w:val="center"/>
        </w:trPr>
        <w:tc>
          <w:tcPr>
            <w:tcW w:w="704" w:type="dxa"/>
            <w:vMerge w:val="restart"/>
            <w:vAlign w:val="center"/>
          </w:tcPr>
          <w:p w:rsidR="0024359D" w:rsidRPr="00C77E77" w:rsidRDefault="0024359D" w:rsidP="0024359D">
            <w:pPr>
              <w:spacing w:beforeLines="50" w:before="180" w:afterLines="50" w:after="180"/>
              <w:contextualSpacing/>
              <w:jc w:val="both"/>
              <w:rPr>
                <w:rFonts w:ascii="Times New Roman" w:eastAsia="標楷體" w:hAnsi="Times New Roman" w:cs="Times New Roman"/>
                <w:sz w:val="22"/>
              </w:rPr>
            </w:pPr>
            <w:r w:rsidRPr="00C77E77">
              <w:rPr>
                <w:rFonts w:ascii="Times New Roman" w:eastAsia="標楷體" w:hAnsi="Times New Roman" w:cs="Times New Roman"/>
                <w:sz w:val="22"/>
              </w:rPr>
              <w:t>國家</w:t>
            </w:r>
          </w:p>
        </w:tc>
        <w:tc>
          <w:tcPr>
            <w:tcW w:w="1699" w:type="dxa"/>
            <w:gridSpan w:val="2"/>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2011</w:t>
            </w:r>
          </w:p>
        </w:tc>
        <w:tc>
          <w:tcPr>
            <w:tcW w:w="1700" w:type="dxa"/>
            <w:gridSpan w:val="2"/>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2012</w:t>
            </w:r>
          </w:p>
        </w:tc>
        <w:tc>
          <w:tcPr>
            <w:tcW w:w="1699" w:type="dxa"/>
            <w:gridSpan w:val="2"/>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2013</w:t>
            </w:r>
          </w:p>
        </w:tc>
        <w:tc>
          <w:tcPr>
            <w:tcW w:w="1700" w:type="dxa"/>
            <w:gridSpan w:val="2"/>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2014</w:t>
            </w:r>
          </w:p>
        </w:tc>
        <w:tc>
          <w:tcPr>
            <w:tcW w:w="1700" w:type="dxa"/>
            <w:gridSpan w:val="2"/>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2015</w:t>
            </w:r>
          </w:p>
        </w:tc>
      </w:tr>
      <w:tr w:rsidR="0024359D" w:rsidRPr="00C77E77" w:rsidTr="0024359D">
        <w:trPr>
          <w:jc w:val="center"/>
        </w:trPr>
        <w:tc>
          <w:tcPr>
            <w:tcW w:w="704" w:type="dxa"/>
            <w:vMerge/>
          </w:tcPr>
          <w:p w:rsidR="0024359D" w:rsidRPr="00C77E77" w:rsidRDefault="0024359D" w:rsidP="0024359D">
            <w:pPr>
              <w:spacing w:beforeLines="50" w:before="180" w:afterLines="50" w:after="180"/>
              <w:contextualSpacing/>
              <w:jc w:val="both"/>
              <w:rPr>
                <w:rFonts w:ascii="Times New Roman" w:eastAsia="標楷體" w:hAnsi="Times New Roman" w:cs="Times New Roman"/>
                <w:sz w:val="22"/>
              </w:rPr>
            </w:pP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出口總值</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占比</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出口總值</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占比</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出口總值</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占比</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出口總值</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占比</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出口總值</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占比</w:t>
            </w:r>
          </w:p>
        </w:tc>
      </w:tr>
      <w:tr w:rsidR="0024359D" w:rsidRPr="00C77E77" w:rsidTr="0024359D">
        <w:trPr>
          <w:jc w:val="center"/>
        </w:trPr>
        <w:tc>
          <w:tcPr>
            <w:tcW w:w="704" w:type="dxa"/>
          </w:tcPr>
          <w:p w:rsidR="0024359D" w:rsidRPr="00C77E77" w:rsidRDefault="0024359D" w:rsidP="0024359D">
            <w:pPr>
              <w:spacing w:beforeLines="50" w:before="180" w:afterLines="50" w:after="180"/>
              <w:contextualSpacing/>
              <w:jc w:val="both"/>
              <w:rPr>
                <w:rFonts w:ascii="Times New Roman" w:eastAsia="標楷體" w:hAnsi="Times New Roman" w:cs="Times New Roman"/>
                <w:sz w:val="22"/>
              </w:rPr>
            </w:pPr>
            <w:r w:rsidRPr="00C77E77">
              <w:rPr>
                <w:rFonts w:ascii="Times New Roman" w:eastAsia="標楷體" w:hAnsi="Times New Roman" w:cs="Times New Roman"/>
                <w:sz w:val="22"/>
              </w:rPr>
              <w:t>臺灣</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293.9</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18.2</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270.4</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17.3</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281.5</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17.7</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273.1</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16.7</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213.6</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15.7</w:t>
            </w:r>
          </w:p>
        </w:tc>
      </w:tr>
      <w:tr w:rsidR="0024359D" w:rsidRPr="00C77E77" w:rsidTr="0024359D">
        <w:trPr>
          <w:jc w:val="center"/>
        </w:trPr>
        <w:tc>
          <w:tcPr>
            <w:tcW w:w="704" w:type="dxa"/>
          </w:tcPr>
          <w:p w:rsidR="0024359D" w:rsidRPr="00C77E77" w:rsidRDefault="0024359D" w:rsidP="0024359D">
            <w:pPr>
              <w:spacing w:beforeLines="50" w:before="180" w:afterLines="50" w:after="180"/>
              <w:contextualSpacing/>
              <w:jc w:val="both"/>
              <w:rPr>
                <w:rFonts w:ascii="Times New Roman" w:eastAsia="標楷體" w:hAnsi="Times New Roman" w:cs="Times New Roman"/>
                <w:sz w:val="22"/>
              </w:rPr>
            </w:pPr>
            <w:r w:rsidRPr="00C77E77">
              <w:rPr>
                <w:rFonts w:ascii="Times New Roman" w:eastAsia="標楷體" w:hAnsi="Times New Roman" w:cs="Times New Roman"/>
                <w:sz w:val="22"/>
              </w:rPr>
              <w:t>中國大陸</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415.3</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25.7</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415.9</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26.6</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432.8</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27.2</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474.0</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28.9</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436.0</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32.0</w:t>
            </w:r>
          </w:p>
        </w:tc>
      </w:tr>
      <w:tr w:rsidR="0024359D" w:rsidRPr="00C77E77" w:rsidTr="0024359D">
        <w:trPr>
          <w:jc w:val="center"/>
        </w:trPr>
        <w:tc>
          <w:tcPr>
            <w:tcW w:w="704" w:type="dxa"/>
          </w:tcPr>
          <w:p w:rsidR="0024359D" w:rsidRPr="00C77E77" w:rsidRDefault="0024359D" w:rsidP="0024359D">
            <w:pPr>
              <w:spacing w:beforeLines="50" w:before="180" w:afterLines="50" w:after="180"/>
              <w:contextualSpacing/>
              <w:jc w:val="both"/>
              <w:rPr>
                <w:rFonts w:ascii="Times New Roman" w:eastAsia="標楷體" w:hAnsi="Times New Roman" w:cs="Times New Roman"/>
                <w:sz w:val="22"/>
              </w:rPr>
            </w:pPr>
            <w:r w:rsidRPr="00C77E77">
              <w:rPr>
                <w:rFonts w:ascii="Times New Roman" w:eastAsia="標楷體" w:hAnsi="Times New Roman" w:cs="Times New Roman"/>
                <w:sz w:val="22"/>
              </w:rPr>
              <w:t>日本</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422.4</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26.1</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403.1</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25.8</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421.8</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26.5</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394.8</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24.1</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320.0</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23.5</w:t>
            </w:r>
          </w:p>
        </w:tc>
      </w:tr>
      <w:tr w:rsidR="0024359D" w:rsidRPr="00C77E77" w:rsidTr="0024359D">
        <w:trPr>
          <w:jc w:val="center"/>
        </w:trPr>
        <w:tc>
          <w:tcPr>
            <w:tcW w:w="704" w:type="dxa"/>
          </w:tcPr>
          <w:p w:rsidR="0024359D" w:rsidRPr="00C77E77" w:rsidRDefault="0024359D" w:rsidP="0024359D">
            <w:pPr>
              <w:spacing w:beforeLines="50" w:before="180" w:afterLines="50" w:after="180"/>
              <w:contextualSpacing/>
              <w:jc w:val="both"/>
              <w:rPr>
                <w:rFonts w:ascii="Times New Roman" w:eastAsia="標楷體" w:hAnsi="Times New Roman" w:cs="Times New Roman"/>
                <w:sz w:val="22"/>
              </w:rPr>
            </w:pPr>
            <w:r w:rsidRPr="00C77E77">
              <w:rPr>
                <w:rFonts w:ascii="Times New Roman" w:eastAsia="標楷體" w:hAnsi="Times New Roman" w:cs="Times New Roman"/>
                <w:sz w:val="22"/>
              </w:rPr>
              <w:t>韓國</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483.9</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30.0</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474.1</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30.3</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457.1</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28.7</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496.7</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30.3</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391.9</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28.8</w:t>
            </w:r>
          </w:p>
        </w:tc>
      </w:tr>
      <w:tr w:rsidR="0024359D" w:rsidRPr="00C77E77" w:rsidTr="0024359D">
        <w:trPr>
          <w:jc w:val="center"/>
        </w:trPr>
        <w:tc>
          <w:tcPr>
            <w:tcW w:w="704" w:type="dxa"/>
          </w:tcPr>
          <w:p w:rsidR="0024359D" w:rsidRPr="00C77E77" w:rsidRDefault="0024359D" w:rsidP="0024359D">
            <w:pPr>
              <w:spacing w:beforeLines="50" w:before="180" w:afterLines="50" w:after="180"/>
              <w:contextualSpacing/>
              <w:jc w:val="both"/>
              <w:rPr>
                <w:rFonts w:ascii="Times New Roman" w:eastAsia="標楷體" w:hAnsi="Times New Roman" w:cs="Times New Roman"/>
                <w:sz w:val="22"/>
              </w:rPr>
            </w:pPr>
            <w:r w:rsidRPr="00C77E77">
              <w:rPr>
                <w:rFonts w:ascii="Times New Roman" w:eastAsia="標楷體" w:hAnsi="Times New Roman" w:cs="Times New Roman"/>
                <w:sz w:val="22"/>
              </w:rPr>
              <w:t>總計</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1615.5</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100</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1563.4</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100</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1593.2</w:t>
            </w:r>
          </w:p>
        </w:tc>
        <w:tc>
          <w:tcPr>
            <w:tcW w:w="849"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100</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1638.5</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100</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1361.5</w:t>
            </w:r>
          </w:p>
        </w:tc>
        <w:tc>
          <w:tcPr>
            <w:tcW w:w="850" w:type="dxa"/>
            <w:vAlign w:val="center"/>
          </w:tcPr>
          <w:p w:rsidR="0024359D" w:rsidRPr="00C77E77" w:rsidRDefault="0024359D" w:rsidP="0024359D">
            <w:pPr>
              <w:spacing w:beforeLines="50" w:before="180" w:afterLines="50" w:after="180"/>
              <w:contextualSpacing/>
              <w:jc w:val="center"/>
              <w:rPr>
                <w:rFonts w:ascii="Times New Roman" w:eastAsia="標楷體" w:hAnsi="Times New Roman" w:cs="Times New Roman"/>
                <w:sz w:val="22"/>
              </w:rPr>
            </w:pPr>
            <w:r w:rsidRPr="00C77E77">
              <w:rPr>
                <w:rFonts w:ascii="Times New Roman" w:eastAsia="標楷體" w:hAnsi="Times New Roman" w:cs="Times New Roman"/>
                <w:sz w:val="22"/>
              </w:rPr>
              <w:t>100</w:t>
            </w:r>
          </w:p>
        </w:tc>
      </w:tr>
    </w:tbl>
    <w:p w:rsidR="0024359D" w:rsidRPr="00C77E77" w:rsidRDefault="0024359D" w:rsidP="0024359D">
      <w:pPr>
        <w:spacing w:line="360" w:lineRule="auto"/>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海關統計資料</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工研院</w:t>
      </w:r>
      <w:r w:rsidRPr="00C77E77">
        <w:rPr>
          <w:rFonts w:ascii="Times New Roman" w:eastAsia="標楷體" w:hAnsi="Times New Roman" w:cs="Times New Roman"/>
          <w:sz w:val="28"/>
          <w:szCs w:val="28"/>
        </w:rPr>
        <w:t>IEK-ITIS</w:t>
      </w:r>
      <w:r w:rsidRPr="00C77E77">
        <w:rPr>
          <w:rFonts w:ascii="Times New Roman" w:eastAsia="標楷體" w:hAnsi="Times New Roman" w:cs="Times New Roman"/>
          <w:sz w:val="28"/>
          <w:szCs w:val="28"/>
        </w:rPr>
        <w:t>計畫</w:t>
      </w:r>
      <w:r w:rsidR="00C5509E"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2016</w:t>
      </w:r>
      <w:r w:rsidR="00C5509E" w:rsidRPr="00C77E77">
        <w:rPr>
          <w:rFonts w:ascii="Times New Roman" w:eastAsia="標楷體" w:hAnsi="Times New Roman" w:cs="Times New Roman"/>
          <w:sz w:val="28"/>
          <w:szCs w:val="28"/>
        </w:rPr>
        <w:t>）。</w:t>
      </w:r>
    </w:p>
    <w:p w:rsidR="0024359D" w:rsidRPr="00C77E77" w:rsidRDefault="0024359D" w:rsidP="0024359D">
      <w:pPr>
        <w:spacing w:line="360" w:lineRule="auto"/>
        <w:jc w:val="both"/>
        <w:rPr>
          <w:rFonts w:ascii="Times New Roman" w:eastAsia="標楷體" w:hAnsi="Times New Roman" w:cs="Times New Roman"/>
          <w:sz w:val="28"/>
          <w:szCs w:val="28"/>
        </w:rPr>
      </w:pPr>
    </w:p>
    <w:p w:rsidR="0024359D" w:rsidRPr="00C77E77" w:rsidRDefault="0024359D" w:rsidP="0024359D">
      <w:pPr>
        <w:spacing w:beforeLines="50" w:before="180" w:afterLines="50" w:after="180" w:line="360" w:lineRule="auto"/>
        <w:jc w:val="both"/>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drawing>
          <wp:inline distT="0" distB="0" distL="0" distR="0" wp14:anchorId="7410405C" wp14:editId="2E8207C1">
            <wp:extent cx="5905500" cy="2714625"/>
            <wp:effectExtent l="0" t="0" r="0" b="9525"/>
            <wp:docPr id="31" name="圖表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4359D" w:rsidRPr="00C77E77" w:rsidRDefault="0024359D" w:rsidP="0024359D">
      <w:pPr>
        <w:pStyle w:val="af7"/>
      </w:pPr>
      <w:bookmarkStart w:id="103" w:name="_Toc458185152"/>
      <w:bookmarkStart w:id="104" w:name="_Toc470676638"/>
      <w:r w:rsidRPr="00C77E77">
        <w:t>圖</w:t>
      </w:r>
      <w:r w:rsidRPr="00C77E77">
        <w:t xml:space="preserve">3-4-1 </w:t>
      </w:r>
      <w:r w:rsidRPr="00C77E77">
        <w:t>臺中日韓四國石化出口總值占比變化</w:t>
      </w:r>
      <w:bookmarkEnd w:id="103"/>
      <w:bookmarkEnd w:id="104"/>
    </w:p>
    <w:p w:rsidR="0024359D" w:rsidRPr="00C77E77" w:rsidRDefault="0024359D" w:rsidP="0024359D">
      <w:pPr>
        <w:spacing w:line="360" w:lineRule="auto"/>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海關統計資料</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工研院</w:t>
      </w:r>
      <w:r w:rsidRPr="00C77E77">
        <w:rPr>
          <w:rFonts w:ascii="Times New Roman" w:eastAsia="標楷體" w:hAnsi="Times New Roman" w:cs="Times New Roman"/>
          <w:sz w:val="28"/>
          <w:szCs w:val="28"/>
        </w:rPr>
        <w:t>IEK-ITIS</w:t>
      </w:r>
      <w:r w:rsidRPr="00C77E77">
        <w:rPr>
          <w:rFonts w:ascii="Times New Roman" w:eastAsia="標楷體" w:hAnsi="Times New Roman" w:cs="Times New Roman"/>
          <w:sz w:val="28"/>
          <w:szCs w:val="28"/>
        </w:rPr>
        <w:t>計畫</w:t>
      </w:r>
      <w:r w:rsidRPr="00C77E77">
        <w:rPr>
          <w:rFonts w:ascii="Times New Roman" w:eastAsia="標楷體" w:hAnsi="Times New Roman" w:cs="Times New Roman"/>
          <w:sz w:val="28"/>
          <w:szCs w:val="28"/>
        </w:rPr>
        <w:t>(2016)</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年產值減少及出口值下降的背後，凸顯出我國石化產業發展正面臨若干問題。</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首先是產能供給減少之問題。乙烯為石化產業主要上游原料之一，其產</w:t>
      </w:r>
      <w:r w:rsidRPr="00C77E77">
        <w:rPr>
          <w:rFonts w:ascii="Times New Roman" w:eastAsia="標楷體" w:hAnsi="Times New Roman" w:cs="Times New Roman"/>
          <w:sz w:val="28"/>
          <w:szCs w:val="28"/>
        </w:rPr>
        <w:lastRenderedPageBreak/>
        <w:t>量代表整體石化產業之供給能量。過往我國乙烯年產量約為</w:t>
      </w:r>
      <w:r w:rsidRPr="00C77E77">
        <w:rPr>
          <w:rFonts w:ascii="Times New Roman" w:eastAsia="標楷體" w:hAnsi="Times New Roman" w:cs="Times New Roman"/>
          <w:sz w:val="28"/>
          <w:szCs w:val="28"/>
        </w:rPr>
        <w:t>400</w:t>
      </w:r>
      <w:r w:rsidRPr="00C77E77">
        <w:rPr>
          <w:rFonts w:ascii="Times New Roman" w:eastAsia="標楷體" w:hAnsi="Times New Roman" w:cs="Times New Roman"/>
          <w:sz w:val="28"/>
          <w:szCs w:val="28"/>
        </w:rPr>
        <w:t>萬噸，為世界排名第八；惟</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月五輕已屆</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年而退役關廠，預估乙烯產量將減少</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萬噸（八分之一</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，排名將退後為第九名，影響我國石化產能供給甚鉅。若欲提升產能，實有興建另一座石化廠之需要。然而，隨著國內社會對石化產業製造高汙染之疑慮未除，以及</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月高雄氣爆事故引發石化產業公共安全風險之顧慮，加上國內環保意識抬頭且石化產業稅收上繳中央致使地方政府推動意願不高，以及中央政府未有完整國土規劃等，過去研議之國光石化及石化專區等規劃，至今仍延宕而遲未推行，無助於我國石化產業產能之提升。</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其次是出口競爭力下降問題。我國石化業出口市場以中國大陸為主，約占</w:t>
      </w:r>
      <w:r w:rsidRPr="00C77E77">
        <w:rPr>
          <w:rFonts w:ascii="Times New Roman" w:eastAsia="標楷體" w:hAnsi="Times New Roman" w:cs="Times New Roman"/>
          <w:sz w:val="28"/>
          <w:szCs w:val="28"/>
        </w:rPr>
        <w:t>60%</w:t>
      </w:r>
      <w:r w:rsidRPr="00C77E77">
        <w:rPr>
          <w:rFonts w:ascii="Times New Roman" w:eastAsia="標楷體" w:hAnsi="Times New Roman" w:cs="Times New Roman"/>
          <w:sz w:val="28"/>
          <w:szCs w:val="28"/>
        </w:rPr>
        <w:t>。同樣搶食中國大陸石化出口市場之競爭對手，包含日本</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韓國及東南亞國家。國內石化業者指出，過往我國與其他競爭對手銷往中國大陸石化產品之關稅稅率約在</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6.5</w:t>
      </w:r>
      <w:r w:rsidRPr="00C77E77">
        <w:rPr>
          <w:rFonts w:ascii="Times New Roman" w:eastAsia="標楷體" w:hAnsi="Times New Roman" w:cs="Times New Roman"/>
          <w:sz w:val="28"/>
          <w:szCs w:val="28"/>
        </w:rPr>
        <w:t>％間，差距甚小</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近年來日本</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韓國及東南亞各國與中國大陸進行各項經貿合作並簽訂貿易協定，這些國家銷售至中國大陸之石化產品關稅稅率大幅下降，部分品項則是接近零關稅</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反觀我國與中國大陸之貿易協定尚未有明顯進展，加入其他區域經貿合作組織尚未有進展，致使我國石化產品於中國大陸市場之競爭力下降</w:t>
      </w:r>
      <w:r w:rsidRPr="00C77E77">
        <w:rPr>
          <w:rFonts w:ascii="Times New Roman" w:eastAsia="新細明體" w:hAnsi="Times New Roman" w:cs="Times New Roman"/>
          <w:sz w:val="28"/>
          <w:szCs w:val="28"/>
        </w:rPr>
        <w:t>。</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最後是中國大陸與東南亞國家之石化產業自主趨勢隱憂</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年，中國大陸為我國最大的石化品出口市場，出口額達</w:t>
      </w:r>
      <w:r w:rsidRPr="00C77E77">
        <w:rPr>
          <w:rFonts w:ascii="Times New Roman" w:eastAsia="標楷體" w:hAnsi="Times New Roman" w:cs="Times New Roman"/>
          <w:sz w:val="28"/>
          <w:szCs w:val="28"/>
        </w:rPr>
        <w:t>142</w:t>
      </w:r>
      <w:r w:rsidRPr="00C77E77">
        <w:rPr>
          <w:rFonts w:ascii="Times New Roman" w:eastAsia="標楷體" w:hAnsi="Times New Roman" w:cs="Times New Roman"/>
          <w:sz w:val="28"/>
          <w:szCs w:val="28"/>
        </w:rPr>
        <w:t>億美元，占出口比重</w:t>
      </w:r>
      <w:r w:rsidRPr="00C77E77">
        <w:rPr>
          <w:rFonts w:ascii="Times New Roman" w:eastAsia="標楷體" w:hAnsi="Times New Roman" w:cs="Times New Roman"/>
          <w:sz w:val="28"/>
          <w:szCs w:val="28"/>
        </w:rPr>
        <w:t>48</w:t>
      </w:r>
      <w:r w:rsidRPr="00C77E77">
        <w:rPr>
          <w:rFonts w:ascii="Times New Roman" w:eastAsia="標楷體" w:hAnsi="Times New Roman" w:cs="Times New Roman"/>
          <w:sz w:val="28"/>
          <w:szCs w:val="28"/>
        </w:rPr>
        <w:t>％</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其次是東南亞國家，出口額近</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億美元，占出口比重</w:t>
      </w:r>
      <w:r w:rsidRPr="00C77E77">
        <w:rPr>
          <w:rFonts w:ascii="Times New Roman" w:eastAsia="標楷體" w:hAnsi="Times New Roman" w:cs="Times New Roman"/>
          <w:sz w:val="28"/>
          <w:szCs w:val="28"/>
        </w:rPr>
        <w:t>13</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77"/>
      </w:r>
      <w:r w:rsidRPr="00C77E77">
        <w:rPr>
          <w:rFonts w:ascii="Times New Roman" w:eastAsia="標楷體" w:hAnsi="Times New Roman" w:cs="Times New Roman"/>
          <w:sz w:val="28"/>
          <w:szCs w:val="28"/>
        </w:rPr>
        <w:t>。然而，中國歷經「十五」及「十一五」規劃，積極興建大型石化基地，在煉化一體的基礎上達成規模經濟與生產效率</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「十二五」規劃持續投資並擴大腹地，預期新增乙烯產能</w:t>
      </w:r>
      <w:r w:rsidRPr="00C77E77">
        <w:rPr>
          <w:rFonts w:ascii="Times New Roman" w:eastAsia="標楷體" w:hAnsi="Times New Roman" w:cs="Times New Roman"/>
          <w:sz w:val="28"/>
          <w:szCs w:val="28"/>
        </w:rPr>
        <w:t>700</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800</w:t>
      </w:r>
      <w:r w:rsidRPr="00C77E77">
        <w:rPr>
          <w:rFonts w:ascii="Times New Roman" w:eastAsia="標楷體" w:hAnsi="Times New Roman" w:cs="Times New Roman"/>
          <w:sz w:val="28"/>
          <w:szCs w:val="28"/>
        </w:rPr>
        <w:t>萬噸，總產值年均成長率上看</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年達到</w:t>
      </w:r>
      <w:r w:rsidRPr="00C77E77">
        <w:rPr>
          <w:rFonts w:ascii="Times New Roman" w:eastAsia="標楷體" w:hAnsi="Times New Roman" w:cs="Times New Roman"/>
          <w:sz w:val="28"/>
          <w:szCs w:val="28"/>
        </w:rPr>
        <w:t>16</w:t>
      </w:r>
      <w:r w:rsidRPr="00C77E77">
        <w:rPr>
          <w:rFonts w:ascii="Times New Roman" w:eastAsia="標楷體" w:hAnsi="Times New Roman" w:cs="Times New Roman"/>
          <w:sz w:val="28"/>
          <w:szCs w:val="28"/>
        </w:rPr>
        <w:t>兆元人民幣</w:t>
      </w:r>
      <w:r w:rsidRPr="00C77E77">
        <w:rPr>
          <w:rStyle w:val="a9"/>
          <w:rFonts w:ascii="Times New Roman" w:eastAsia="標楷體" w:hAnsi="Times New Roman" w:cs="Times New Roman"/>
          <w:sz w:val="28"/>
          <w:szCs w:val="28"/>
        </w:rPr>
        <w:footnoteReference w:id="78"/>
      </w:r>
      <w:r w:rsidRPr="00C77E77">
        <w:rPr>
          <w:rFonts w:ascii="Times New Roman" w:eastAsia="標楷體" w:hAnsi="Times New Roman" w:cs="Times New Roman"/>
          <w:sz w:val="28"/>
          <w:szCs w:val="28"/>
        </w:rPr>
        <w:t>，預料中國大陸日後對石化產品進口量將逐漸減少，衝擊我國石化產品出口表現</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加以東協國家也逐漸石化自主，我國石化產業恐</w:t>
      </w:r>
      <w:r w:rsidRPr="00C77E77">
        <w:rPr>
          <w:rFonts w:ascii="Times New Roman" w:eastAsia="標楷體" w:hAnsi="Times New Roman" w:cs="Times New Roman"/>
          <w:sz w:val="28"/>
          <w:szCs w:val="28"/>
        </w:rPr>
        <w:lastRenderedPageBreak/>
        <w:t>無法僅靠出口大量便宜的石化原料獲利。</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面對上述發展困境，首先我國石化產業需強化其公共安全</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致力於改善空氣汙染情況及降低碳排放量，取得國內社會認同並提高對此產業之接受度。同時，我國石化業者也需積極走向產業高值化，強化研發能量以開發新原料，或開發石化原料之應用新觸角（如：碳纖維</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等。當業者努力開發轉型之際，我國政府亦須針對國土規劃與石化產業稅收用途重新研議，在環境保護與民生發展之間</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在中央稅收與地方回饋之間，以不違反國家長期發展利益為原則，權衡考量後進行妥適規範。</w:t>
      </w:r>
    </w:p>
    <w:p w:rsidR="0024359D" w:rsidRPr="00C77E77" w:rsidRDefault="0024359D" w:rsidP="0024359D">
      <w:pPr>
        <w:spacing w:beforeLines="50" w:before="180" w:afterLines="50" w:after="180" w:line="500" w:lineRule="exact"/>
        <w:ind w:firstLineChars="200" w:firstLine="560"/>
        <w:jc w:val="both"/>
        <w:rPr>
          <w:rFonts w:ascii="Times New Roman" w:hAnsi="Times New Roman" w:cs="Times New Roman"/>
          <w:sz w:val="28"/>
          <w:szCs w:val="28"/>
        </w:rPr>
      </w:pPr>
      <w:r w:rsidRPr="00C77E77">
        <w:rPr>
          <w:rFonts w:ascii="Times New Roman" w:eastAsia="標楷體" w:hAnsi="Times New Roman" w:cs="Times New Roman"/>
          <w:sz w:val="28"/>
          <w:szCs w:val="28"/>
        </w:rPr>
        <w:t>更迫切的是，政府應協助企業降低與他國經貿往來之障礙，包含避免雙重課稅協定或貿易協定之簽訂</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加入區域經貿合作組織等。另一方面，則輔導企業開拓中國大陸以外之新出口市場，或與其他國家之當地企業合作發展當地石化基地建設工作。</w:t>
      </w:r>
    </w:p>
    <w:p w:rsidR="0024359D" w:rsidRPr="00C77E77" w:rsidRDefault="0024359D" w:rsidP="0001327A">
      <w:pPr>
        <w:pStyle w:val="ab"/>
        <w:numPr>
          <w:ilvl w:val="0"/>
          <w:numId w:val="32"/>
        </w:numPr>
        <w:spacing w:beforeLines="50" w:before="180" w:afterLines="50" w:after="180" w:line="500" w:lineRule="exact"/>
        <w:ind w:leftChars="0"/>
        <w:jc w:val="both"/>
        <w:rPr>
          <w:rFonts w:ascii="Times New Roman" w:eastAsia="標楷體" w:hAnsi="Times New Roman" w:cs="Times New Roman"/>
          <w:b/>
          <w:color w:val="000000" w:themeColor="text1"/>
          <w:spacing w:val="14"/>
          <w:sz w:val="28"/>
          <w:szCs w:val="28"/>
        </w:rPr>
      </w:pPr>
      <w:r w:rsidRPr="00C77E77">
        <w:rPr>
          <w:rFonts w:ascii="Times New Roman" w:eastAsia="標楷體" w:hAnsi="Times New Roman" w:cs="Times New Roman"/>
          <w:b/>
          <w:color w:val="000000" w:themeColor="text1"/>
          <w:spacing w:val="14"/>
          <w:sz w:val="28"/>
          <w:szCs w:val="28"/>
        </w:rPr>
        <w:t>智慧健康產業</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隨著全球高齡化與慢性病患快速增加，健康支出與經濟社會資源耗費相應提高，藉由強化健康促進與疾病預防、鼓勵健康生活型態來減少健康照護支出，乃世界主要國家當前衛生健康管理政策之趨勢；亦即，從疾病治療逐漸轉為疾病管理及預防保健，進而帶動健康促進與養生保健之生活型態。在此趨勢下，健康風險評估及預測之角色日益重要，「智慧健康產業」之概念相應而生。</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「智慧健康產業」係指結合資通訊技術與健康管理知識，經由行動裝置、應用程式</w:t>
      </w:r>
      <w:r w:rsidRPr="00C77E77">
        <w:rPr>
          <w:rFonts w:ascii="Times New Roman" w:eastAsia="標楷體" w:hAnsi="Times New Roman" w:cs="Times New Roman"/>
          <w:sz w:val="28"/>
          <w:szCs w:val="28"/>
        </w:rPr>
        <w:t>Apps</w:t>
      </w:r>
      <w:r w:rsidRPr="00C77E77">
        <w:rPr>
          <w:rFonts w:ascii="Times New Roman" w:eastAsia="標楷體" w:hAnsi="Times New Roman" w:cs="Times New Roman"/>
          <w:sz w:val="28"/>
          <w:szCs w:val="28"/>
        </w:rPr>
        <w:t>、雲端運算、大數據資料及物聯網，將資料分析並加值，提供個人化健康管理服務。</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若將範圍延伸至「智慧健康照護產業」（</w:t>
      </w:r>
      <w:r w:rsidRPr="00C77E77">
        <w:rPr>
          <w:rFonts w:ascii="Times New Roman" w:eastAsia="標楷體" w:hAnsi="Times New Roman" w:cs="Times New Roman"/>
          <w:sz w:val="28"/>
          <w:szCs w:val="28"/>
        </w:rPr>
        <w:t>Smart Healthcare</w:t>
      </w:r>
      <w:r w:rsidRPr="00C77E77">
        <w:rPr>
          <w:rFonts w:ascii="Times New Roman" w:eastAsia="標楷體" w:hAnsi="Times New Roman" w:cs="Times New Roman"/>
          <w:sz w:val="28"/>
          <w:szCs w:val="28"/>
        </w:rPr>
        <w:t>），「智慧健康產業」乃其中三大產業之一</w:t>
      </w:r>
      <w:r w:rsidRPr="00C77E77">
        <w:rPr>
          <w:rStyle w:val="a9"/>
          <w:rFonts w:ascii="Times New Roman" w:eastAsia="標楷體" w:hAnsi="Times New Roman" w:cs="Times New Roman"/>
          <w:sz w:val="28"/>
          <w:szCs w:val="28"/>
        </w:rPr>
        <w:footnoteReference w:id="79"/>
      </w:r>
      <w:r w:rsidRPr="00C77E77">
        <w:rPr>
          <w:rFonts w:ascii="Times New Roman" w:eastAsia="標楷體" w:hAnsi="Times New Roman" w:cs="Times New Roman"/>
          <w:sz w:val="28"/>
          <w:szCs w:val="28"/>
        </w:rPr>
        <w:t>，而整體「智慧健康照護產業」所涉及廠商或</w:t>
      </w:r>
      <w:r w:rsidRPr="00C77E77">
        <w:rPr>
          <w:rFonts w:ascii="Times New Roman" w:eastAsia="標楷體" w:hAnsi="Times New Roman" w:cs="Times New Roman"/>
          <w:sz w:val="28"/>
          <w:szCs w:val="28"/>
        </w:rPr>
        <w:lastRenderedPageBreak/>
        <w:t>機構範圍廣大，諸如行動裝置與營運商、醫療器材廠商、資訊服務與軟體廠商、醫療院所等，皆為發展此產業不可或缺之要角，如圖</w:t>
      </w:r>
      <w:r w:rsidRPr="00C77E77">
        <w:rPr>
          <w:rFonts w:ascii="Times New Roman" w:eastAsia="標楷體" w:hAnsi="Times New Roman" w:cs="Times New Roman"/>
          <w:sz w:val="28"/>
          <w:szCs w:val="28"/>
        </w:rPr>
        <w:t>3-4-2</w:t>
      </w:r>
      <w:r w:rsidRPr="00C77E77">
        <w:rPr>
          <w:rFonts w:ascii="Times New Roman" w:eastAsia="標楷體" w:hAnsi="Times New Roman" w:cs="Times New Roman"/>
          <w:sz w:val="28"/>
          <w:szCs w:val="28"/>
        </w:rPr>
        <w:t>所示。</w:t>
      </w:r>
    </w:p>
    <w:p w:rsidR="0024359D" w:rsidRPr="00C77E77" w:rsidRDefault="0024359D" w:rsidP="0024359D">
      <w:pPr>
        <w:spacing w:beforeLines="50" w:before="180" w:afterLines="50" w:after="180" w:line="360" w:lineRule="auto"/>
        <w:ind w:firstLineChars="200" w:firstLine="480"/>
        <w:jc w:val="both"/>
        <w:rPr>
          <w:rFonts w:ascii="Times New Roman" w:eastAsia="標楷體" w:hAnsi="Times New Roman" w:cs="Times New Roman"/>
          <w:color w:val="FF0000"/>
          <w:sz w:val="28"/>
          <w:szCs w:val="28"/>
        </w:rPr>
      </w:pPr>
      <w:r w:rsidRPr="00C77E77">
        <w:rPr>
          <w:rFonts w:ascii="Times New Roman" w:hAnsi="Times New Roman" w:cs="Times New Roman"/>
          <w:noProof/>
        </w:rPr>
        <w:drawing>
          <wp:inline distT="0" distB="0" distL="0" distR="0" wp14:anchorId="4D70342E" wp14:editId="648EA3F9">
            <wp:extent cx="5274310" cy="3032125"/>
            <wp:effectExtent l="0" t="0" r="0" b="0"/>
            <wp:docPr id="6208" name="圖片 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5274310" cy="3032125"/>
                    </a:xfrm>
                    <a:prstGeom prst="rect">
                      <a:avLst/>
                    </a:prstGeom>
                  </pic:spPr>
                </pic:pic>
              </a:graphicData>
            </a:graphic>
          </wp:inline>
        </w:drawing>
      </w:r>
    </w:p>
    <w:p w:rsidR="0024359D" w:rsidRPr="00C77E77" w:rsidRDefault="0024359D" w:rsidP="0024359D">
      <w:pPr>
        <w:pStyle w:val="af7"/>
      </w:pPr>
      <w:bookmarkStart w:id="105" w:name="_Toc458185153"/>
      <w:bookmarkStart w:id="106" w:name="_Toc470676639"/>
      <w:r w:rsidRPr="00C77E77">
        <w:t>圖</w:t>
      </w:r>
      <w:r w:rsidRPr="00C77E77">
        <w:t xml:space="preserve">3-4-2 </w:t>
      </w:r>
      <w:r w:rsidRPr="00C77E77">
        <w:t>智慧健康照護產業</w:t>
      </w:r>
      <w:bookmarkEnd w:id="105"/>
      <w:bookmarkEnd w:id="106"/>
    </w:p>
    <w:p w:rsidR="0024359D" w:rsidRPr="00C77E77" w:rsidRDefault="0024359D" w:rsidP="007B507B">
      <w:pPr>
        <w:snapToGrid w:val="0"/>
        <w:spacing w:afterLines="50" w:after="180" w:line="500" w:lineRule="exact"/>
        <w:ind w:left="1274" w:hangingChars="455" w:hanging="127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工研院</w:t>
      </w:r>
      <w:r w:rsidR="007B507B" w:rsidRPr="00C77E77">
        <w:rPr>
          <w:rFonts w:ascii="Times New Roman" w:eastAsia="標楷體" w:hAnsi="Times New Roman" w:cs="Times New Roman"/>
          <w:sz w:val="28"/>
          <w:szCs w:val="28"/>
        </w:rPr>
        <w:t>產業經濟與趨勢研究中心，</w:t>
      </w:r>
      <w:r w:rsidR="007B507B" w:rsidRPr="00C77E77">
        <w:rPr>
          <w:rFonts w:ascii="Times New Roman" w:eastAsia="標楷體" w:hAnsi="Times New Roman" w:cs="Times New Roman"/>
          <w:sz w:val="28"/>
          <w:szCs w:val="28"/>
        </w:rPr>
        <w:t>2015</w:t>
      </w:r>
      <w:r w:rsidR="007B507B" w:rsidRPr="00C77E77">
        <w:rPr>
          <w:rFonts w:ascii="Times New Roman" w:eastAsia="標楷體" w:hAnsi="Times New Roman" w:cs="Times New Roman"/>
          <w:sz w:val="28"/>
          <w:szCs w:val="28"/>
        </w:rPr>
        <w:t>年，〈智慧健康醫療應用服務現況〉，</w:t>
      </w:r>
      <w:r w:rsidR="007B507B" w:rsidRPr="00C77E77">
        <w:rPr>
          <w:rFonts w:ascii="Times New Roman" w:eastAsia="標楷體" w:hAnsi="Times New Roman" w:cs="Times New Roman"/>
          <w:sz w:val="28"/>
          <w:szCs w:val="28"/>
        </w:rPr>
        <w:t>7</w:t>
      </w:r>
      <w:r w:rsidR="007B507B" w:rsidRPr="00C77E77">
        <w:rPr>
          <w:rFonts w:ascii="Times New Roman" w:eastAsia="標楷體" w:hAnsi="Times New Roman" w:cs="Times New Roman"/>
          <w:sz w:val="28"/>
          <w:szCs w:val="28"/>
        </w:rPr>
        <w:t>月</w:t>
      </w:r>
      <w:r w:rsidR="007B507B" w:rsidRPr="00C77E77">
        <w:rPr>
          <w:rFonts w:ascii="Times New Roman" w:eastAsia="標楷體" w:hAnsi="Times New Roman" w:cs="Times New Roman"/>
          <w:sz w:val="28"/>
          <w:szCs w:val="28"/>
        </w:rPr>
        <w:t>22</w:t>
      </w:r>
      <w:r w:rsidR="007B507B" w:rsidRPr="00C77E77">
        <w:rPr>
          <w:rFonts w:ascii="Times New Roman" w:eastAsia="標楷體" w:hAnsi="Times New Roman" w:cs="Times New Roman"/>
          <w:sz w:val="28"/>
          <w:szCs w:val="28"/>
        </w:rPr>
        <w:t>日。</w:t>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臺灣「智慧健康照護產業」從推動「智慧醫療」開始。</w:t>
      </w: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我國政府推動「健康照護升值白金方案」，醫療照護即為六大新興產業之一，其中智慧醫療屬於醫療照護加值產業體系之智慧醫療服務主軸策略，主要整合我國既有資訊科技、打破資源地域時空限制、加速病患診療決策時間、提升醫療品質、減少醫療資源浪費，內容包含電子病歷推動、醫療影像數位化與影像傳輸計畫、山地離島服務遠距醫療計畫、醫院安全關懷</w:t>
      </w:r>
      <w:r w:rsidRPr="00C77E77">
        <w:rPr>
          <w:rFonts w:ascii="Times New Roman" w:eastAsia="標楷體" w:hAnsi="Times New Roman" w:cs="Times New Roman"/>
          <w:sz w:val="28"/>
          <w:szCs w:val="28"/>
        </w:rPr>
        <w:t>RFID</w:t>
      </w:r>
      <w:r w:rsidRPr="00C77E77">
        <w:rPr>
          <w:rFonts w:ascii="Times New Roman" w:eastAsia="標楷體" w:hAnsi="Times New Roman" w:cs="Times New Roman"/>
          <w:sz w:val="28"/>
          <w:szCs w:val="28"/>
        </w:rPr>
        <w:t>計畫、健康資料庫價值應用計畫等。</w:t>
      </w:r>
      <w:r w:rsidRPr="00C77E77">
        <w:rPr>
          <w:rStyle w:val="a9"/>
          <w:rFonts w:ascii="Times New Roman" w:eastAsia="標楷體" w:hAnsi="Times New Roman" w:cs="Times New Roman"/>
          <w:sz w:val="28"/>
          <w:szCs w:val="28"/>
        </w:rPr>
        <w:footnoteReference w:id="80"/>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 xml:space="preserve">    </w:t>
      </w:r>
      <w:r w:rsidRPr="00C77E77">
        <w:rPr>
          <w:rFonts w:ascii="Times New Roman" w:eastAsia="標楷體" w:hAnsi="Times New Roman" w:cs="Times New Roman"/>
          <w:sz w:val="28"/>
          <w:szCs w:val="28"/>
        </w:rPr>
        <w:t>經由上開計畫之推行，我國醫療院所於進行醫療活動時，均需建置、導入與應用資通訊系統，以符合全國性電子病歷推動之基本要求，並以此為基礎進一步提供新型態智慧醫療服務。因此，自上開計畫推動起，截至目前已有多家工業電腦業者投入智慧醫療領域，包含研華科技、醫揚科技、精聯電子、飛捷科技、安勤科技、凌華科技、盤儀科技、欣技資訊及廣積科技等，產品應用範圍廣泛，涵蓋醫療照護電腦、醫療用平板電腦、病床照護系統、床邊衛教資訊系統、醫療級影像顯示螢幕、用藥資訊系統、行動醫療照護車、遠距醫療系統、行動護理紀錄</w:t>
      </w:r>
      <w:r w:rsidRPr="00C77E77">
        <w:rPr>
          <w:rFonts w:ascii="Times New Roman" w:eastAsia="標楷體" w:hAnsi="Times New Roman" w:cs="Times New Roman"/>
          <w:sz w:val="28"/>
          <w:szCs w:val="28"/>
        </w:rPr>
        <w:t>E</w:t>
      </w:r>
      <w:r w:rsidRPr="00C77E77">
        <w:rPr>
          <w:rFonts w:ascii="Times New Roman" w:eastAsia="標楷體" w:hAnsi="Times New Roman" w:cs="Times New Roman"/>
          <w:sz w:val="28"/>
          <w:szCs w:val="28"/>
        </w:rPr>
        <w:t>化等。</w:t>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立基於醫療產業既有優勢，結合資通訊競爭力，運用已發展之智慧醫療資料平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基礎，我國已具有進一步發展智慧健康產業之龐大潛能。工研院即參考國外指標性案例，規劃臺灣智慧健康情境。</w:t>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首先，行動裝置與應用程式</w:t>
      </w:r>
      <w:r w:rsidRPr="00C77E77">
        <w:rPr>
          <w:rFonts w:ascii="Times New Roman" w:eastAsia="標楷體" w:hAnsi="Times New Roman" w:cs="Times New Roman"/>
          <w:sz w:val="28"/>
          <w:szCs w:val="28"/>
        </w:rPr>
        <w:t>Apps</w:t>
      </w:r>
      <w:r w:rsidRPr="00C77E77">
        <w:rPr>
          <w:rFonts w:ascii="Times New Roman" w:eastAsia="標楷體" w:hAnsi="Times New Roman" w:cs="Times New Roman"/>
          <w:sz w:val="28"/>
          <w:szCs w:val="28"/>
        </w:rPr>
        <w:t>內容可包含：基礎體溫、睡眠分析、血壓量測、運動健身、慢跑訓練、健康飲食、體重控制、生活型態等，用以建立個人基本資料與自我健康量測記錄，進行居家個人健康管理。若結合健康資料數據庫與雲端系統打造健康服務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如健保、食品藥物、國民健康、疾管、照護等健康資料，儲存個人生理資料健康履歷，醫療院所及藥局可利用此健康履歷提供個人健康諮詢、健康照護與健康促進活動相關服務，並建立可預測健康風險及評估疾病風險之健康評估分析系統，再回饋至個人行動裝置及應用程式</w:t>
      </w:r>
      <w:r w:rsidRPr="00C77E77">
        <w:rPr>
          <w:rFonts w:ascii="Times New Roman" w:eastAsia="標楷體" w:hAnsi="Times New Roman" w:cs="Times New Roman"/>
          <w:sz w:val="28"/>
          <w:szCs w:val="28"/>
        </w:rPr>
        <w:t>Apps</w:t>
      </w:r>
      <w:r w:rsidRPr="00C77E77">
        <w:rPr>
          <w:rFonts w:ascii="Times New Roman" w:eastAsia="標楷體" w:hAnsi="Times New Roman" w:cs="Times New Roman"/>
          <w:sz w:val="28"/>
          <w:szCs w:val="28"/>
        </w:rPr>
        <w:t>資料記錄，強化居家個人健康管理。</w:t>
      </w:r>
    </w:p>
    <w:p w:rsidR="0024359D" w:rsidRPr="00C77E77" w:rsidRDefault="0024359D" w:rsidP="0024359D">
      <w:pPr>
        <w:spacing w:line="360" w:lineRule="auto"/>
        <w:jc w:val="both"/>
        <w:rPr>
          <w:rFonts w:ascii="Times New Roman" w:eastAsia="標楷體" w:hAnsi="Times New Roman" w:cs="Times New Roman"/>
          <w:sz w:val="28"/>
          <w:szCs w:val="28"/>
        </w:rPr>
      </w:pPr>
      <w:r w:rsidRPr="00C77E77">
        <w:rPr>
          <w:rFonts w:ascii="Times New Roman" w:hAnsi="Times New Roman" w:cs="Times New Roman"/>
          <w:noProof/>
        </w:rPr>
        <w:lastRenderedPageBreak/>
        <w:drawing>
          <wp:inline distT="0" distB="0" distL="0" distR="0" wp14:anchorId="4F356A70" wp14:editId="4F412281">
            <wp:extent cx="5274310" cy="2971800"/>
            <wp:effectExtent l="0" t="0" r="0" b="0"/>
            <wp:docPr id="6209" name="圖片 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274310" cy="2971800"/>
                    </a:xfrm>
                    <a:prstGeom prst="rect">
                      <a:avLst/>
                    </a:prstGeom>
                  </pic:spPr>
                </pic:pic>
              </a:graphicData>
            </a:graphic>
          </wp:inline>
        </w:drawing>
      </w:r>
    </w:p>
    <w:p w:rsidR="0024359D" w:rsidRPr="00C77E77" w:rsidRDefault="0024359D" w:rsidP="000A3D10">
      <w:pPr>
        <w:pStyle w:val="af7"/>
        <w:spacing w:line="0" w:lineRule="atLeast"/>
      </w:pPr>
      <w:bookmarkStart w:id="107" w:name="_Toc458185154"/>
      <w:bookmarkStart w:id="108" w:name="_Toc470676640"/>
      <w:r w:rsidRPr="00C77E77">
        <w:t>圖</w:t>
      </w:r>
      <w:r w:rsidRPr="00C77E77">
        <w:t xml:space="preserve">3-4-3 </w:t>
      </w:r>
      <w:r w:rsidRPr="00C77E77">
        <w:t>臺灣智慧健康產業情境</w:t>
      </w:r>
      <w:bookmarkEnd w:id="107"/>
      <w:bookmarkEnd w:id="108"/>
    </w:p>
    <w:p w:rsidR="0024359D" w:rsidRPr="00C77E77" w:rsidRDefault="0024359D" w:rsidP="000A3D10">
      <w:pPr>
        <w:snapToGrid w:val="0"/>
        <w:spacing w:line="0" w:lineRule="atLeast"/>
        <w:ind w:left="1417" w:hangingChars="506" w:hanging="141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w:t>
      </w:r>
      <w:r w:rsidR="007B507B" w:rsidRPr="00C77E77">
        <w:rPr>
          <w:rFonts w:ascii="Times New Roman" w:hAnsi="Times New Roman" w:cs="Times New Roman"/>
        </w:rPr>
        <w:t xml:space="preserve"> </w:t>
      </w:r>
      <w:r w:rsidR="007B507B" w:rsidRPr="00C77E77">
        <w:rPr>
          <w:rFonts w:ascii="Times New Roman" w:eastAsia="標楷體" w:hAnsi="Times New Roman" w:cs="Times New Roman"/>
          <w:sz w:val="28"/>
          <w:szCs w:val="28"/>
        </w:rPr>
        <w:t>工研院產業經濟與趨勢研究中心，</w:t>
      </w:r>
      <w:r w:rsidR="007B507B" w:rsidRPr="00C77E77">
        <w:rPr>
          <w:rFonts w:ascii="Times New Roman" w:eastAsia="標楷體" w:hAnsi="Times New Roman" w:cs="Times New Roman"/>
          <w:sz w:val="28"/>
          <w:szCs w:val="28"/>
        </w:rPr>
        <w:t>2015</w:t>
      </w:r>
      <w:r w:rsidR="007B507B" w:rsidRPr="00C77E77">
        <w:rPr>
          <w:rFonts w:ascii="Times New Roman" w:eastAsia="標楷體" w:hAnsi="Times New Roman" w:cs="Times New Roman"/>
          <w:sz w:val="28"/>
          <w:szCs w:val="28"/>
        </w:rPr>
        <w:t>年，〈智慧健康醫療應用服務現況〉，</w:t>
      </w:r>
      <w:r w:rsidR="007B507B" w:rsidRPr="00C77E77">
        <w:rPr>
          <w:rFonts w:ascii="Times New Roman" w:eastAsia="標楷體" w:hAnsi="Times New Roman" w:cs="Times New Roman"/>
          <w:sz w:val="28"/>
          <w:szCs w:val="28"/>
        </w:rPr>
        <w:t>7</w:t>
      </w:r>
      <w:r w:rsidR="007B507B" w:rsidRPr="00C77E77">
        <w:rPr>
          <w:rFonts w:ascii="Times New Roman" w:eastAsia="標楷體" w:hAnsi="Times New Roman" w:cs="Times New Roman"/>
          <w:sz w:val="28"/>
          <w:szCs w:val="28"/>
        </w:rPr>
        <w:t>月</w:t>
      </w:r>
      <w:r w:rsidR="007B507B" w:rsidRPr="00C77E77">
        <w:rPr>
          <w:rFonts w:ascii="Times New Roman" w:eastAsia="標楷體" w:hAnsi="Times New Roman" w:cs="Times New Roman"/>
          <w:sz w:val="28"/>
          <w:szCs w:val="28"/>
        </w:rPr>
        <w:t>22</w:t>
      </w:r>
      <w:r w:rsidR="007B507B" w:rsidRPr="00C77E77">
        <w:rPr>
          <w:rFonts w:ascii="Times New Roman" w:eastAsia="標楷體" w:hAnsi="Times New Roman" w:cs="Times New Roman"/>
          <w:sz w:val="28"/>
          <w:szCs w:val="28"/>
        </w:rPr>
        <w:t>日。</w:t>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「智慧健康照護產業」可望為臺灣醫療及資通訊產業帶來龐大商機。根據研調單位預估，</w:t>
      </w:r>
      <w:r w:rsidRPr="00C77E77">
        <w:rPr>
          <w:rFonts w:ascii="Times New Roman" w:eastAsia="標楷體" w:hAnsi="Times New Roman" w:cs="Times New Roman"/>
          <w:sz w:val="28"/>
          <w:szCs w:val="28"/>
        </w:rPr>
        <w:t>2016-2018</w:t>
      </w:r>
      <w:r w:rsidRPr="00C77E77">
        <w:rPr>
          <w:rFonts w:ascii="Times New Roman" w:eastAsia="標楷體" w:hAnsi="Times New Roman" w:cs="Times New Roman"/>
          <w:sz w:val="28"/>
          <w:szCs w:val="28"/>
        </w:rPr>
        <w:t>年全球智慧醫療支出的年複合成長率將達</w:t>
      </w:r>
      <w:r w:rsidRPr="00C77E77">
        <w:rPr>
          <w:rFonts w:ascii="Times New Roman" w:eastAsia="標楷體" w:hAnsi="Times New Roman" w:cs="Times New Roman"/>
          <w:sz w:val="28"/>
          <w:szCs w:val="28"/>
        </w:rPr>
        <w:t>60</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2018</w:t>
      </w:r>
      <w:r w:rsidRPr="00C77E77">
        <w:rPr>
          <w:rFonts w:ascii="Times New Roman" w:eastAsia="標楷體" w:hAnsi="Times New Roman" w:cs="Times New Roman"/>
          <w:sz w:val="28"/>
          <w:szCs w:val="28"/>
        </w:rPr>
        <w:t>年產值上看</w:t>
      </w:r>
      <w:r w:rsidRPr="00C77E77">
        <w:rPr>
          <w:rFonts w:ascii="Times New Roman" w:eastAsia="標楷體" w:hAnsi="Times New Roman" w:cs="Times New Roman"/>
          <w:sz w:val="28"/>
          <w:szCs w:val="28"/>
        </w:rPr>
        <w:t>300</w:t>
      </w:r>
      <w:r w:rsidRPr="00C77E77">
        <w:rPr>
          <w:rFonts w:ascii="Times New Roman" w:eastAsia="標楷體" w:hAnsi="Times New Roman" w:cs="Times New Roman"/>
          <w:sz w:val="28"/>
          <w:szCs w:val="28"/>
        </w:rPr>
        <w:t>億美元（約新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兆）。拓墣產業研究所亦指出，受到</w:t>
      </w:r>
      <w:r w:rsidR="007D5A16" w:rsidRPr="00C77E77">
        <w:rPr>
          <w:rFonts w:ascii="Times New Roman" w:eastAsia="標楷體" w:hAnsi="Times New Roman" w:cs="Times New Roman"/>
          <w:sz w:val="28"/>
          <w:szCs w:val="28"/>
        </w:rPr>
        <w:t>網際網路</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Internet</w:t>
      </w:r>
      <w:r w:rsidRPr="00C77E77">
        <w:rPr>
          <w:rFonts w:ascii="Times New Roman" w:eastAsia="標楷體" w:hAnsi="Times New Roman" w:cs="Times New Roman"/>
          <w:sz w:val="28"/>
          <w:szCs w:val="28"/>
        </w:rPr>
        <w:t>）與物聯網（</w:t>
      </w:r>
      <w:r w:rsidRPr="00C77E77">
        <w:rPr>
          <w:rFonts w:ascii="Times New Roman" w:eastAsia="標楷體" w:hAnsi="Times New Roman" w:cs="Times New Roman"/>
          <w:sz w:val="28"/>
          <w:szCs w:val="28"/>
        </w:rPr>
        <w:t>IoT</w:t>
      </w:r>
      <w:r w:rsidRPr="00C77E77">
        <w:rPr>
          <w:rFonts w:ascii="Times New Roman" w:eastAsia="標楷體" w:hAnsi="Times New Roman" w:cs="Times New Roman"/>
          <w:sz w:val="28"/>
          <w:szCs w:val="28"/>
        </w:rPr>
        <w:t>）的發酵與帶動，智慧醫療成長力道加速，包含遠端監測、診斷設備、生活輔助、生理數據監測等服務支出，預估</w:t>
      </w:r>
      <w:r w:rsidRPr="00C77E77">
        <w:rPr>
          <w:rFonts w:ascii="Times New Roman" w:eastAsia="標楷體" w:hAnsi="Times New Roman" w:cs="Times New Roman"/>
          <w:sz w:val="28"/>
          <w:szCs w:val="28"/>
        </w:rPr>
        <w:t>2018</w:t>
      </w:r>
      <w:r w:rsidRPr="00C77E77">
        <w:rPr>
          <w:rFonts w:ascii="Times New Roman" w:eastAsia="標楷體" w:hAnsi="Times New Roman" w:cs="Times New Roman"/>
          <w:sz w:val="28"/>
          <w:szCs w:val="28"/>
        </w:rPr>
        <w:t>年總產值將達</w:t>
      </w:r>
      <w:r w:rsidRPr="00C77E77">
        <w:rPr>
          <w:rFonts w:ascii="Times New Roman" w:eastAsia="標楷體" w:hAnsi="Times New Roman" w:cs="Times New Roman"/>
          <w:sz w:val="28"/>
          <w:szCs w:val="28"/>
        </w:rPr>
        <w:t>300</w:t>
      </w:r>
      <w:r w:rsidRPr="00C77E77">
        <w:rPr>
          <w:rFonts w:ascii="Times New Roman" w:eastAsia="標楷體" w:hAnsi="Times New Roman" w:cs="Times New Roman"/>
          <w:sz w:val="28"/>
          <w:szCs w:val="28"/>
        </w:rPr>
        <w:t>億美元，未來</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年的複合成長率為</w:t>
      </w:r>
      <w:r w:rsidRPr="00C77E77">
        <w:rPr>
          <w:rFonts w:ascii="Times New Roman" w:eastAsia="標楷體" w:hAnsi="Times New Roman" w:cs="Times New Roman"/>
          <w:sz w:val="28"/>
          <w:szCs w:val="28"/>
        </w:rPr>
        <w:t>60</w:t>
      </w:r>
      <w:r w:rsidRPr="00C77E77">
        <w:rPr>
          <w:rFonts w:ascii="Times New Roman" w:eastAsia="標楷體" w:hAnsi="Times New Roman" w:cs="Times New Roman"/>
          <w:sz w:val="28"/>
          <w:szCs w:val="28"/>
        </w:rPr>
        <w:t>％。其中，以「健康及醫療雲端平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」與「智慧醫材」最具商機，前者</w:t>
      </w:r>
      <w:r w:rsidRPr="00C77E77">
        <w:rPr>
          <w:rFonts w:ascii="Times New Roman" w:eastAsia="標楷體" w:hAnsi="Times New Roman" w:cs="Times New Roman"/>
          <w:sz w:val="28"/>
          <w:szCs w:val="28"/>
        </w:rPr>
        <w:t xml:space="preserve"> 2016</w:t>
      </w:r>
      <w:r w:rsidRPr="00C77E77">
        <w:rPr>
          <w:rFonts w:ascii="Times New Roman" w:eastAsia="標楷體" w:hAnsi="Times New Roman" w:cs="Times New Roman"/>
          <w:sz w:val="28"/>
          <w:szCs w:val="28"/>
        </w:rPr>
        <w:t>年產值預估超過</w:t>
      </w:r>
      <w:r w:rsidRPr="00C77E77">
        <w:rPr>
          <w:rFonts w:ascii="Times New Roman" w:eastAsia="標楷體" w:hAnsi="Times New Roman" w:cs="Times New Roman"/>
          <w:sz w:val="28"/>
          <w:szCs w:val="28"/>
        </w:rPr>
        <w:t>70</w:t>
      </w:r>
      <w:r w:rsidRPr="00C77E77">
        <w:rPr>
          <w:rFonts w:ascii="Times New Roman" w:eastAsia="標楷體" w:hAnsi="Times New Roman" w:cs="Times New Roman"/>
          <w:sz w:val="28"/>
          <w:szCs w:val="28"/>
        </w:rPr>
        <w:t>億美元（約新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2,100</w:t>
      </w:r>
      <w:r w:rsidRPr="00C77E77">
        <w:rPr>
          <w:rFonts w:ascii="Times New Roman" w:eastAsia="標楷體" w:hAnsi="Times New Roman" w:cs="Times New Roman"/>
          <w:sz w:val="28"/>
          <w:szCs w:val="28"/>
        </w:rPr>
        <w:t>億元），後者</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年產值預估達</w:t>
      </w:r>
      <w:r w:rsidRPr="00C77E77">
        <w:rPr>
          <w:rFonts w:ascii="Times New Roman" w:eastAsia="標楷體" w:hAnsi="Times New Roman" w:cs="Times New Roman"/>
          <w:sz w:val="28"/>
          <w:szCs w:val="28"/>
        </w:rPr>
        <w:t>65</w:t>
      </w:r>
      <w:r w:rsidRPr="00C77E77">
        <w:rPr>
          <w:rFonts w:ascii="Times New Roman" w:eastAsia="標楷體" w:hAnsi="Times New Roman" w:cs="Times New Roman"/>
          <w:sz w:val="28"/>
          <w:szCs w:val="28"/>
        </w:rPr>
        <w:t>億美元（約新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2000</w:t>
      </w:r>
      <w:r w:rsidRPr="00C77E77">
        <w:rPr>
          <w:rFonts w:ascii="Times New Roman" w:eastAsia="標楷體" w:hAnsi="Times New Roman" w:cs="Times New Roman"/>
          <w:sz w:val="28"/>
          <w:szCs w:val="28"/>
        </w:rPr>
        <w:t>億元）。</w:t>
      </w:r>
      <w:r w:rsidRPr="00C77E77">
        <w:rPr>
          <w:rStyle w:val="a9"/>
          <w:rFonts w:ascii="Times New Roman" w:eastAsia="標楷體" w:hAnsi="Times New Roman" w:cs="Times New Roman"/>
          <w:sz w:val="28"/>
          <w:szCs w:val="28"/>
        </w:rPr>
        <w:footnoteReference w:id="81"/>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針對「智慧醫材」商機，臺灣長期耕耘醫療器材產業，已打下之厚實基礎且表現不俗，</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年營業額為</w:t>
      </w:r>
      <w:r w:rsidRPr="00C77E77">
        <w:rPr>
          <w:rFonts w:ascii="Times New Roman" w:eastAsia="標楷體" w:hAnsi="Times New Roman" w:cs="Times New Roman"/>
          <w:sz w:val="28"/>
          <w:szCs w:val="28"/>
        </w:rPr>
        <w:t>943</w:t>
      </w:r>
      <w:r w:rsidRPr="00C77E77">
        <w:rPr>
          <w:rFonts w:ascii="Times New Roman" w:eastAsia="標楷體" w:hAnsi="Times New Roman" w:cs="Times New Roman"/>
          <w:sz w:val="28"/>
          <w:szCs w:val="28"/>
        </w:rPr>
        <w:t>億元新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864</w:t>
      </w:r>
      <w:r w:rsidRPr="00C77E77">
        <w:rPr>
          <w:rFonts w:ascii="Times New Roman" w:eastAsia="標楷體" w:hAnsi="Times New Roman" w:cs="Times New Roman"/>
          <w:sz w:val="28"/>
          <w:szCs w:val="28"/>
        </w:rPr>
        <w:t>億元新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幣成長</w:t>
      </w:r>
      <w:r w:rsidRPr="00C77E77">
        <w:rPr>
          <w:rFonts w:ascii="Times New Roman" w:eastAsia="標楷體" w:hAnsi="Times New Roman" w:cs="Times New Roman"/>
          <w:sz w:val="28"/>
          <w:szCs w:val="28"/>
        </w:rPr>
        <w:t>9.1%</w:t>
      </w:r>
      <w:r w:rsidRPr="00C77E77">
        <w:rPr>
          <w:rFonts w:ascii="Times New Roman" w:eastAsia="標楷體" w:hAnsi="Times New Roman" w:cs="Times New Roman"/>
          <w:sz w:val="28"/>
          <w:szCs w:val="28"/>
        </w:rPr>
        <w:t>。我國四大類醫療器材</w:t>
      </w:r>
      <w:r w:rsidRPr="00C77E77">
        <w:rPr>
          <w:rStyle w:val="a9"/>
          <w:rFonts w:ascii="Times New Roman" w:eastAsia="標楷體" w:hAnsi="Times New Roman" w:cs="Times New Roman"/>
          <w:sz w:val="28"/>
          <w:szCs w:val="28"/>
        </w:rPr>
        <w:footnoteReference w:id="82"/>
      </w:r>
      <w:r w:rsidRPr="00C77E77">
        <w:rPr>
          <w:rFonts w:ascii="Times New Roman" w:eastAsia="標楷體" w:hAnsi="Times New Roman" w:cs="Times New Roman"/>
          <w:sz w:val="28"/>
          <w:szCs w:val="28"/>
        </w:rPr>
        <w:t>中，「診斷與監測用醫療器材」及「輔助與修補用醫療器材」可望結合「智慧健康照護產業」趨勢、迎向「智慧醫</w:t>
      </w:r>
      <w:r w:rsidRPr="00C77E77">
        <w:rPr>
          <w:rFonts w:ascii="Times New Roman" w:eastAsia="標楷體" w:hAnsi="Times New Roman" w:cs="Times New Roman"/>
          <w:sz w:val="28"/>
          <w:szCs w:val="28"/>
        </w:rPr>
        <w:lastRenderedPageBreak/>
        <w:t>材」商機</w:t>
      </w:r>
      <w:r w:rsidRPr="00C77E77">
        <w:rPr>
          <w:rFonts w:ascii="Times New Roman" w:eastAsia="新細明體" w:hAnsi="Times New Roman" w:cs="Times New Roman"/>
          <w:sz w:val="28"/>
          <w:szCs w:val="28"/>
        </w:rPr>
        <w:t>。</w:t>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目前臺灣主要在「診斷與監測用醫療器材」領域切入「智慧健康照護產業」，其中又以進入門檻較低的生理檢測器材（多屬居家醫療器材</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為大宗，近年來臺灣生理監測器材廠商如</w:t>
      </w:r>
      <w:r w:rsidRPr="00C77E77">
        <w:rPr>
          <w:rFonts w:ascii="Times New Roman" w:eastAsia="標楷體" w:hAnsi="Times New Roman" w:cs="Times New Roman"/>
          <w:sz w:val="28"/>
          <w:szCs w:val="28"/>
        </w:rPr>
        <w:t>Microlife</w:t>
      </w:r>
      <w:r w:rsidRPr="00C77E77">
        <w:rPr>
          <w:rFonts w:ascii="Times New Roman" w:eastAsia="標楷體" w:hAnsi="Times New Roman" w:cs="Times New Roman"/>
          <w:sz w:val="28"/>
          <w:szCs w:val="28"/>
        </w:rPr>
        <w:t>及</w:t>
      </w:r>
      <w:r w:rsidRPr="00C77E77">
        <w:rPr>
          <w:rFonts w:ascii="Times New Roman" w:eastAsia="標楷體" w:hAnsi="Times New Roman" w:cs="Times New Roman"/>
          <w:sz w:val="28"/>
          <w:szCs w:val="28"/>
        </w:rPr>
        <w:t>Rossmax</w:t>
      </w:r>
      <w:r w:rsidRPr="00C77E77">
        <w:rPr>
          <w:rFonts w:ascii="Times New Roman" w:eastAsia="標楷體" w:hAnsi="Times New Roman" w:cs="Times New Roman"/>
          <w:sz w:val="28"/>
          <w:szCs w:val="28"/>
        </w:rPr>
        <w:t>等陸續在國際市場嶄露頭角，為臺灣最具能量的「診斷與監測用醫療器材」之一；另一方面，生理監測裝置及醫學影像裝置因進入門檻甚高，臺灣較少或較晚投入相關產品開發，目前仍仰賴進口，尤以醫學影像裝置（電腦斷層攝影器具及超音波掃描器具等</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之進口依賴度最高。</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年臺灣「診斷與監測用醫療器材」出口總值為</w:t>
      </w:r>
      <w:r w:rsidRPr="00C77E77">
        <w:rPr>
          <w:rFonts w:ascii="Times New Roman" w:eastAsia="標楷體" w:hAnsi="Times New Roman" w:cs="Times New Roman"/>
          <w:sz w:val="28"/>
          <w:szCs w:val="28"/>
        </w:rPr>
        <w:t>6.5</w:t>
      </w:r>
      <w:r w:rsidRPr="00C77E77">
        <w:rPr>
          <w:rFonts w:ascii="Times New Roman" w:eastAsia="標楷體" w:hAnsi="Times New Roman" w:cs="Times New Roman"/>
          <w:sz w:val="28"/>
          <w:szCs w:val="28"/>
        </w:rPr>
        <w:t>億元新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年成長</w:t>
      </w:r>
      <w:r w:rsidRPr="00C77E77">
        <w:rPr>
          <w:rFonts w:ascii="Times New Roman" w:eastAsia="標楷體" w:hAnsi="Times New Roman" w:cs="Times New Roman"/>
          <w:sz w:val="28"/>
          <w:szCs w:val="28"/>
        </w:rPr>
        <w:t>36.4</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，自</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年之間平均年成長率為</w:t>
      </w:r>
      <w:r w:rsidRPr="00C77E77">
        <w:rPr>
          <w:rFonts w:ascii="Times New Roman" w:eastAsia="標楷體" w:hAnsi="Times New Roman" w:cs="Times New Roman"/>
          <w:sz w:val="28"/>
          <w:szCs w:val="28"/>
        </w:rPr>
        <w:t>1</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年臺灣「診斷與監測用醫療器材」進口總值為</w:t>
      </w:r>
      <w:r w:rsidRPr="00C77E77">
        <w:rPr>
          <w:rFonts w:ascii="Times New Roman" w:eastAsia="標楷體" w:hAnsi="Times New Roman" w:cs="Times New Roman"/>
          <w:sz w:val="28"/>
          <w:szCs w:val="28"/>
        </w:rPr>
        <w:t>60</w:t>
      </w:r>
      <w:r w:rsidRPr="00C77E77">
        <w:rPr>
          <w:rFonts w:ascii="Times New Roman" w:eastAsia="標楷體" w:hAnsi="Times New Roman" w:cs="Times New Roman"/>
          <w:sz w:val="28"/>
          <w:szCs w:val="28"/>
        </w:rPr>
        <w:t>億元新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年成長</w:t>
      </w:r>
      <w:r w:rsidRPr="00C77E77">
        <w:rPr>
          <w:rFonts w:ascii="Times New Roman" w:eastAsia="標楷體" w:hAnsi="Times New Roman" w:cs="Times New Roman"/>
          <w:sz w:val="28"/>
          <w:szCs w:val="28"/>
        </w:rPr>
        <w:t>17.4</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，自</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年之間平均年成長率為</w:t>
      </w:r>
      <w:r w:rsidRPr="00C77E77">
        <w:rPr>
          <w:rFonts w:ascii="Times New Roman" w:eastAsia="標楷體" w:hAnsi="Times New Roman" w:cs="Times New Roman"/>
          <w:sz w:val="28"/>
          <w:szCs w:val="28"/>
        </w:rPr>
        <w:t>3</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w:t>
      </w:r>
    </w:p>
    <w:p w:rsidR="0024359D"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臺灣「生理檢測器材」發展相對較成熟，惟此類產品技術門檻低且終端消費者為一般民眾，且中國大陸居家醫材廠商採取低價策略切入市場，近年來生產線大多已轉移至中國大陸，我國「生理檢測器材」出口值呈現下滑趨勢；另一方面，「生理監測裝置」及「醫學影像裝置」受惠於我國經濟部推動高階影像計畫，以及全球人口高齡化趨勢與心血管疾病比率攀升帶來遠距醫療照護需求，</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年出口總值大幅提高，尤以「生理監測裝置」之居家用心電圖計最為顯著，自</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780</w:t>
      </w:r>
      <w:r w:rsidRPr="00C77E77">
        <w:rPr>
          <w:rFonts w:ascii="Times New Roman" w:eastAsia="標楷體" w:hAnsi="Times New Roman" w:cs="Times New Roman"/>
          <w:sz w:val="28"/>
          <w:szCs w:val="28"/>
        </w:rPr>
        <w:t>萬元新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幣大幅增加至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4,450</w:t>
      </w:r>
      <w:r w:rsidRPr="00C77E77">
        <w:rPr>
          <w:rFonts w:ascii="Times New Roman" w:eastAsia="標楷體" w:hAnsi="Times New Roman" w:cs="Times New Roman"/>
          <w:sz w:val="28"/>
          <w:szCs w:val="28"/>
        </w:rPr>
        <w:t>萬元新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幣，其中出口至中國大陸金額達</w:t>
      </w:r>
      <w:r w:rsidRPr="00C77E77">
        <w:rPr>
          <w:rFonts w:ascii="Times New Roman" w:eastAsia="標楷體" w:hAnsi="Times New Roman" w:cs="Times New Roman"/>
          <w:sz w:val="28"/>
          <w:szCs w:val="28"/>
        </w:rPr>
        <w:t>2,600</w:t>
      </w:r>
      <w:r w:rsidRPr="00C77E77">
        <w:rPr>
          <w:rFonts w:ascii="Times New Roman" w:eastAsia="標楷體" w:hAnsi="Times New Roman" w:cs="Times New Roman"/>
          <w:sz w:val="28"/>
          <w:szCs w:val="28"/>
        </w:rPr>
        <w:t>萬元新臺幣。</w:t>
      </w:r>
    </w:p>
    <w:p w:rsidR="0024359D" w:rsidRPr="00C77E77" w:rsidRDefault="0024359D" w:rsidP="00B93211">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生理監測裝置」之居家用心電圖計雖然帶動我國「診斷與監測用醫療器材」出口成長，然而目前關鍵技術仍掌握在國際大廠手中，我國廠商大多進口關鍵元件，進行組裝及後端軟體分析處理再出口銷售。另一方面，「生理檢測器材」之電子血壓計已逐漸拉開與中國大陸之產品差異化及市場區隔，除了致力於開發高階功能血壓計外，更掌握智慧健康潮流，於產品中加入無線通訊裝置，透過雲端運算與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服務，建構全方位居家健康照護解決方案</w:t>
      </w:r>
      <w:r w:rsidRPr="00C77E77">
        <w:rPr>
          <w:rFonts w:ascii="Times New Roman" w:eastAsia="標楷體" w:hAnsi="Times New Roman" w:cs="Times New Roman"/>
          <w:sz w:val="28"/>
          <w:szCs w:val="28"/>
        </w:rPr>
        <w:lastRenderedPageBreak/>
        <w:t>並提供健康管理服務。</w:t>
      </w:r>
    </w:p>
    <w:p w:rsidR="00B16F81" w:rsidRPr="00C77E77" w:rsidRDefault="0024359D" w:rsidP="0024359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惟，我國醫療器材出口規模占世界比重仍偏低。以電子血壓計為例，</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年僅占全球出口市場之</w:t>
      </w:r>
      <w:r w:rsidRPr="00C77E77">
        <w:rPr>
          <w:rFonts w:ascii="Times New Roman" w:eastAsia="標楷體" w:hAnsi="Times New Roman" w:cs="Times New Roman"/>
          <w:sz w:val="28"/>
          <w:szCs w:val="28"/>
        </w:rPr>
        <w:t>0.4</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；相較之下，作為世界生產基地之中國大陸，其出口規模占世界比重高達</w:t>
      </w:r>
      <w:r w:rsidRPr="00C77E77">
        <w:rPr>
          <w:rFonts w:ascii="Times New Roman" w:eastAsia="標楷體" w:hAnsi="Times New Roman" w:cs="Times New Roman"/>
          <w:sz w:val="28"/>
          <w:szCs w:val="28"/>
        </w:rPr>
        <w:t>46.2</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，超越德國（</w:t>
      </w:r>
      <w:r w:rsidRPr="00C77E77">
        <w:rPr>
          <w:rFonts w:ascii="Times New Roman" w:eastAsia="標楷體" w:hAnsi="Times New Roman" w:cs="Times New Roman"/>
          <w:sz w:val="28"/>
          <w:szCs w:val="28"/>
        </w:rPr>
        <w:t>13.5</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及美國（</w:t>
      </w:r>
      <w:r w:rsidRPr="00C77E77">
        <w:rPr>
          <w:rFonts w:ascii="Times New Roman" w:eastAsia="標楷體" w:hAnsi="Times New Roman" w:cs="Times New Roman"/>
          <w:sz w:val="28"/>
          <w:szCs w:val="28"/>
        </w:rPr>
        <w:t>9.7</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p>
    <w:p w:rsidR="0024359D" w:rsidRPr="00C77E77" w:rsidRDefault="0024359D" w:rsidP="0024359D">
      <w:pPr>
        <w:pStyle w:val="af9"/>
        <w:rPr>
          <w:color w:val="FF0000"/>
        </w:rPr>
      </w:pPr>
      <w:bookmarkStart w:id="109" w:name="_Toc470676599"/>
      <w:r w:rsidRPr="00C77E77">
        <w:t>表</w:t>
      </w:r>
      <w:r w:rsidRPr="00C77E77">
        <w:t>3-4-3</w:t>
      </w:r>
      <w:r w:rsidR="00CA3E98" w:rsidRPr="00C77E77">
        <w:t xml:space="preserve"> </w:t>
      </w:r>
      <w:r w:rsidRPr="00C77E77">
        <w:t>我國智慧醫材進出口趨勢</w:t>
      </w:r>
      <w:r w:rsidRPr="00C77E77">
        <w:t>-</w:t>
      </w:r>
      <w:r w:rsidRPr="00C77E77">
        <w:t>診斷與監測用醫材</w:t>
      </w:r>
      <w:bookmarkEnd w:id="109"/>
    </w:p>
    <w:p w:rsidR="0024359D" w:rsidRPr="00C77E77" w:rsidRDefault="0024359D" w:rsidP="0024359D">
      <w:pPr>
        <w:spacing w:beforeLines="50" w:before="180" w:afterLines="50" w:after="180" w:line="500" w:lineRule="exact"/>
        <w:jc w:val="right"/>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單位</w:t>
      </w:r>
      <w:r w:rsidRPr="00C77E77">
        <w:rPr>
          <w:rFonts w:ascii="Times New Roman" w:eastAsia="標楷體" w:hAnsi="Times New Roman" w:cs="Times New Roman"/>
          <w:color w:val="000000" w:themeColor="text1"/>
          <w:sz w:val="28"/>
          <w:szCs w:val="28"/>
        </w:rPr>
        <w:t xml:space="preserve">: </w:t>
      </w:r>
      <w:r w:rsidRPr="00C77E77">
        <w:rPr>
          <w:rFonts w:ascii="Times New Roman" w:eastAsia="標楷體" w:hAnsi="Times New Roman" w:cs="Times New Roman"/>
          <w:color w:val="000000" w:themeColor="text1"/>
          <w:sz w:val="28"/>
          <w:szCs w:val="28"/>
        </w:rPr>
        <w:t>百萬元新</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幣</w:t>
      </w:r>
    </w:p>
    <w:tbl>
      <w:tblPr>
        <w:tblStyle w:val="af4"/>
        <w:tblW w:w="0" w:type="auto"/>
        <w:tblLook w:val="04A0" w:firstRow="1" w:lastRow="0" w:firstColumn="1" w:lastColumn="0" w:noHBand="0" w:noVBand="1"/>
      </w:tblPr>
      <w:tblGrid>
        <w:gridCol w:w="817"/>
        <w:gridCol w:w="1134"/>
        <w:gridCol w:w="1134"/>
        <w:gridCol w:w="1033"/>
        <w:gridCol w:w="1030"/>
        <w:gridCol w:w="1030"/>
        <w:gridCol w:w="1030"/>
        <w:gridCol w:w="1030"/>
        <w:gridCol w:w="1030"/>
      </w:tblGrid>
      <w:tr w:rsidR="0024359D" w:rsidRPr="00C77E77" w:rsidTr="00FE0CDD">
        <w:tc>
          <w:tcPr>
            <w:tcW w:w="817" w:type="dxa"/>
            <w:vMerge w:val="restart"/>
          </w:tcPr>
          <w:p w:rsidR="0024359D" w:rsidRPr="00C77E77" w:rsidRDefault="0024359D" w:rsidP="0024359D">
            <w:pPr>
              <w:spacing w:line="500" w:lineRule="exact"/>
              <w:contextualSpacing/>
              <w:jc w:val="center"/>
              <w:rPr>
                <w:rFonts w:ascii="Times New Roman" w:eastAsia="標楷體" w:hAnsi="Times New Roman" w:cs="Times New Roman"/>
                <w:szCs w:val="24"/>
              </w:rPr>
            </w:pPr>
          </w:p>
        </w:tc>
        <w:tc>
          <w:tcPr>
            <w:tcW w:w="2268" w:type="dxa"/>
            <w:gridSpan w:val="2"/>
            <w:vMerge w:val="restart"/>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診斷與監測用醫療器材</w:t>
            </w:r>
            <w:r w:rsidR="00C5509E" w:rsidRPr="00C77E77">
              <w:rPr>
                <w:rFonts w:ascii="Times New Roman" w:eastAsia="標楷體" w:hAnsi="Times New Roman" w:cs="Times New Roman"/>
                <w:szCs w:val="24"/>
              </w:rPr>
              <w:t>（</w:t>
            </w:r>
            <w:r w:rsidRPr="00C77E77">
              <w:rPr>
                <w:rFonts w:ascii="Times New Roman" w:eastAsia="標楷體" w:hAnsi="Times New Roman" w:cs="Times New Roman"/>
                <w:szCs w:val="24"/>
              </w:rPr>
              <w:t>總分類</w:t>
            </w:r>
            <w:r w:rsidR="00C5509E" w:rsidRPr="00C77E77">
              <w:rPr>
                <w:rFonts w:ascii="Times New Roman" w:eastAsia="標楷體" w:hAnsi="Times New Roman" w:cs="Times New Roman"/>
                <w:szCs w:val="24"/>
              </w:rPr>
              <w:t>）</w:t>
            </w:r>
          </w:p>
        </w:tc>
        <w:tc>
          <w:tcPr>
            <w:tcW w:w="6183" w:type="dxa"/>
            <w:gridSpan w:val="6"/>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診斷與監測用醫療器材</w:t>
            </w:r>
            <w:r w:rsidR="00C5509E" w:rsidRPr="00C77E77">
              <w:rPr>
                <w:rFonts w:ascii="Times New Roman" w:eastAsia="標楷體" w:hAnsi="Times New Roman" w:cs="Times New Roman"/>
                <w:szCs w:val="24"/>
              </w:rPr>
              <w:t>（</w:t>
            </w:r>
            <w:r w:rsidRPr="00C77E77">
              <w:rPr>
                <w:rFonts w:ascii="Times New Roman" w:eastAsia="標楷體" w:hAnsi="Times New Roman" w:cs="Times New Roman"/>
                <w:szCs w:val="24"/>
              </w:rPr>
              <w:t>次分類</w:t>
            </w:r>
            <w:r w:rsidR="00C5509E" w:rsidRPr="00C77E77">
              <w:rPr>
                <w:rFonts w:ascii="Times New Roman" w:eastAsia="標楷體" w:hAnsi="Times New Roman" w:cs="Times New Roman"/>
                <w:szCs w:val="24"/>
              </w:rPr>
              <w:t>）</w:t>
            </w:r>
          </w:p>
        </w:tc>
      </w:tr>
      <w:tr w:rsidR="0024359D" w:rsidRPr="00C77E77" w:rsidTr="00FE0CDD">
        <w:tc>
          <w:tcPr>
            <w:tcW w:w="817" w:type="dxa"/>
            <w:vMerge/>
          </w:tcPr>
          <w:p w:rsidR="0024359D" w:rsidRPr="00C77E77" w:rsidRDefault="0024359D" w:rsidP="0024359D">
            <w:pPr>
              <w:spacing w:line="500" w:lineRule="exact"/>
              <w:contextualSpacing/>
              <w:jc w:val="center"/>
              <w:rPr>
                <w:rFonts w:ascii="Times New Roman" w:eastAsia="標楷體" w:hAnsi="Times New Roman" w:cs="Times New Roman"/>
                <w:szCs w:val="24"/>
              </w:rPr>
            </w:pPr>
          </w:p>
        </w:tc>
        <w:tc>
          <w:tcPr>
            <w:tcW w:w="2268" w:type="dxa"/>
            <w:gridSpan w:val="2"/>
            <w:vMerge/>
          </w:tcPr>
          <w:p w:rsidR="0024359D" w:rsidRPr="00C77E77" w:rsidRDefault="0024359D" w:rsidP="0024359D">
            <w:pPr>
              <w:spacing w:line="500" w:lineRule="exact"/>
              <w:contextualSpacing/>
              <w:jc w:val="center"/>
              <w:rPr>
                <w:rFonts w:ascii="Times New Roman" w:eastAsia="標楷體" w:hAnsi="Times New Roman" w:cs="Times New Roman"/>
                <w:szCs w:val="24"/>
              </w:rPr>
            </w:pPr>
          </w:p>
        </w:tc>
        <w:tc>
          <w:tcPr>
            <w:tcW w:w="2063" w:type="dxa"/>
            <w:gridSpan w:val="2"/>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生理檢測器材</w:t>
            </w:r>
          </w:p>
        </w:tc>
        <w:tc>
          <w:tcPr>
            <w:tcW w:w="2060" w:type="dxa"/>
            <w:gridSpan w:val="2"/>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生理監測裝置</w:t>
            </w:r>
          </w:p>
        </w:tc>
        <w:tc>
          <w:tcPr>
            <w:tcW w:w="2060" w:type="dxa"/>
            <w:gridSpan w:val="2"/>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醫學影像裝置</w:t>
            </w:r>
          </w:p>
        </w:tc>
      </w:tr>
      <w:tr w:rsidR="0024359D" w:rsidRPr="00C77E77" w:rsidTr="00FE0CDD">
        <w:tc>
          <w:tcPr>
            <w:tcW w:w="817" w:type="dxa"/>
            <w:vMerge/>
          </w:tcPr>
          <w:p w:rsidR="0024359D" w:rsidRPr="00C77E77" w:rsidRDefault="0024359D" w:rsidP="0024359D">
            <w:pPr>
              <w:spacing w:line="500" w:lineRule="exact"/>
              <w:contextualSpacing/>
              <w:jc w:val="center"/>
              <w:rPr>
                <w:rFonts w:ascii="Times New Roman" w:eastAsia="標楷體" w:hAnsi="Times New Roman" w:cs="Times New Roman"/>
                <w:szCs w:val="24"/>
              </w:rPr>
            </w:pP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進口值</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出口值</w:t>
            </w:r>
          </w:p>
        </w:tc>
        <w:tc>
          <w:tcPr>
            <w:tcW w:w="1033"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進口值</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出口值</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進口值</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出口值</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進口值</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出口值</w:t>
            </w:r>
          </w:p>
        </w:tc>
      </w:tr>
      <w:tr w:rsidR="0024359D" w:rsidRPr="00C77E77" w:rsidTr="00FE0CDD">
        <w:tc>
          <w:tcPr>
            <w:tcW w:w="817"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2011</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4,896</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598</w:t>
            </w:r>
          </w:p>
        </w:tc>
        <w:tc>
          <w:tcPr>
            <w:tcW w:w="1033"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467</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274</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688</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51</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3,740</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272</w:t>
            </w:r>
          </w:p>
        </w:tc>
      </w:tr>
      <w:tr w:rsidR="0024359D" w:rsidRPr="00C77E77" w:rsidTr="00FE0CDD">
        <w:tc>
          <w:tcPr>
            <w:tcW w:w="817"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2012</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4,935</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800</w:t>
            </w:r>
          </w:p>
        </w:tc>
        <w:tc>
          <w:tcPr>
            <w:tcW w:w="1033"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542</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310</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563</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75</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3,829</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415</w:t>
            </w:r>
          </w:p>
        </w:tc>
      </w:tr>
      <w:tr w:rsidR="0024359D" w:rsidRPr="00C77E77" w:rsidTr="00FE0CDD">
        <w:tc>
          <w:tcPr>
            <w:tcW w:w="817"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2013</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4,781</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549</w:t>
            </w:r>
          </w:p>
        </w:tc>
        <w:tc>
          <w:tcPr>
            <w:tcW w:w="1033"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574</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282</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752</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76</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3,455</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191</w:t>
            </w:r>
          </w:p>
        </w:tc>
      </w:tr>
      <w:tr w:rsidR="0024359D" w:rsidRPr="00C77E77" w:rsidTr="00FE0CDD">
        <w:tc>
          <w:tcPr>
            <w:tcW w:w="817"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2014</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5,111</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478</w:t>
            </w:r>
          </w:p>
        </w:tc>
        <w:tc>
          <w:tcPr>
            <w:tcW w:w="1033"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596</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237</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881</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62</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3,635</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179</w:t>
            </w:r>
          </w:p>
        </w:tc>
      </w:tr>
      <w:tr w:rsidR="0024359D" w:rsidRPr="00C77E77" w:rsidTr="00FE0CDD">
        <w:tc>
          <w:tcPr>
            <w:tcW w:w="817"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2015</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5,998</w:t>
            </w:r>
          </w:p>
        </w:tc>
        <w:tc>
          <w:tcPr>
            <w:tcW w:w="1134"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652</w:t>
            </w:r>
          </w:p>
        </w:tc>
        <w:tc>
          <w:tcPr>
            <w:tcW w:w="1033"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651</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253</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955</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119</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4,392</w:t>
            </w:r>
          </w:p>
        </w:tc>
        <w:tc>
          <w:tcPr>
            <w:tcW w:w="1030" w:type="dxa"/>
          </w:tcPr>
          <w:p w:rsidR="0024359D" w:rsidRPr="00C77E77" w:rsidRDefault="0024359D" w:rsidP="0024359D">
            <w:pPr>
              <w:spacing w:line="500" w:lineRule="exact"/>
              <w:contextualSpacing/>
              <w:jc w:val="center"/>
              <w:rPr>
                <w:rFonts w:ascii="Times New Roman" w:eastAsia="標楷體" w:hAnsi="Times New Roman" w:cs="Times New Roman"/>
                <w:szCs w:val="24"/>
              </w:rPr>
            </w:pPr>
            <w:r w:rsidRPr="00C77E77">
              <w:rPr>
                <w:rFonts w:ascii="Times New Roman" w:eastAsia="標楷體" w:hAnsi="Times New Roman" w:cs="Times New Roman"/>
                <w:szCs w:val="24"/>
              </w:rPr>
              <w:t>280</w:t>
            </w:r>
          </w:p>
        </w:tc>
      </w:tr>
    </w:tbl>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中華民國海關進出口統計資料、工研院</w:t>
      </w:r>
      <w:r w:rsidRPr="00C77E77">
        <w:rPr>
          <w:rFonts w:ascii="Times New Roman" w:eastAsia="標楷體" w:hAnsi="Times New Roman" w:cs="Times New Roman"/>
          <w:sz w:val="28"/>
          <w:szCs w:val="28"/>
        </w:rPr>
        <w:t>IEK</w:t>
      </w:r>
      <w:r w:rsidRPr="00C77E77">
        <w:rPr>
          <w:rFonts w:ascii="Times New Roman" w:eastAsia="標楷體" w:hAnsi="Times New Roman" w:cs="Times New Roman"/>
          <w:sz w:val="28"/>
          <w:szCs w:val="28"/>
        </w:rPr>
        <w:t>；本研究整理。</w:t>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展望未來，相關業者諸如行動裝置與營運商、醫療器材廠商、資訊服務與軟體廠商、醫療院所等若欲及早佈局，應注意四大發展動向，即掌握醫療資訊、掌握產業脈動、掌握行動服務、掌握新興市場。</w:t>
      </w:r>
    </w:p>
    <w:p w:rsidR="00FE0CD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首先，掌握醫療資訊：即透過健康資料加值將不可識別、群組化的健康保險申報資料轉化有價值的知識，如疾病趨勢、就醫行為、醫療資源運用情形等。我國行政院衛生福利部已串連其他政府單位建立</w:t>
      </w:r>
      <w:r w:rsidRPr="00C77E77">
        <w:rPr>
          <w:rFonts w:ascii="Times New Roman" w:eastAsia="標楷體" w:hAnsi="Times New Roman" w:cs="Times New Roman"/>
          <w:sz w:val="28"/>
          <w:szCs w:val="28"/>
        </w:rPr>
        <w:t>53</w:t>
      </w:r>
      <w:r w:rsidRPr="00C77E77">
        <w:rPr>
          <w:rFonts w:ascii="Times New Roman" w:eastAsia="標楷體" w:hAnsi="Times New Roman" w:cs="Times New Roman"/>
          <w:sz w:val="28"/>
          <w:szCs w:val="28"/>
        </w:rPr>
        <w:t>個與智慧醫療相關資料庫，除了健保申報檔案之外，也包含癌症登記、死因統計、健康行為、罕見疾病、醫療院所評鑑等級等，供各界參考。另外，藥學相關產業、保險業者與資通訊業者等，也可經由掌握醫療資訊來發掘潛在商機。如工研院輔導成立之臺醫光電，其新新研發之</w:t>
      </w:r>
      <w:r w:rsidRPr="00C77E77">
        <w:rPr>
          <w:rFonts w:ascii="Times New Roman" w:eastAsia="新細明體" w:hAnsi="Times New Roman" w:cs="Times New Roman"/>
          <w:sz w:val="28"/>
          <w:szCs w:val="28"/>
        </w:rPr>
        <w:t>「</w:t>
      </w:r>
      <w:r w:rsidRPr="00C77E77">
        <w:rPr>
          <w:rFonts w:ascii="Times New Roman" w:eastAsia="標楷體" w:hAnsi="Times New Roman" w:cs="Times New Roman"/>
          <w:sz w:val="28"/>
          <w:szCs w:val="28"/>
        </w:rPr>
        <w:t>穿戴式心跳血氧監測」裝置，即是微小</w:t>
      </w:r>
      <w:r w:rsidRPr="00C77E77">
        <w:rPr>
          <w:rFonts w:ascii="Times New Roman" w:eastAsia="標楷體" w:hAnsi="Times New Roman" w:cs="Times New Roman"/>
          <w:sz w:val="28"/>
          <w:szCs w:val="28"/>
        </w:rPr>
        <w:lastRenderedPageBreak/>
        <w:t>化血氧測量設備，可隨時隨意進行血氧測量，改善自我保健管理與醫療照護服務機制，已取得獨家專利。</w:t>
      </w:r>
    </w:p>
    <w:p w:rsidR="0024359D" w:rsidRPr="00C77E77" w:rsidRDefault="0024359D" w:rsidP="0024359D">
      <w:pPr>
        <w:pStyle w:val="af9"/>
      </w:pPr>
      <w:bookmarkStart w:id="110" w:name="_Toc458184953"/>
      <w:bookmarkStart w:id="111" w:name="_Toc470676600"/>
      <w:r w:rsidRPr="00C77E77">
        <w:t>表</w:t>
      </w:r>
      <w:r w:rsidRPr="00C77E77">
        <w:t>3-4-</w:t>
      </w:r>
      <w:r w:rsidR="00A12A6E" w:rsidRPr="00C77E77">
        <w:t>4</w:t>
      </w:r>
      <w:r w:rsidRPr="00C77E77">
        <w:t xml:space="preserve"> </w:t>
      </w:r>
      <w:r w:rsidRPr="00C77E77">
        <w:t>藥學、保險業、資通訊業之醫療資訊潛在商機</w:t>
      </w:r>
      <w:bookmarkEnd w:id="110"/>
      <w:bookmarkEnd w:id="111"/>
    </w:p>
    <w:tbl>
      <w:tblPr>
        <w:tblStyle w:val="af4"/>
        <w:tblW w:w="9209" w:type="dxa"/>
        <w:tblLook w:val="04A0" w:firstRow="1" w:lastRow="0" w:firstColumn="1" w:lastColumn="0" w:noHBand="0" w:noVBand="1"/>
      </w:tblPr>
      <w:tblGrid>
        <w:gridCol w:w="1668"/>
        <w:gridCol w:w="7541"/>
      </w:tblGrid>
      <w:tr w:rsidR="0024359D" w:rsidRPr="00C77E77" w:rsidTr="0024359D">
        <w:tc>
          <w:tcPr>
            <w:tcW w:w="1668" w:type="dxa"/>
            <w:shd w:val="clear" w:color="auto" w:fill="D9D9D9" w:themeFill="background1" w:themeFillShade="D9"/>
          </w:tcPr>
          <w:p w:rsidR="0024359D" w:rsidRPr="00C77E77" w:rsidRDefault="0024359D" w:rsidP="0024359D">
            <w:pPr>
              <w:spacing w:line="500" w:lineRule="exact"/>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產業</w:t>
            </w:r>
          </w:p>
        </w:tc>
        <w:tc>
          <w:tcPr>
            <w:tcW w:w="7541" w:type="dxa"/>
            <w:shd w:val="clear" w:color="auto" w:fill="D9D9D9" w:themeFill="background1" w:themeFillShade="D9"/>
          </w:tcPr>
          <w:p w:rsidR="0024359D" w:rsidRPr="00C77E77" w:rsidRDefault="0024359D" w:rsidP="0024359D">
            <w:pPr>
              <w:spacing w:line="500" w:lineRule="exact"/>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醫療資訊商機</w:t>
            </w:r>
          </w:p>
        </w:tc>
      </w:tr>
      <w:tr w:rsidR="0024359D" w:rsidRPr="00C77E77" w:rsidTr="0024359D">
        <w:tc>
          <w:tcPr>
            <w:tcW w:w="1668"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藥學產業</w:t>
            </w:r>
          </w:p>
        </w:tc>
        <w:tc>
          <w:tcPr>
            <w:tcW w:w="7541"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藥物危險訊號、藥物副作用、新藥擴散預測、藥物上市後相對效用與優勢比較、醫療處方用藥習慣研究</w:t>
            </w:r>
          </w:p>
        </w:tc>
      </w:tr>
      <w:tr w:rsidR="0024359D" w:rsidRPr="00C77E77" w:rsidTr="0024359D">
        <w:tc>
          <w:tcPr>
            <w:tcW w:w="1668"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保險業</w:t>
            </w:r>
          </w:p>
        </w:tc>
        <w:tc>
          <w:tcPr>
            <w:tcW w:w="7541"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癌症治療之成本效益分析、醫療健康風險計算服務</w:t>
            </w:r>
          </w:p>
        </w:tc>
      </w:tr>
      <w:tr w:rsidR="0024359D" w:rsidRPr="00C77E77" w:rsidTr="0024359D">
        <w:tc>
          <w:tcPr>
            <w:tcW w:w="1668"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資通訊產業</w:t>
            </w:r>
          </w:p>
        </w:tc>
        <w:tc>
          <w:tcPr>
            <w:tcW w:w="7541"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個人服務</w:t>
            </w:r>
            <w:r w:rsidRPr="00C77E77">
              <w:rPr>
                <w:rFonts w:ascii="Times New Roman" w:eastAsia="標楷體" w:hAnsi="Times New Roman" w:cs="Times New Roman"/>
                <w:sz w:val="28"/>
                <w:szCs w:val="28"/>
              </w:rPr>
              <w:t>App</w:t>
            </w:r>
            <w:r w:rsidRPr="00C77E77">
              <w:rPr>
                <w:rFonts w:ascii="Times New Roman" w:eastAsia="標楷體" w:hAnsi="Times New Roman" w:cs="Times New Roman"/>
                <w:sz w:val="28"/>
                <w:szCs w:val="28"/>
              </w:rPr>
              <w:t>軟體研發、網站服務、穿戴式行動設備</w:t>
            </w:r>
          </w:p>
        </w:tc>
      </w:tr>
    </w:tbl>
    <w:p w:rsidR="0024359D" w:rsidRPr="00C77E77" w:rsidRDefault="0024359D" w:rsidP="0024359D">
      <w:pPr>
        <w:spacing w:line="360" w:lineRule="auto"/>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電電時代第</w:t>
      </w:r>
      <w:r w:rsidRPr="00C77E77">
        <w:rPr>
          <w:rFonts w:ascii="Times New Roman" w:eastAsia="標楷體" w:hAnsi="Times New Roman" w:cs="Times New Roman"/>
          <w:sz w:val="28"/>
          <w:szCs w:val="28"/>
        </w:rPr>
        <w:t>72</w:t>
      </w:r>
      <w:r w:rsidRPr="00C77E77">
        <w:rPr>
          <w:rFonts w:ascii="Times New Roman" w:eastAsia="標楷體" w:hAnsi="Times New Roman" w:cs="Times New Roman"/>
          <w:sz w:val="28"/>
          <w:szCs w:val="28"/>
        </w:rPr>
        <w:t>期（</w:t>
      </w:r>
      <w:r w:rsidRPr="00C77E77">
        <w:rPr>
          <w:rFonts w:ascii="Times New Roman" w:eastAsia="標楷體" w:hAnsi="Times New Roman" w:cs="Times New Roman"/>
          <w:sz w:val="28"/>
          <w:szCs w:val="28"/>
        </w:rPr>
        <w:t>2013.12)</w:t>
      </w:r>
      <w:r w:rsidRPr="00C77E77">
        <w:rPr>
          <w:rFonts w:ascii="Times New Roman" w:eastAsia="標楷體" w:hAnsi="Times New Roman" w:cs="Times New Roman"/>
          <w:sz w:val="28"/>
          <w:szCs w:val="28"/>
        </w:rPr>
        <w:t>；本研究整理。</w:t>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第二，掌握產業脈動：即智慧醫療照護市場需求與日俱增。根據工研院</w:t>
      </w:r>
      <w:r w:rsidRPr="00C77E77">
        <w:rPr>
          <w:rFonts w:ascii="Times New Roman" w:eastAsia="標楷體" w:hAnsi="Times New Roman" w:cs="Times New Roman"/>
          <w:sz w:val="28"/>
          <w:szCs w:val="28"/>
        </w:rPr>
        <w:t>IEK</w:t>
      </w:r>
      <w:r w:rsidRPr="00C77E77">
        <w:rPr>
          <w:rFonts w:ascii="Times New Roman" w:eastAsia="標楷體" w:hAnsi="Times New Roman" w:cs="Times New Roman"/>
          <w:sz w:val="28"/>
          <w:szCs w:val="28"/>
        </w:rPr>
        <w:t>資料，全球遠距醫療服務發展自</w:t>
      </w:r>
      <w:r w:rsidRPr="00C77E77">
        <w:rPr>
          <w:rFonts w:ascii="Times New Roman" w:eastAsia="標楷體" w:hAnsi="Times New Roman" w:cs="Times New Roman"/>
          <w:sz w:val="28"/>
          <w:szCs w:val="28"/>
        </w:rPr>
        <w:t>2006</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8.5</w:t>
      </w:r>
      <w:r w:rsidRPr="00C77E77">
        <w:rPr>
          <w:rFonts w:ascii="Times New Roman" w:eastAsia="標楷體" w:hAnsi="Times New Roman" w:cs="Times New Roman"/>
          <w:sz w:val="28"/>
          <w:szCs w:val="28"/>
        </w:rPr>
        <w:t>億美元成長至</w:t>
      </w:r>
      <w:r w:rsidRPr="00C77E77">
        <w:rPr>
          <w:rFonts w:ascii="Times New Roman" w:eastAsia="標楷體" w:hAnsi="Times New Roman" w:cs="Times New Roman"/>
          <w:sz w:val="28"/>
          <w:szCs w:val="28"/>
        </w:rPr>
        <w:t>2010</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32.5</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年市場規模更高達</w:t>
      </w:r>
      <w:r w:rsidRPr="00C77E77">
        <w:rPr>
          <w:rFonts w:ascii="Times New Roman" w:eastAsia="標楷體" w:hAnsi="Times New Roman" w:cs="Times New Roman"/>
          <w:sz w:val="28"/>
          <w:szCs w:val="28"/>
        </w:rPr>
        <w:t>116</w:t>
      </w:r>
      <w:r w:rsidRPr="00C77E77">
        <w:rPr>
          <w:rFonts w:ascii="Times New Roman" w:eastAsia="標楷體" w:hAnsi="Times New Roman" w:cs="Times New Roman"/>
          <w:sz w:val="28"/>
          <w:szCs w:val="28"/>
        </w:rPr>
        <w:t>億美元，預估</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年將達</w:t>
      </w:r>
      <w:r w:rsidRPr="00C77E77">
        <w:rPr>
          <w:rFonts w:ascii="Times New Roman" w:eastAsia="標楷體" w:hAnsi="Times New Roman" w:cs="Times New Roman"/>
          <w:sz w:val="28"/>
          <w:szCs w:val="28"/>
        </w:rPr>
        <w:t>273</w:t>
      </w:r>
      <w:r w:rsidRPr="00C77E77">
        <w:rPr>
          <w:rFonts w:ascii="Times New Roman" w:eastAsia="標楷體" w:hAnsi="Times New Roman" w:cs="Times New Roman"/>
          <w:sz w:val="28"/>
          <w:szCs w:val="28"/>
        </w:rPr>
        <w:t>億美元。未來重點商機，將在於透過資訊系統提供病人個人化管理服務，整合醫療器材、電信、資料傳輸、醫院與照護中心等多重產業合作模式。目前已投入之業者包含豪倫科技、華碩、中華電信、秀傳醫院、研華智能，包含遠距醫療智慧監控系統、醫療雲整合服務、醫院多媒體導覽機等，後續發展能量可期。</w:t>
      </w:r>
    </w:p>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第三，掌握行動服務：未來智慧健康照護發展重點，乃提供健康管理與醫療照護服務之行動</w:t>
      </w:r>
      <w:r w:rsidRPr="00C77E77">
        <w:rPr>
          <w:rFonts w:ascii="Times New Roman" w:eastAsia="標楷體" w:hAnsi="Times New Roman" w:cs="Times New Roman"/>
          <w:sz w:val="28"/>
          <w:szCs w:val="28"/>
        </w:rPr>
        <w:t>Apps</w:t>
      </w:r>
      <w:r w:rsidRPr="00C77E77">
        <w:rPr>
          <w:rFonts w:ascii="Times New Roman" w:eastAsia="標楷體" w:hAnsi="Times New Roman" w:cs="Times New Roman"/>
          <w:sz w:val="28"/>
          <w:szCs w:val="28"/>
        </w:rPr>
        <w:t>。工研院</w:t>
      </w:r>
      <w:r w:rsidRPr="00C77E77">
        <w:rPr>
          <w:rFonts w:ascii="Times New Roman" w:eastAsia="標楷體" w:hAnsi="Times New Roman" w:cs="Times New Roman"/>
          <w:sz w:val="28"/>
          <w:szCs w:val="28"/>
        </w:rPr>
        <w:t>IEK</w:t>
      </w:r>
      <w:r w:rsidRPr="00C77E77">
        <w:rPr>
          <w:rFonts w:ascii="Times New Roman" w:eastAsia="標楷體" w:hAnsi="Times New Roman" w:cs="Times New Roman"/>
          <w:sz w:val="28"/>
          <w:szCs w:val="28"/>
        </w:rPr>
        <w:t>估計，</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年與行動健康醫療照護相關</w:t>
      </w:r>
      <w:r w:rsidRPr="00C77E77">
        <w:rPr>
          <w:rFonts w:ascii="Times New Roman" w:eastAsia="標楷體" w:hAnsi="Times New Roman" w:cs="Times New Roman"/>
          <w:sz w:val="28"/>
          <w:szCs w:val="28"/>
        </w:rPr>
        <w:t>App</w:t>
      </w:r>
      <w:r w:rsidRPr="00C77E77">
        <w:rPr>
          <w:rFonts w:ascii="Times New Roman" w:eastAsia="標楷體" w:hAnsi="Times New Roman" w:cs="Times New Roman"/>
          <w:sz w:val="28"/>
          <w:szCs w:val="28"/>
        </w:rPr>
        <w:t>總下載次數達</w:t>
      </w:r>
      <w:r w:rsidRPr="00C77E77">
        <w:rPr>
          <w:rFonts w:ascii="Times New Roman" w:eastAsia="標楷體" w:hAnsi="Times New Roman" w:cs="Times New Roman"/>
          <w:sz w:val="28"/>
          <w:szCs w:val="28"/>
        </w:rPr>
        <w:t>7.18</w:t>
      </w:r>
      <w:r w:rsidRPr="00C77E77">
        <w:rPr>
          <w:rFonts w:ascii="Times New Roman" w:eastAsia="標楷體" w:hAnsi="Times New Roman" w:cs="Times New Roman"/>
          <w:sz w:val="28"/>
          <w:szCs w:val="28"/>
        </w:rPr>
        <w:t>億次，並預估至</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年智慧型手機</w:t>
      </w:r>
      <w:r w:rsidRPr="00C77E77">
        <w:rPr>
          <w:rFonts w:ascii="Times New Roman" w:eastAsia="標楷體" w:hAnsi="Times New Roman" w:cs="Times New Roman"/>
          <w:sz w:val="28"/>
          <w:szCs w:val="28"/>
        </w:rPr>
        <w:t>Apps</w:t>
      </w:r>
      <w:r w:rsidRPr="00C77E77">
        <w:rPr>
          <w:rFonts w:ascii="Times New Roman" w:eastAsia="標楷體" w:hAnsi="Times New Roman" w:cs="Times New Roman"/>
          <w:sz w:val="28"/>
          <w:szCs w:val="28"/>
        </w:rPr>
        <w:t>使用族群將達</w:t>
      </w:r>
      <w:r w:rsidRPr="00C77E77">
        <w:rPr>
          <w:rFonts w:ascii="Times New Roman" w:eastAsia="標楷體" w:hAnsi="Times New Roman" w:cs="Times New Roman"/>
          <w:sz w:val="28"/>
          <w:szCs w:val="28"/>
        </w:rPr>
        <w:t>33</w:t>
      </w:r>
      <w:r w:rsidRPr="00C77E77">
        <w:rPr>
          <w:rFonts w:ascii="Times New Roman" w:eastAsia="標楷體" w:hAnsi="Times New Roman" w:cs="Times New Roman"/>
          <w:sz w:val="28"/>
          <w:szCs w:val="28"/>
        </w:rPr>
        <w:t>億人，行動健康醫療照護市場規模將達到</w:t>
      </w:r>
      <w:r w:rsidRPr="00C77E77">
        <w:rPr>
          <w:rFonts w:ascii="Times New Roman" w:eastAsia="標楷體" w:hAnsi="Times New Roman" w:cs="Times New Roman"/>
          <w:sz w:val="28"/>
          <w:szCs w:val="28"/>
        </w:rPr>
        <w:t>110</w:t>
      </w:r>
      <w:r w:rsidRPr="00C77E77">
        <w:rPr>
          <w:rFonts w:ascii="Times New Roman" w:eastAsia="標楷體" w:hAnsi="Times New Roman" w:cs="Times New Roman"/>
          <w:sz w:val="28"/>
          <w:szCs w:val="28"/>
        </w:rPr>
        <w:t>億美元。</w:t>
      </w:r>
    </w:p>
    <w:p w:rsidR="00B16F81"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最後，掌握新興市場：考量歐美市場早已由知名品牌掌握，且歐美對產品或服務價格敏感度低，臺灣廠商擅長的成本控制與價格競爭，恐較難在智慧醫療領域展現實力，可將目標市場著眼於印度、中國大陸、東南亞等新興國家。</w:t>
      </w:r>
    </w:p>
    <w:p w:rsidR="00B66D83" w:rsidRPr="00C77E77" w:rsidRDefault="00B66D83" w:rsidP="0024359D">
      <w:pPr>
        <w:spacing w:beforeLines="50" w:before="180" w:afterLines="50" w:after="180" w:line="500" w:lineRule="exact"/>
        <w:jc w:val="both"/>
        <w:rPr>
          <w:rFonts w:ascii="Times New Roman" w:eastAsia="標楷體" w:hAnsi="Times New Roman" w:cs="Times New Roman"/>
          <w:sz w:val="28"/>
          <w:szCs w:val="28"/>
        </w:rPr>
      </w:pPr>
    </w:p>
    <w:p w:rsidR="0024359D" w:rsidRPr="00C77E77" w:rsidRDefault="0024359D" w:rsidP="0024359D">
      <w:pPr>
        <w:pStyle w:val="af9"/>
        <w:rPr>
          <w:color w:val="FF0000"/>
        </w:rPr>
      </w:pPr>
      <w:bookmarkStart w:id="112" w:name="_Toc458184954"/>
      <w:bookmarkStart w:id="113" w:name="_Toc470676601"/>
      <w:r w:rsidRPr="00C77E77">
        <w:t>表</w:t>
      </w:r>
      <w:r w:rsidRPr="00C77E77">
        <w:t>3-4-</w:t>
      </w:r>
      <w:r w:rsidR="00A12A6E" w:rsidRPr="00C77E77">
        <w:t>5</w:t>
      </w:r>
      <w:r w:rsidRPr="00C77E77">
        <w:t xml:space="preserve"> </w:t>
      </w:r>
      <w:r w:rsidRPr="00C77E77">
        <w:t>臺灣智慧健康照護相關產業之企業投入領域</w:t>
      </w:r>
      <w:bookmarkEnd w:id="112"/>
      <w:bookmarkEnd w:id="113"/>
    </w:p>
    <w:tbl>
      <w:tblPr>
        <w:tblStyle w:val="af4"/>
        <w:tblW w:w="0" w:type="auto"/>
        <w:jc w:val="center"/>
        <w:tblLook w:val="04A0" w:firstRow="1" w:lastRow="0" w:firstColumn="1" w:lastColumn="0" w:noHBand="0" w:noVBand="1"/>
      </w:tblPr>
      <w:tblGrid>
        <w:gridCol w:w="2376"/>
        <w:gridCol w:w="2410"/>
        <w:gridCol w:w="3576"/>
      </w:tblGrid>
      <w:tr w:rsidR="0024359D" w:rsidRPr="00C77E77" w:rsidTr="0024359D">
        <w:trPr>
          <w:jc w:val="center"/>
        </w:trPr>
        <w:tc>
          <w:tcPr>
            <w:tcW w:w="2376" w:type="dxa"/>
            <w:shd w:val="clear" w:color="auto" w:fill="F2F2F2" w:themeFill="background1" w:themeFillShade="F2"/>
          </w:tcPr>
          <w:p w:rsidR="0024359D" w:rsidRPr="00C77E77" w:rsidRDefault="0024359D" w:rsidP="0024359D">
            <w:pPr>
              <w:spacing w:line="500" w:lineRule="exact"/>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企業</w:t>
            </w:r>
          </w:p>
        </w:tc>
        <w:tc>
          <w:tcPr>
            <w:tcW w:w="2410" w:type="dxa"/>
            <w:shd w:val="clear" w:color="auto" w:fill="F2F2F2" w:themeFill="background1" w:themeFillShade="F2"/>
          </w:tcPr>
          <w:p w:rsidR="0024359D" w:rsidRPr="00C77E77" w:rsidRDefault="0024359D" w:rsidP="0024359D">
            <w:pPr>
              <w:spacing w:line="500" w:lineRule="exact"/>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產業領域</w:t>
            </w:r>
          </w:p>
        </w:tc>
        <w:tc>
          <w:tcPr>
            <w:tcW w:w="3576" w:type="dxa"/>
            <w:shd w:val="clear" w:color="auto" w:fill="F2F2F2" w:themeFill="background1" w:themeFillShade="F2"/>
          </w:tcPr>
          <w:p w:rsidR="0024359D" w:rsidRPr="00C77E77" w:rsidRDefault="0024359D" w:rsidP="0024359D">
            <w:pPr>
              <w:spacing w:line="500" w:lineRule="exact"/>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產品</w:t>
            </w:r>
          </w:p>
        </w:tc>
      </w:tr>
      <w:tr w:rsidR="0024359D" w:rsidRPr="00C77E77" w:rsidTr="0024359D">
        <w:trPr>
          <w:jc w:val="center"/>
        </w:trPr>
        <w:tc>
          <w:tcPr>
            <w:tcW w:w="23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研華科技、醫揚科技、精聯電子、飛捷科技、安勤科技、凌華科技、盤儀科技、欣技資訊、廣積科技</w:t>
            </w:r>
          </w:p>
        </w:tc>
        <w:tc>
          <w:tcPr>
            <w:tcW w:w="2410" w:type="dxa"/>
          </w:tcPr>
          <w:p w:rsidR="0024359D" w:rsidRPr="00C77E77" w:rsidRDefault="0024359D" w:rsidP="0024359D">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智慧醫療</w:t>
            </w:r>
          </w:p>
          <w:p w:rsidR="0024359D" w:rsidRPr="00C77E77" w:rsidRDefault="00C5509E" w:rsidP="0024359D">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0024359D" w:rsidRPr="00C77E77">
              <w:rPr>
                <w:rFonts w:ascii="Times New Roman" w:eastAsia="標楷體" w:hAnsi="Times New Roman" w:cs="Times New Roman"/>
                <w:sz w:val="28"/>
                <w:szCs w:val="28"/>
              </w:rPr>
              <w:t>醫療電子化</w:t>
            </w:r>
            <w:r w:rsidRPr="00C77E77">
              <w:rPr>
                <w:rFonts w:ascii="Times New Roman" w:eastAsia="標楷體" w:hAnsi="Times New Roman" w:cs="Times New Roman"/>
                <w:sz w:val="28"/>
                <w:szCs w:val="28"/>
              </w:rPr>
              <w:t>）</w:t>
            </w:r>
          </w:p>
        </w:tc>
        <w:tc>
          <w:tcPr>
            <w:tcW w:w="35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醫療照護電腦、醫療用平板電腦、病床照護系統、床邊衛教資訊系統、醫療級影像顯示螢幕、用藥資訊系統、行動醫療照護車、遠距醫療系統、行動護理紀錄</w:t>
            </w:r>
            <w:r w:rsidRPr="00C77E77">
              <w:rPr>
                <w:rFonts w:ascii="Times New Roman" w:eastAsia="標楷體" w:hAnsi="Times New Roman" w:cs="Times New Roman"/>
                <w:sz w:val="28"/>
                <w:szCs w:val="28"/>
              </w:rPr>
              <w:t>E</w:t>
            </w:r>
            <w:r w:rsidRPr="00C77E77">
              <w:rPr>
                <w:rFonts w:ascii="Times New Roman" w:eastAsia="標楷體" w:hAnsi="Times New Roman" w:cs="Times New Roman"/>
                <w:sz w:val="28"/>
                <w:szCs w:val="28"/>
              </w:rPr>
              <w:t>化等</w:t>
            </w:r>
          </w:p>
        </w:tc>
      </w:tr>
      <w:tr w:rsidR="0024359D" w:rsidRPr="00C77E77" w:rsidTr="0024359D">
        <w:trPr>
          <w:jc w:val="center"/>
        </w:trPr>
        <w:tc>
          <w:tcPr>
            <w:tcW w:w="23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臺醫光電</w:t>
            </w:r>
          </w:p>
        </w:tc>
        <w:tc>
          <w:tcPr>
            <w:tcW w:w="2410" w:type="dxa"/>
          </w:tcPr>
          <w:p w:rsidR="0024359D" w:rsidRPr="00C77E77" w:rsidRDefault="0024359D" w:rsidP="0024359D">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智慧健康</w:t>
            </w:r>
          </w:p>
          <w:p w:rsidR="0024359D" w:rsidRPr="00C77E77" w:rsidRDefault="00C5509E" w:rsidP="0024359D">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0024359D" w:rsidRPr="00C77E77">
              <w:rPr>
                <w:rFonts w:ascii="Times New Roman" w:eastAsia="標楷體" w:hAnsi="Times New Roman" w:cs="Times New Roman"/>
                <w:sz w:val="28"/>
                <w:szCs w:val="28"/>
              </w:rPr>
              <w:t>行動裝置</w:t>
            </w:r>
            <w:r w:rsidRPr="00C77E77">
              <w:rPr>
                <w:rFonts w:ascii="Times New Roman" w:eastAsia="標楷體" w:hAnsi="Times New Roman" w:cs="Times New Roman"/>
                <w:sz w:val="28"/>
                <w:szCs w:val="28"/>
              </w:rPr>
              <w:t>）</w:t>
            </w:r>
          </w:p>
        </w:tc>
        <w:tc>
          <w:tcPr>
            <w:tcW w:w="35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穿戴式心跳血氧監測</w:t>
            </w:r>
          </w:p>
        </w:tc>
      </w:tr>
      <w:tr w:rsidR="0024359D" w:rsidRPr="00C77E77" w:rsidTr="0024359D">
        <w:trPr>
          <w:jc w:val="center"/>
        </w:trPr>
        <w:tc>
          <w:tcPr>
            <w:tcW w:w="23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豪倫科技</w:t>
            </w:r>
          </w:p>
        </w:tc>
        <w:tc>
          <w:tcPr>
            <w:tcW w:w="2410" w:type="dxa"/>
          </w:tcPr>
          <w:p w:rsidR="0024359D" w:rsidRPr="00C77E77" w:rsidRDefault="0024359D" w:rsidP="0024359D">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智慧醫療</w:t>
            </w:r>
          </w:p>
        </w:tc>
        <w:tc>
          <w:tcPr>
            <w:tcW w:w="35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遠距醫療智慧監控系統</w:t>
            </w:r>
          </w:p>
        </w:tc>
      </w:tr>
      <w:tr w:rsidR="0024359D" w:rsidRPr="00C77E77" w:rsidTr="0024359D">
        <w:trPr>
          <w:jc w:val="center"/>
        </w:trPr>
        <w:tc>
          <w:tcPr>
            <w:tcW w:w="23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華碩、中華電信、秀傳醫院</w:t>
            </w:r>
          </w:p>
        </w:tc>
        <w:tc>
          <w:tcPr>
            <w:tcW w:w="2410" w:type="dxa"/>
          </w:tcPr>
          <w:p w:rsidR="0024359D" w:rsidRPr="00C77E77" w:rsidRDefault="0024359D" w:rsidP="0024359D">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智慧醫療</w:t>
            </w:r>
          </w:p>
        </w:tc>
        <w:tc>
          <w:tcPr>
            <w:tcW w:w="35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打造醫療雲整合服務，並進一步拓展海外市場，</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月起在帛琉地區推動服務</w:t>
            </w:r>
          </w:p>
        </w:tc>
      </w:tr>
      <w:tr w:rsidR="0024359D" w:rsidRPr="00C77E77" w:rsidTr="0024359D">
        <w:trPr>
          <w:jc w:val="center"/>
        </w:trPr>
        <w:tc>
          <w:tcPr>
            <w:tcW w:w="23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研華智能</w:t>
            </w:r>
          </w:p>
        </w:tc>
        <w:tc>
          <w:tcPr>
            <w:tcW w:w="2410" w:type="dxa"/>
          </w:tcPr>
          <w:p w:rsidR="0024359D" w:rsidRPr="00C77E77" w:rsidRDefault="0024359D" w:rsidP="0024359D">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智慧醫療</w:t>
            </w:r>
          </w:p>
        </w:tc>
        <w:tc>
          <w:tcPr>
            <w:tcW w:w="3576" w:type="dxa"/>
          </w:tcPr>
          <w:p w:rsidR="0024359D" w:rsidRPr="00C77E77" w:rsidRDefault="0024359D" w:rsidP="0024359D">
            <w:pPr>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醫療院所電子看板、醫院多媒體導覽機</w:t>
            </w:r>
          </w:p>
        </w:tc>
      </w:tr>
    </w:tbl>
    <w:p w:rsidR="0024359D" w:rsidRPr="00C77E77" w:rsidRDefault="0024359D" w:rsidP="0024359D">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本研究整理。</w:t>
      </w:r>
    </w:p>
    <w:p w:rsidR="00AC152F" w:rsidRPr="00C77E77" w:rsidRDefault="00AC152F" w:rsidP="0001327A">
      <w:pPr>
        <w:pStyle w:val="ab"/>
        <w:numPr>
          <w:ilvl w:val="0"/>
          <w:numId w:val="33"/>
        </w:numPr>
        <w:spacing w:before="50" w:after="50" w:line="360" w:lineRule="auto"/>
        <w:ind w:leftChars="0"/>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新農業</w:t>
      </w:r>
    </w:p>
    <w:p w:rsidR="0042006C" w:rsidRPr="00C77E77" w:rsidRDefault="0042006C" w:rsidP="00684ECD">
      <w:pPr>
        <w:spacing w:beforeLines="50" w:before="180" w:afterLines="50" w:after="180" w:line="500" w:lineRule="exact"/>
        <w:ind w:firstLineChars="202" w:firstLine="566"/>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themeColor="text1"/>
          <w:sz w:val="28"/>
          <w:szCs w:val="28"/>
        </w:rPr>
        <w:t>臺灣的農業在經濟發展的過程中曾經扮演過重要的火車頭角色，尤其小農經營發展之成功經驗，更締造經濟奇蹟之基礎，是許多開發中國家學習的典範。</w:t>
      </w:r>
      <w:r w:rsidRPr="00C77E77">
        <w:rPr>
          <w:rFonts w:ascii="Times New Roman" w:eastAsia="標楷體" w:hAnsi="Times New Roman" w:cs="Times New Roman"/>
          <w:color w:val="000000"/>
          <w:sz w:val="28"/>
          <w:szCs w:val="28"/>
        </w:rPr>
        <w:t>由於國民所得增加及社會結構改變，農業生產結構也應隨消費結構的改變因應調整。同時，自</w:t>
      </w:r>
      <w:r w:rsidRPr="00C77E77">
        <w:rPr>
          <w:rFonts w:ascii="Times New Roman" w:eastAsia="標楷體" w:hAnsi="Times New Roman" w:cs="Times New Roman"/>
          <w:color w:val="000000"/>
          <w:sz w:val="28"/>
          <w:szCs w:val="28"/>
        </w:rPr>
        <w:t>2002</w:t>
      </w:r>
      <w:r w:rsidRPr="00C77E77">
        <w:rPr>
          <w:rFonts w:ascii="Times New Roman" w:eastAsia="標楷體" w:hAnsi="Times New Roman" w:cs="Times New Roman"/>
          <w:color w:val="000000"/>
          <w:sz w:val="28"/>
          <w:szCs w:val="28"/>
        </w:rPr>
        <w:t>年我國加入</w:t>
      </w:r>
      <w:r w:rsidRPr="00C77E77">
        <w:rPr>
          <w:rFonts w:ascii="Times New Roman" w:eastAsia="標楷體" w:hAnsi="Times New Roman" w:cs="Times New Roman"/>
          <w:color w:val="000000"/>
          <w:sz w:val="28"/>
          <w:szCs w:val="28"/>
        </w:rPr>
        <w:t>WTO</w:t>
      </w:r>
      <w:r w:rsidRPr="00C77E77">
        <w:rPr>
          <w:rFonts w:ascii="Times New Roman" w:eastAsia="標楷體" w:hAnsi="Times New Roman" w:cs="Times New Roman"/>
          <w:color w:val="000000"/>
          <w:sz w:val="28"/>
          <w:szCs w:val="28"/>
        </w:rPr>
        <w:t>後，農產貿易自由化的腳步將更為快速。</w:t>
      </w:r>
    </w:p>
    <w:p w:rsidR="0042006C" w:rsidRPr="00C77E77" w:rsidRDefault="0042006C" w:rsidP="00684ECD">
      <w:pPr>
        <w:spacing w:beforeLines="50" w:before="180" w:afterLines="50" w:after="180" w:line="500" w:lineRule="exact"/>
        <w:ind w:firstLineChars="202" w:firstLine="566"/>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為因應全球化及國際經貿自由化，確保農業永續發展，發揮臺灣農業的</w:t>
      </w:r>
      <w:r w:rsidRPr="00C77E77">
        <w:rPr>
          <w:rFonts w:ascii="Times New Roman" w:eastAsia="標楷體" w:hAnsi="Times New Roman" w:cs="Times New Roman"/>
          <w:color w:val="000000"/>
          <w:sz w:val="28"/>
          <w:szCs w:val="28"/>
        </w:rPr>
        <w:lastRenderedPageBreak/>
        <w:t>科技優勢與地理條件，農委會於</w:t>
      </w:r>
      <w:r w:rsidRPr="00C77E77">
        <w:rPr>
          <w:rFonts w:ascii="Times New Roman" w:eastAsia="標楷體" w:hAnsi="Times New Roman" w:cs="Times New Roman"/>
          <w:color w:val="000000"/>
          <w:sz w:val="28"/>
          <w:szCs w:val="28"/>
        </w:rPr>
        <w:t>2009</w:t>
      </w:r>
      <w:r w:rsidRPr="00C77E77">
        <w:rPr>
          <w:rFonts w:ascii="Times New Roman" w:eastAsia="標楷體" w:hAnsi="Times New Roman" w:cs="Times New Roman"/>
          <w:color w:val="000000"/>
          <w:sz w:val="28"/>
          <w:szCs w:val="28"/>
        </w:rPr>
        <w:t>年提出「精緻農業健康卓越方案」。為行政院推出生技、觀光、綠能、醫療照護、精緻農業及文創等六大新興產業之一，也是政府將推動的重點發展產業。</w:t>
      </w:r>
      <w:r w:rsidRPr="00C77E77">
        <w:rPr>
          <w:rStyle w:val="a9"/>
          <w:rFonts w:ascii="Times New Roman" w:eastAsia="標楷體" w:hAnsi="Times New Roman" w:cs="Times New Roman"/>
          <w:color w:val="000000"/>
          <w:sz w:val="28"/>
          <w:szCs w:val="28"/>
        </w:rPr>
        <w:footnoteReference w:id="83"/>
      </w:r>
    </w:p>
    <w:p w:rsidR="0042006C" w:rsidRPr="00C77E77" w:rsidRDefault="0042006C" w:rsidP="00684ECD">
      <w:pPr>
        <w:spacing w:beforeLines="50" w:before="180" w:afterLines="50" w:after="180" w:line="500" w:lineRule="exact"/>
        <w:ind w:firstLineChars="202" w:firstLine="566"/>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以下將從農業總體產值與結構分析、農業整體從業人口與年齡分布與農業貿易簡述臺灣農業現況。根據「農業統計年報」資料顯示，</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年臺灣名目農產品生產總值計新臺幣</w:t>
      </w:r>
      <w:r w:rsidRPr="00C77E77">
        <w:rPr>
          <w:rFonts w:ascii="Times New Roman" w:eastAsia="標楷體" w:hAnsi="Times New Roman" w:cs="Times New Roman"/>
          <w:color w:val="000000" w:themeColor="text1"/>
          <w:sz w:val="28"/>
          <w:szCs w:val="28"/>
        </w:rPr>
        <w:t>4,955</w:t>
      </w:r>
      <w:r w:rsidRPr="00C77E77">
        <w:rPr>
          <w:rFonts w:ascii="Times New Roman" w:eastAsia="標楷體" w:hAnsi="Times New Roman" w:cs="Times New Roman"/>
          <w:color w:val="000000" w:themeColor="text1"/>
          <w:sz w:val="28"/>
          <w:szCs w:val="28"/>
        </w:rPr>
        <w:t>億元，較上（</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）年減少</w:t>
      </w:r>
      <w:r w:rsidRPr="00C77E77">
        <w:rPr>
          <w:rFonts w:ascii="Times New Roman" w:eastAsia="標楷體" w:hAnsi="Times New Roman" w:cs="Times New Roman"/>
          <w:color w:val="000000" w:themeColor="text1"/>
          <w:sz w:val="28"/>
          <w:szCs w:val="28"/>
        </w:rPr>
        <w:t>4.89</w:t>
      </w:r>
      <w:r w:rsidRPr="00C77E77">
        <w:rPr>
          <w:rFonts w:ascii="Times New Roman" w:eastAsia="標楷體" w:hAnsi="Times New Roman" w:cs="Times New Roman"/>
          <w:color w:val="000000" w:themeColor="text1"/>
          <w:sz w:val="28"/>
          <w:szCs w:val="28"/>
        </w:rPr>
        <w:t>％。其中農耕產值占農業總產值之比例為</w:t>
      </w:r>
      <w:r w:rsidRPr="00C77E77">
        <w:rPr>
          <w:rFonts w:ascii="Times New Roman" w:eastAsia="標楷體" w:hAnsi="Times New Roman" w:cs="Times New Roman"/>
          <w:color w:val="000000" w:themeColor="text1"/>
          <w:sz w:val="28"/>
          <w:szCs w:val="28"/>
        </w:rPr>
        <w:t>49.48</w:t>
      </w:r>
      <w:r w:rsidRPr="00C77E77">
        <w:rPr>
          <w:rFonts w:ascii="Times New Roman" w:eastAsia="標楷體" w:hAnsi="Times New Roman" w:cs="Times New Roman"/>
          <w:color w:val="000000" w:themeColor="text1"/>
          <w:sz w:val="28"/>
          <w:szCs w:val="28"/>
        </w:rPr>
        <w:t>％、畜產品</w:t>
      </w:r>
      <w:r w:rsidRPr="00C77E77">
        <w:rPr>
          <w:rFonts w:ascii="Times New Roman" w:eastAsia="標楷體" w:hAnsi="Times New Roman" w:cs="Times New Roman"/>
          <w:color w:val="000000" w:themeColor="text1"/>
          <w:sz w:val="28"/>
          <w:szCs w:val="28"/>
        </w:rPr>
        <w:t>33.09</w:t>
      </w:r>
      <w:r w:rsidRPr="00C77E77">
        <w:rPr>
          <w:rFonts w:ascii="Times New Roman" w:eastAsia="標楷體" w:hAnsi="Times New Roman" w:cs="Times New Roman"/>
          <w:color w:val="000000" w:themeColor="text1"/>
          <w:sz w:val="28"/>
          <w:szCs w:val="28"/>
        </w:rPr>
        <w:t>％、水產品</w:t>
      </w:r>
      <w:r w:rsidRPr="00C77E77">
        <w:rPr>
          <w:rFonts w:ascii="Times New Roman" w:eastAsia="標楷體" w:hAnsi="Times New Roman" w:cs="Times New Roman"/>
          <w:color w:val="000000" w:themeColor="text1"/>
          <w:sz w:val="28"/>
          <w:szCs w:val="28"/>
        </w:rPr>
        <w:t>17.38</w:t>
      </w:r>
      <w:r w:rsidRPr="00C77E77">
        <w:rPr>
          <w:rFonts w:ascii="Times New Roman" w:eastAsia="標楷體" w:hAnsi="Times New Roman" w:cs="Times New Roman"/>
          <w:color w:val="000000" w:themeColor="text1"/>
          <w:sz w:val="28"/>
          <w:szCs w:val="28"/>
        </w:rPr>
        <w:t>％、林產品僅占</w:t>
      </w:r>
      <w:r w:rsidRPr="00C77E77">
        <w:rPr>
          <w:rFonts w:ascii="Times New Roman" w:eastAsia="標楷體" w:hAnsi="Times New Roman" w:cs="Times New Roman"/>
          <w:color w:val="000000" w:themeColor="text1"/>
          <w:sz w:val="28"/>
          <w:szCs w:val="28"/>
        </w:rPr>
        <w:t>0.05</w:t>
      </w:r>
      <w:r w:rsidRPr="00C77E77">
        <w:rPr>
          <w:rFonts w:ascii="Times New Roman" w:eastAsia="標楷體" w:hAnsi="Times New Roman" w:cs="Times New Roman"/>
          <w:color w:val="000000" w:themeColor="text1"/>
          <w:sz w:val="28"/>
          <w:szCs w:val="28"/>
        </w:rPr>
        <w:t>％。</w:t>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由圖</w:t>
      </w:r>
      <w:r w:rsidRPr="00C77E77">
        <w:rPr>
          <w:rFonts w:ascii="Times New Roman" w:eastAsia="標楷體" w:hAnsi="Times New Roman" w:cs="Times New Roman"/>
          <w:color w:val="000000" w:themeColor="text1"/>
          <w:sz w:val="28"/>
          <w:szCs w:val="28"/>
        </w:rPr>
        <w:t>3-4-</w:t>
      </w:r>
      <w:r w:rsidR="00815FCC" w:rsidRPr="00C77E77">
        <w:rPr>
          <w:rFonts w:ascii="Times New Roman" w:eastAsia="標楷體" w:hAnsi="Times New Roman" w:cs="Times New Roman"/>
          <w:color w:val="000000" w:themeColor="text1"/>
          <w:sz w:val="28"/>
          <w:szCs w:val="28"/>
        </w:rPr>
        <w:t>4</w:t>
      </w:r>
      <w:r w:rsidRPr="00C77E77">
        <w:rPr>
          <w:rFonts w:ascii="Times New Roman" w:eastAsia="標楷體" w:hAnsi="Times New Roman" w:cs="Times New Roman"/>
          <w:color w:val="000000" w:themeColor="text1"/>
          <w:sz w:val="28"/>
          <w:szCs w:val="28"/>
        </w:rPr>
        <w:t>得知，臺灣歷年來農業總體產值主要以農耕產值占最大比例，其次為畜產及水產，林產比例極低。</w:t>
      </w:r>
    </w:p>
    <w:p w:rsidR="00AC152F" w:rsidRPr="00C77E77" w:rsidRDefault="00AC152F" w:rsidP="00AC152F">
      <w:pPr>
        <w:spacing w:before="50" w:after="50" w:line="360" w:lineRule="auto"/>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noProof/>
          <w:color w:val="000000" w:themeColor="text1"/>
          <w:sz w:val="28"/>
          <w:szCs w:val="28"/>
        </w:rPr>
        <w:drawing>
          <wp:inline distT="0" distB="0" distL="0" distR="0" wp14:anchorId="0B6512BE" wp14:editId="3F8CA8DD">
            <wp:extent cx="5267325" cy="333375"/>
            <wp:effectExtent l="0" t="0" r="9525" b="9525"/>
            <wp:docPr id="6210" name="圖片 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7325" cy="333375"/>
                    </a:xfrm>
                    <a:prstGeom prst="rect">
                      <a:avLst/>
                    </a:prstGeom>
                    <a:noFill/>
                    <a:ln>
                      <a:noFill/>
                    </a:ln>
                  </pic:spPr>
                </pic:pic>
              </a:graphicData>
            </a:graphic>
          </wp:inline>
        </w:drawing>
      </w:r>
    </w:p>
    <w:p w:rsidR="00AC152F" w:rsidRPr="00C77E77" w:rsidRDefault="00AC152F" w:rsidP="00AC152F">
      <w:pPr>
        <w:spacing w:before="50" w:after="50" w:line="360" w:lineRule="auto"/>
        <w:jc w:val="righ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單位：億元、％</w:t>
      </w:r>
    </w:p>
    <w:p w:rsidR="00AC152F" w:rsidRPr="00C77E77" w:rsidRDefault="00AC152F" w:rsidP="00C70A64">
      <w:pPr>
        <w:spacing w:before="50" w:after="50" w:line="360" w:lineRule="auto"/>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noProof/>
          <w:color w:val="000000" w:themeColor="text1"/>
          <w:sz w:val="28"/>
          <w:szCs w:val="28"/>
        </w:rPr>
        <w:drawing>
          <wp:inline distT="0" distB="0" distL="0" distR="0" wp14:anchorId="1236F5B6" wp14:editId="617D0F45">
            <wp:extent cx="5267325" cy="1971675"/>
            <wp:effectExtent l="0" t="0" r="9525" b="9525"/>
            <wp:docPr id="6211" name="圖片 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7325" cy="1971675"/>
                    </a:xfrm>
                    <a:prstGeom prst="rect">
                      <a:avLst/>
                    </a:prstGeom>
                    <a:noFill/>
                    <a:ln>
                      <a:noFill/>
                    </a:ln>
                  </pic:spPr>
                </pic:pic>
              </a:graphicData>
            </a:graphic>
          </wp:inline>
        </w:drawing>
      </w:r>
    </w:p>
    <w:p w:rsidR="00AC152F" w:rsidRPr="00C77E77" w:rsidRDefault="00AC152F" w:rsidP="00AC152F">
      <w:pPr>
        <w:pStyle w:val="af7"/>
      </w:pPr>
      <w:bookmarkStart w:id="114" w:name="_Toc470676641"/>
      <w:r w:rsidRPr="00C77E77">
        <w:t>圖</w:t>
      </w:r>
      <w:r w:rsidRPr="00C77E77">
        <w:t>3-4-</w:t>
      </w:r>
      <w:r w:rsidR="00815FCC" w:rsidRPr="00C77E77">
        <w:t>4</w:t>
      </w:r>
      <w:r w:rsidRPr="00C77E77">
        <w:t xml:space="preserve">　歷年農業總體產值與結構分析</w:t>
      </w:r>
      <w:bookmarkEnd w:id="114"/>
    </w:p>
    <w:p w:rsidR="00AC152F" w:rsidRPr="00C77E77" w:rsidRDefault="00AC152F" w:rsidP="00AC152F">
      <w:pPr>
        <w:spacing w:before="50" w:after="50" w:line="360" w:lineRule="auto"/>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資料來源：行政院農委會。</w:t>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另外，</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年我國農食鏈生產毛額為</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兆</w:t>
      </w:r>
      <w:r w:rsidRPr="00C77E77">
        <w:rPr>
          <w:rFonts w:ascii="Times New Roman" w:eastAsia="標楷體" w:hAnsi="Times New Roman" w:cs="Times New Roman"/>
          <w:color w:val="000000" w:themeColor="text1"/>
          <w:sz w:val="28"/>
          <w:szCs w:val="28"/>
        </w:rPr>
        <w:t>1,650</w:t>
      </w:r>
      <w:r w:rsidRPr="00C77E77">
        <w:rPr>
          <w:rFonts w:ascii="Times New Roman" w:eastAsia="標楷體" w:hAnsi="Times New Roman" w:cs="Times New Roman"/>
          <w:color w:val="000000" w:themeColor="text1"/>
          <w:sz w:val="28"/>
          <w:szCs w:val="28"/>
        </w:rPr>
        <w:t>億元，占生產面</w:t>
      </w:r>
      <w:r w:rsidRPr="00C77E77">
        <w:rPr>
          <w:rFonts w:ascii="Times New Roman" w:eastAsia="標楷體" w:hAnsi="Times New Roman" w:cs="Times New Roman"/>
          <w:color w:val="000000" w:themeColor="text1"/>
          <w:sz w:val="28"/>
          <w:szCs w:val="28"/>
        </w:rPr>
        <w:t>GDP7.3</w:t>
      </w:r>
      <w:r w:rsidRPr="00C77E77">
        <w:rPr>
          <w:rFonts w:ascii="Times New Roman" w:eastAsia="標楷體" w:hAnsi="Times New Roman" w:cs="Times New Roman"/>
          <w:color w:val="000000" w:themeColor="text1"/>
          <w:sz w:val="28"/>
          <w:szCs w:val="28"/>
        </w:rPr>
        <w:t>％；就業人數</w:t>
      </w:r>
      <w:r w:rsidRPr="00C77E77">
        <w:rPr>
          <w:rFonts w:ascii="Times New Roman" w:eastAsia="標楷體" w:hAnsi="Times New Roman" w:cs="Times New Roman"/>
          <w:color w:val="000000" w:themeColor="text1"/>
          <w:sz w:val="28"/>
          <w:szCs w:val="28"/>
        </w:rPr>
        <w:t>189</w:t>
      </w:r>
      <w:r w:rsidRPr="00C77E77">
        <w:rPr>
          <w:rFonts w:ascii="Times New Roman" w:eastAsia="標楷體" w:hAnsi="Times New Roman" w:cs="Times New Roman"/>
          <w:color w:val="000000" w:themeColor="text1"/>
          <w:sz w:val="28"/>
          <w:szCs w:val="28"/>
        </w:rPr>
        <w:t>萬人，占總就業人數</w:t>
      </w:r>
      <w:r w:rsidRPr="00C77E77">
        <w:rPr>
          <w:rFonts w:ascii="Times New Roman" w:eastAsia="標楷體" w:hAnsi="Times New Roman" w:cs="Times New Roman"/>
          <w:color w:val="000000" w:themeColor="text1"/>
          <w:sz w:val="28"/>
          <w:szCs w:val="28"/>
        </w:rPr>
        <w:t>17.1%</w:t>
      </w:r>
      <w:r w:rsidRPr="00C77E77">
        <w:rPr>
          <w:rFonts w:ascii="Times New Roman" w:eastAsia="標楷體" w:hAnsi="Times New Roman" w:cs="Times New Roman"/>
          <w:color w:val="000000" w:themeColor="text1"/>
          <w:sz w:val="28"/>
          <w:szCs w:val="28"/>
        </w:rPr>
        <w:t>，表示平均每</w:t>
      </w:r>
      <w:r w:rsidRPr="00C77E77">
        <w:rPr>
          <w:rFonts w:ascii="Times New Roman" w:eastAsia="標楷體" w:hAnsi="Times New Roman" w:cs="Times New Roman"/>
          <w:color w:val="000000" w:themeColor="text1"/>
          <w:sz w:val="28"/>
          <w:szCs w:val="28"/>
        </w:rPr>
        <w:t>6</w:t>
      </w:r>
      <w:r w:rsidRPr="00C77E77">
        <w:rPr>
          <w:rFonts w:ascii="Times New Roman" w:eastAsia="標楷體" w:hAnsi="Times New Roman" w:cs="Times New Roman"/>
          <w:color w:val="000000" w:themeColor="text1"/>
          <w:sz w:val="28"/>
          <w:szCs w:val="28"/>
        </w:rPr>
        <w:t>人即有</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個人</w:t>
      </w:r>
      <w:r w:rsidRPr="00C77E77">
        <w:rPr>
          <w:rFonts w:ascii="Times New Roman" w:eastAsia="標楷體" w:hAnsi="Times New Roman" w:cs="Times New Roman"/>
          <w:color w:val="000000" w:themeColor="text1"/>
          <w:sz w:val="28"/>
          <w:szCs w:val="28"/>
        </w:rPr>
        <w:lastRenderedPageBreak/>
        <w:t>從事農食鏈</w:t>
      </w:r>
      <w:r w:rsidR="00B66D83" w:rsidRPr="00C77E77">
        <w:rPr>
          <w:rFonts w:ascii="Times New Roman" w:eastAsia="標楷體" w:hAnsi="Times New Roman" w:cs="Times New Roman"/>
          <w:color w:val="000000" w:themeColor="text1"/>
          <w:sz w:val="28"/>
          <w:szCs w:val="28"/>
        </w:rPr>
        <w:t>相關工作，</w:t>
      </w:r>
      <w:r w:rsidRPr="00C77E77">
        <w:rPr>
          <w:rStyle w:val="a9"/>
          <w:rFonts w:ascii="Times New Roman" w:eastAsia="標楷體" w:hAnsi="Times New Roman" w:cs="Times New Roman"/>
          <w:color w:val="000000" w:themeColor="text1"/>
          <w:sz w:val="28"/>
          <w:szCs w:val="28"/>
        </w:rPr>
        <w:footnoteReference w:id="84"/>
      </w:r>
      <w:r w:rsidRPr="00C77E77">
        <w:rPr>
          <w:rFonts w:ascii="Times New Roman" w:eastAsia="標楷體" w:hAnsi="Times New Roman" w:cs="Times New Roman"/>
          <w:color w:val="000000" w:themeColor="text1"/>
          <w:sz w:val="28"/>
          <w:szCs w:val="28"/>
        </w:rPr>
        <w:t>參見圖</w:t>
      </w:r>
      <w:r w:rsidRPr="00C77E77">
        <w:rPr>
          <w:rFonts w:ascii="Times New Roman" w:eastAsia="標楷體" w:hAnsi="Times New Roman" w:cs="Times New Roman"/>
          <w:color w:val="000000" w:themeColor="text1"/>
          <w:sz w:val="28"/>
          <w:szCs w:val="28"/>
        </w:rPr>
        <w:t>3-4-</w:t>
      </w:r>
      <w:r w:rsidR="00815FCC" w:rsidRPr="00C77E77">
        <w:rPr>
          <w:rFonts w:ascii="Times New Roman" w:eastAsia="標楷體" w:hAnsi="Times New Roman" w:cs="Times New Roman"/>
          <w:color w:val="000000" w:themeColor="text1"/>
          <w:sz w:val="28"/>
          <w:szCs w:val="28"/>
        </w:rPr>
        <w:t>5</w:t>
      </w:r>
      <w:r w:rsidRPr="00C77E77">
        <w:rPr>
          <w:rFonts w:ascii="Times New Roman" w:eastAsia="標楷體" w:hAnsi="Times New Roman" w:cs="Times New Roman"/>
          <w:color w:val="000000" w:themeColor="text1"/>
          <w:sz w:val="28"/>
          <w:szCs w:val="28"/>
        </w:rPr>
        <w:t>。</w:t>
      </w:r>
    </w:p>
    <w:p w:rsidR="00AC152F" w:rsidRPr="00C77E77" w:rsidRDefault="00684ECD"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在農業整體從業人口與年齡分布部分，</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年兼業農人口數為</w:t>
      </w:r>
      <w:r w:rsidRPr="00C77E77">
        <w:rPr>
          <w:rFonts w:ascii="Times New Roman" w:eastAsia="標楷體" w:hAnsi="Times New Roman" w:cs="Times New Roman"/>
          <w:color w:val="000000" w:themeColor="text1"/>
          <w:sz w:val="28"/>
          <w:szCs w:val="28"/>
        </w:rPr>
        <w:t>34.4</w:t>
      </w:r>
      <w:r w:rsidRPr="00C77E77">
        <w:rPr>
          <w:rFonts w:ascii="Times New Roman" w:eastAsia="標楷體" w:hAnsi="Times New Roman" w:cs="Times New Roman"/>
          <w:color w:val="000000" w:themeColor="text1"/>
          <w:sz w:val="28"/>
          <w:szCs w:val="28"/>
        </w:rPr>
        <w:t>萬人，占整體農業從業人口</w:t>
      </w:r>
      <w:r w:rsidRPr="00C77E77">
        <w:rPr>
          <w:rFonts w:ascii="Times New Roman" w:eastAsia="標楷體" w:hAnsi="Times New Roman" w:cs="Times New Roman"/>
          <w:color w:val="000000" w:themeColor="text1"/>
          <w:sz w:val="28"/>
          <w:szCs w:val="28"/>
        </w:rPr>
        <w:t>69</w:t>
      </w:r>
      <w:r w:rsidRPr="00C77E77">
        <w:rPr>
          <w:rFonts w:ascii="Times New Roman" w:eastAsia="標楷體" w:hAnsi="Times New Roman" w:cs="Times New Roman"/>
          <w:color w:val="000000" w:themeColor="text1"/>
          <w:sz w:val="28"/>
          <w:szCs w:val="28"/>
        </w:rPr>
        <w:t>％。推估未來</w:t>
      </w:r>
      <w:r w:rsidRPr="00C77E77">
        <w:rPr>
          <w:rFonts w:ascii="Times New Roman" w:eastAsia="標楷體" w:hAnsi="Times New Roman" w:cs="Times New Roman"/>
          <w:color w:val="000000" w:themeColor="text1"/>
          <w:sz w:val="28"/>
          <w:szCs w:val="28"/>
        </w:rPr>
        <w:t>10</w:t>
      </w:r>
      <w:r w:rsidRPr="00C77E77">
        <w:rPr>
          <w:rFonts w:ascii="Times New Roman" w:eastAsia="標楷體" w:hAnsi="Times New Roman" w:cs="Times New Roman"/>
          <w:color w:val="000000" w:themeColor="text1"/>
          <w:sz w:val="28"/>
          <w:szCs w:val="28"/>
        </w:rPr>
        <w:t>年將有近</w:t>
      </w:r>
      <w:r w:rsidRPr="00C77E77">
        <w:rPr>
          <w:rFonts w:ascii="Times New Roman" w:eastAsia="標楷體" w:hAnsi="Times New Roman" w:cs="Times New Roman"/>
          <w:color w:val="000000" w:themeColor="text1"/>
          <w:sz w:val="28"/>
          <w:szCs w:val="28"/>
        </w:rPr>
        <w:t>11</w:t>
      </w:r>
      <w:r w:rsidRPr="00C77E77">
        <w:rPr>
          <w:rFonts w:ascii="Times New Roman" w:eastAsia="標楷體" w:hAnsi="Times New Roman" w:cs="Times New Roman"/>
          <w:color w:val="000000" w:themeColor="text1"/>
          <w:sz w:val="28"/>
          <w:szCs w:val="28"/>
        </w:rPr>
        <w:t>萬名農業就業人口因高齡化退場，</w:t>
      </w:r>
      <w:r w:rsidR="00AC152F" w:rsidRPr="00C77E77">
        <w:rPr>
          <w:rFonts w:ascii="Times New Roman" w:eastAsia="標楷體" w:hAnsi="Times New Roman" w:cs="Times New Roman"/>
          <w:color w:val="000000" w:themeColor="text1"/>
          <w:sz w:val="28"/>
          <w:szCs w:val="28"/>
        </w:rPr>
        <w:t>參見圖</w:t>
      </w:r>
      <w:r w:rsidR="00AC152F" w:rsidRPr="00C77E77">
        <w:rPr>
          <w:rFonts w:ascii="Times New Roman" w:eastAsia="標楷體" w:hAnsi="Times New Roman" w:cs="Times New Roman"/>
          <w:color w:val="000000" w:themeColor="text1"/>
          <w:sz w:val="28"/>
          <w:szCs w:val="28"/>
        </w:rPr>
        <w:t>3-4-</w:t>
      </w:r>
      <w:r w:rsidR="00815FCC" w:rsidRPr="00C77E77">
        <w:rPr>
          <w:rFonts w:ascii="Times New Roman" w:eastAsia="標楷體" w:hAnsi="Times New Roman" w:cs="Times New Roman"/>
          <w:color w:val="000000" w:themeColor="text1"/>
          <w:sz w:val="28"/>
          <w:szCs w:val="28"/>
        </w:rPr>
        <w:t>6</w:t>
      </w:r>
      <w:r w:rsidR="00AC152F" w:rsidRPr="00C77E77">
        <w:rPr>
          <w:rFonts w:ascii="Times New Roman" w:eastAsia="標楷體" w:hAnsi="Times New Roman" w:cs="Times New Roman"/>
          <w:color w:val="000000" w:themeColor="text1"/>
          <w:sz w:val="28"/>
          <w:szCs w:val="28"/>
        </w:rPr>
        <w:t>。</w:t>
      </w:r>
    </w:p>
    <w:p w:rsidR="00AC152F" w:rsidRPr="00C77E77" w:rsidRDefault="00AC152F" w:rsidP="00AC152F">
      <w:pPr>
        <w:spacing w:before="50" w:after="50" w:line="360" w:lineRule="auto"/>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noProof/>
          <w:color w:val="000000" w:themeColor="text1"/>
          <w:sz w:val="28"/>
          <w:szCs w:val="28"/>
        </w:rPr>
        <w:drawing>
          <wp:inline distT="0" distB="0" distL="0" distR="0" wp14:anchorId="15BFC733" wp14:editId="7949B00A">
            <wp:extent cx="5272405" cy="2647950"/>
            <wp:effectExtent l="0" t="0" r="4445" b="0"/>
            <wp:docPr id="6212" name="圖片 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2405" cy="2647950"/>
                    </a:xfrm>
                    <a:prstGeom prst="rect">
                      <a:avLst/>
                    </a:prstGeom>
                    <a:noFill/>
                    <a:ln>
                      <a:noFill/>
                    </a:ln>
                  </pic:spPr>
                </pic:pic>
              </a:graphicData>
            </a:graphic>
          </wp:inline>
        </w:drawing>
      </w:r>
    </w:p>
    <w:p w:rsidR="00AC152F" w:rsidRPr="00C77E77" w:rsidRDefault="00AC152F" w:rsidP="00F93093">
      <w:pPr>
        <w:pStyle w:val="af7"/>
        <w:spacing w:beforeLines="50" w:before="180" w:line="0" w:lineRule="atLeast"/>
      </w:pPr>
      <w:bookmarkStart w:id="115" w:name="_Toc470676642"/>
      <w:r w:rsidRPr="00C77E77">
        <w:t>圖</w:t>
      </w:r>
      <w:r w:rsidRPr="00C77E77">
        <w:t>3-4-</w:t>
      </w:r>
      <w:r w:rsidR="00815FCC" w:rsidRPr="00C77E77">
        <w:t xml:space="preserve">5 </w:t>
      </w:r>
      <w:r w:rsidRPr="00C77E77">
        <w:t>2014</w:t>
      </w:r>
      <w:r w:rsidRPr="00C77E77">
        <w:t>年農食鏈生產毛額及就業人數</w:t>
      </w:r>
      <w:bookmarkEnd w:id="115"/>
    </w:p>
    <w:p w:rsidR="00AC152F" w:rsidRPr="00C77E77" w:rsidRDefault="00AC152F" w:rsidP="00B66D83">
      <w:pPr>
        <w:spacing w:afterLines="50" w:after="180"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資料來源：行政院農委會。</w:t>
      </w:r>
    </w:p>
    <w:p w:rsidR="00AC152F" w:rsidRPr="00C77E77" w:rsidRDefault="00AC152F" w:rsidP="00B66D83">
      <w:pPr>
        <w:spacing w:before="120" w:after="50" w:line="360" w:lineRule="auto"/>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noProof/>
          <w:color w:val="000000" w:themeColor="text1"/>
          <w:sz w:val="28"/>
          <w:szCs w:val="28"/>
        </w:rPr>
        <w:drawing>
          <wp:inline distT="0" distB="0" distL="0" distR="0" wp14:anchorId="1AF35889" wp14:editId="04983EA3">
            <wp:extent cx="5272405" cy="2766695"/>
            <wp:effectExtent l="0" t="0" r="444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2405" cy="2766695"/>
                    </a:xfrm>
                    <a:prstGeom prst="rect">
                      <a:avLst/>
                    </a:prstGeom>
                    <a:noFill/>
                    <a:ln>
                      <a:noFill/>
                    </a:ln>
                  </pic:spPr>
                </pic:pic>
              </a:graphicData>
            </a:graphic>
          </wp:inline>
        </w:drawing>
      </w:r>
    </w:p>
    <w:p w:rsidR="00AC152F" w:rsidRPr="00C77E77" w:rsidRDefault="00AC152F" w:rsidP="00B66D83">
      <w:pPr>
        <w:pStyle w:val="af7"/>
        <w:spacing w:line="0" w:lineRule="atLeast"/>
      </w:pPr>
      <w:bookmarkStart w:id="116" w:name="_Toc470676643"/>
      <w:r w:rsidRPr="00C77E77">
        <w:t>圖</w:t>
      </w:r>
      <w:r w:rsidRPr="00C77E77">
        <w:t>3-4-</w:t>
      </w:r>
      <w:r w:rsidR="00815FCC" w:rsidRPr="00C77E77">
        <w:t>6</w:t>
      </w:r>
      <w:r w:rsidR="00EE7730" w:rsidRPr="00C77E77">
        <w:t xml:space="preserve"> </w:t>
      </w:r>
      <w:r w:rsidRPr="00C77E77">
        <w:t>農業整體從業人口與年齡分布部分</w:t>
      </w:r>
      <w:bookmarkEnd w:id="116"/>
    </w:p>
    <w:p w:rsidR="00AC152F" w:rsidRPr="00C77E77" w:rsidRDefault="00AC152F" w:rsidP="00B66D83">
      <w:pPr>
        <w:spacing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資料來源：行政院農委會。</w:t>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在農產貿易方面，</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年農產品進口值</w:t>
      </w:r>
      <w:r w:rsidRPr="00C77E77">
        <w:rPr>
          <w:rFonts w:ascii="Times New Roman" w:eastAsia="標楷體" w:hAnsi="Times New Roman" w:cs="Times New Roman"/>
          <w:color w:val="000000" w:themeColor="text1"/>
          <w:sz w:val="28"/>
          <w:szCs w:val="28"/>
        </w:rPr>
        <w:t>145.1</w:t>
      </w:r>
      <w:r w:rsidRPr="00C77E77">
        <w:rPr>
          <w:rFonts w:ascii="Times New Roman" w:eastAsia="標楷體" w:hAnsi="Times New Roman" w:cs="Times New Roman"/>
          <w:color w:val="000000" w:themeColor="text1"/>
          <w:sz w:val="28"/>
          <w:szCs w:val="28"/>
        </w:rPr>
        <w:t>億美元，較</w:t>
      </w:r>
      <w:r w:rsidRPr="00C77E77">
        <w:rPr>
          <w:rFonts w:ascii="Times New Roman" w:eastAsia="標楷體" w:hAnsi="Times New Roman" w:cs="Times New Roman"/>
          <w:color w:val="000000" w:themeColor="text1"/>
          <w:sz w:val="28"/>
          <w:szCs w:val="28"/>
        </w:rPr>
        <w:t>2011</w:t>
      </w:r>
      <w:r w:rsidRPr="00C77E77">
        <w:rPr>
          <w:rFonts w:ascii="Times New Roman" w:eastAsia="標楷體" w:hAnsi="Times New Roman" w:cs="Times New Roman"/>
          <w:color w:val="000000" w:themeColor="text1"/>
          <w:sz w:val="28"/>
          <w:szCs w:val="28"/>
        </w:rPr>
        <w:t>年減少</w:t>
      </w:r>
      <w:r w:rsidRPr="00C77E77">
        <w:rPr>
          <w:rFonts w:ascii="Times New Roman" w:eastAsia="標楷體" w:hAnsi="Times New Roman" w:cs="Times New Roman"/>
          <w:color w:val="000000" w:themeColor="text1"/>
          <w:sz w:val="28"/>
          <w:szCs w:val="28"/>
        </w:rPr>
        <w:t>7.3</w:t>
      </w:r>
      <w:r w:rsidRPr="00C77E77">
        <w:rPr>
          <w:rFonts w:ascii="Times New Roman" w:eastAsia="標楷體" w:hAnsi="Times New Roman" w:cs="Times New Roman"/>
          <w:color w:val="000000" w:themeColor="text1"/>
          <w:sz w:val="28"/>
          <w:szCs w:val="28"/>
        </w:rPr>
        <w:t>％，最大宗進口農產品為穀類及其製品，、木材及其製品、油料籽實及粉等，進口值分別計為</w:t>
      </w:r>
      <w:r w:rsidRPr="00C77E77">
        <w:rPr>
          <w:rFonts w:ascii="Times New Roman" w:eastAsia="標楷體" w:hAnsi="Times New Roman" w:cs="Times New Roman"/>
          <w:color w:val="000000" w:themeColor="text1"/>
          <w:sz w:val="28"/>
          <w:szCs w:val="28"/>
        </w:rPr>
        <w:t>17.9</w:t>
      </w:r>
      <w:r w:rsidRPr="00C77E77">
        <w:rPr>
          <w:rFonts w:ascii="Times New Roman" w:eastAsia="標楷體" w:hAnsi="Times New Roman" w:cs="Times New Roman"/>
          <w:color w:val="000000" w:themeColor="text1"/>
          <w:sz w:val="28"/>
          <w:szCs w:val="28"/>
        </w:rPr>
        <w:t>億美元、</w:t>
      </w:r>
      <w:r w:rsidRPr="00C77E77">
        <w:rPr>
          <w:rFonts w:ascii="Times New Roman" w:eastAsia="標楷體" w:hAnsi="Times New Roman" w:cs="Times New Roman"/>
          <w:color w:val="000000" w:themeColor="text1"/>
          <w:sz w:val="28"/>
          <w:szCs w:val="28"/>
        </w:rPr>
        <w:t>12.7</w:t>
      </w:r>
      <w:r w:rsidRPr="00C77E77">
        <w:rPr>
          <w:rFonts w:ascii="Times New Roman" w:eastAsia="標楷體" w:hAnsi="Times New Roman" w:cs="Times New Roman"/>
          <w:color w:val="000000" w:themeColor="text1"/>
          <w:sz w:val="28"/>
          <w:szCs w:val="28"/>
        </w:rPr>
        <w:t>億美元及</w:t>
      </w:r>
      <w:r w:rsidRPr="00C77E77">
        <w:rPr>
          <w:rFonts w:ascii="Times New Roman" w:eastAsia="標楷體" w:hAnsi="Times New Roman" w:cs="Times New Roman"/>
          <w:color w:val="000000" w:themeColor="text1"/>
          <w:sz w:val="28"/>
          <w:szCs w:val="28"/>
        </w:rPr>
        <w:t>12.4</w:t>
      </w:r>
      <w:r w:rsidRPr="00C77E77">
        <w:rPr>
          <w:rFonts w:ascii="Times New Roman" w:eastAsia="標楷體" w:hAnsi="Times New Roman" w:cs="Times New Roman"/>
          <w:color w:val="000000" w:themeColor="text1"/>
          <w:sz w:val="28"/>
          <w:szCs w:val="28"/>
        </w:rPr>
        <w:t>億美元；農產品出口值</w:t>
      </w:r>
      <w:r w:rsidRPr="00C77E77">
        <w:rPr>
          <w:rFonts w:ascii="Times New Roman" w:eastAsia="標楷體" w:hAnsi="Times New Roman" w:cs="Times New Roman"/>
          <w:color w:val="000000" w:themeColor="text1"/>
          <w:sz w:val="28"/>
          <w:szCs w:val="28"/>
        </w:rPr>
        <w:t>48.8</w:t>
      </w:r>
      <w:r w:rsidRPr="00C77E77">
        <w:rPr>
          <w:rFonts w:ascii="Times New Roman" w:eastAsia="標楷體" w:hAnsi="Times New Roman" w:cs="Times New Roman"/>
          <w:color w:val="000000" w:themeColor="text1"/>
          <w:sz w:val="28"/>
          <w:szCs w:val="28"/>
        </w:rPr>
        <w:t>億美元，較</w:t>
      </w:r>
      <w:r w:rsidRPr="00C77E77">
        <w:rPr>
          <w:rFonts w:ascii="Times New Roman" w:eastAsia="標楷體" w:hAnsi="Times New Roman" w:cs="Times New Roman"/>
          <w:color w:val="000000" w:themeColor="text1"/>
          <w:sz w:val="28"/>
          <w:szCs w:val="28"/>
        </w:rPr>
        <w:t>2011</w:t>
      </w:r>
      <w:r w:rsidRPr="00C77E77">
        <w:rPr>
          <w:rFonts w:ascii="Times New Roman" w:eastAsia="標楷體" w:hAnsi="Times New Roman" w:cs="Times New Roman"/>
          <w:color w:val="000000" w:themeColor="text1"/>
          <w:sz w:val="28"/>
          <w:szCs w:val="28"/>
        </w:rPr>
        <w:t>年增加減少</w:t>
      </w:r>
      <w:r w:rsidRPr="00C77E77">
        <w:rPr>
          <w:rFonts w:ascii="Times New Roman" w:eastAsia="標楷體" w:hAnsi="Times New Roman" w:cs="Times New Roman"/>
          <w:color w:val="000000" w:themeColor="text1"/>
          <w:sz w:val="28"/>
          <w:szCs w:val="28"/>
        </w:rPr>
        <w:t>7.5</w:t>
      </w:r>
      <w:r w:rsidRPr="00C77E77">
        <w:rPr>
          <w:rFonts w:ascii="Times New Roman" w:eastAsia="標楷體" w:hAnsi="Times New Roman" w:cs="Times New Roman"/>
          <w:color w:val="000000" w:themeColor="text1"/>
          <w:sz w:val="28"/>
          <w:szCs w:val="28"/>
        </w:rPr>
        <w:t>％，最大宗出口農產品為魚類及其製品、畜禽皮毛相關製品等，出口值分別計為</w:t>
      </w:r>
      <w:r w:rsidRPr="00C77E77">
        <w:rPr>
          <w:rFonts w:ascii="Times New Roman" w:eastAsia="標楷體" w:hAnsi="Times New Roman" w:cs="Times New Roman"/>
          <w:color w:val="000000" w:themeColor="text1"/>
          <w:sz w:val="28"/>
          <w:szCs w:val="28"/>
        </w:rPr>
        <w:t>14.3</w:t>
      </w:r>
      <w:r w:rsidRPr="00C77E77">
        <w:rPr>
          <w:rFonts w:ascii="Times New Roman" w:eastAsia="標楷體" w:hAnsi="Times New Roman" w:cs="Times New Roman"/>
          <w:color w:val="000000" w:themeColor="text1"/>
          <w:sz w:val="28"/>
          <w:szCs w:val="28"/>
        </w:rPr>
        <w:t>億美元、</w:t>
      </w:r>
      <w:r w:rsidRPr="00C77E77">
        <w:rPr>
          <w:rFonts w:ascii="Times New Roman" w:eastAsia="標楷體" w:hAnsi="Times New Roman" w:cs="Times New Roman"/>
          <w:color w:val="000000" w:themeColor="text1"/>
          <w:sz w:val="28"/>
          <w:szCs w:val="28"/>
        </w:rPr>
        <w:t>6.4</w:t>
      </w:r>
      <w:r w:rsidRPr="00C77E77">
        <w:rPr>
          <w:rFonts w:ascii="Times New Roman" w:eastAsia="標楷體" w:hAnsi="Times New Roman" w:cs="Times New Roman"/>
          <w:color w:val="000000" w:themeColor="text1"/>
          <w:sz w:val="28"/>
          <w:szCs w:val="28"/>
        </w:rPr>
        <w:t>億美元。（參見表</w:t>
      </w:r>
      <w:r w:rsidRPr="00C77E77">
        <w:rPr>
          <w:rFonts w:ascii="Times New Roman" w:eastAsia="標楷體" w:hAnsi="Times New Roman" w:cs="Times New Roman"/>
          <w:color w:val="000000" w:themeColor="text1"/>
          <w:sz w:val="28"/>
          <w:szCs w:val="28"/>
        </w:rPr>
        <w:t>3-4-</w:t>
      </w:r>
      <w:r w:rsidR="00A12A6E" w:rsidRPr="00C77E77">
        <w:rPr>
          <w:rFonts w:ascii="Times New Roman" w:eastAsia="標楷體" w:hAnsi="Times New Roman" w:cs="Times New Roman"/>
          <w:color w:val="000000" w:themeColor="text1"/>
          <w:sz w:val="28"/>
          <w:szCs w:val="28"/>
        </w:rPr>
        <w:t>6</w:t>
      </w:r>
      <w:r w:rsidRPr="00C77E77">
        <w:rPr>
          <w:rFonts w:ascii="Times New Roman" w:eastAsia="標楷體" w:hAnsi="Times New Roman" w:cs="Times New Roman"/>
          <w:color w:val="000000" w:themeColor="text1"/>
          <w:sz w:val="28"/>
          <w:szCs w:val="28"/>
        </w:rPr>
        <w:t>）</w:t>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雖然臺灣農業經歷數十年的發展，農業科技及精緻農產品等享譽國際，然而現階段正面臨嚴峻的挑戰。首先，第一個挑戰是國際市場的開放與自由化，過去在加入</w:t>
      </w:r>
      <w:r w:rsidRPr="00C77E77">
        <w:rPr>
          <w:rFonts w:ascii="Times New Roman" w:eastAsia="標楷體" w:hAnsi="Times New Roman" w:cs="Times New Roman"/>
          <w:color w:val="000000" w:themeColor="text1"/>
          <w:sz w:val="28"/>
          <w:szCs w:val="28"/>
        </w:rPr>
        <w:t>WTO</w:t>
      </w:r>
      <w:r w:rsidRPr="00C77E77">
        <w:rPr>
          <w:rFonts w:ascii="Times New Roman" w:eastAsia="標楷體" w:hAnsi="Times New Roman" w:cs="Times New Roman"/>
          <w:color w:val="000000" w:themeColor="text1"/>
          <w:sz w:val="28"/>
          <w:szCs w:val="28"/>
        </w:rPr>
        <w:t>時，已經歷過一波壓力，未來加入</w:t>
      </w:r>
      <w:r w:rsidRPr="00C77E77">
        <w:rPr>
          <w:rFonts w:ascii="Times New Roman" w:eastAsia="標楷體" w:hAnsi="Times New Roman" w:cs="Times New Roman"/>
          <w:color w:val="000000" w:themeColor="text1"/>
          <w:sz w:val="28"/>
          <w:szCs w:val="28"/>
        </w:rPr>
        <w:t>TPP</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RCEP</w:t>
      </w:r>
      <w:r w:rsidRPr="00C77E77">
        <w:rPr>
          <w:rFonts w:ascii="Times New Roman" w:eastAsia="標楷體" w:hAnsi="Times New Roman" w:cs="Times New Roman"/>
          <w:color w:val="000000" w:themeColor="text1"/>
          <w:sz w:val="28"/>
          <w:szCs w:val="28"/>
        </w:rPr>
        <w:t>等區域經濟協定，也必將再次面臨開放的壓力。</w:t>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第二個挑戰是農業勞動人力嚴重老化，根據統計資料顯示，我農業從業人口平均年齡約為</w:t>
      </w:r>
      <w:r w:rsidRPr="00C77E77">
        <w:rPr>
          <w:rFonts w:ascii="Times New Roman" w:eastAsia="標楷體" w:hAnsi="Times New Roman" w:cs="Times New Roman"/>
          <w:color w:val="000000" w:themeColor="text1"/>
          <w:sz w:val="28"/>
          <w:szCs w:val="28"/>
        </w:rPr>
        <w:t>63</w:t>
      </w:r>
      <w:r w:rsidRPr="00C77E77">
        <w:rPr>
          <w:rFonts w:ascii="Times New Roman" w:eastAsia="標楷體" w:hAnsi="Times New Roman" w:cs="Times New Roman"/>
          <w:color w:val="000000" w:themeColor="text1"/>
          <w:sz w:val="28"/>
          <w:szCs w:val="28"/>
        </w:rPr>
        <w:t>歲，加上專業農戶比例偏低。顯然，當前</w:t>
      </w:r>
      <w:r w:rsidR="00E474E8" w:rsidRPr="00C77E77">
        <w:rPr>
          <w:rFonts w:ascii="Times New Roman" w:eastAsia="標楷體" w:hAnsi="Times New Roman" w:cs="Times New Roman"/>
          <w:color w:val="000000" w:themeColor="text1"/>
          <w:sz w:val="28"/>
          <w:szCs w:val="28"/>
        </w:rPr>
        <w:t>臺灣</w:t>
      </w:r>
      <w:r w:rsidRPr="00C77E77">
        <w:rPr>
          <w:rFonts w:ascii="Times New Roman" w:eastAsia="標楷體" w:hAnsi="Times New Roman" w:cs="Times New Roman"/>
          <w:color w:val="000000" w:themeColor="text1"/>
          <w:sz w:val="28"/>
          <w:szCs w:val="28"/>
        </w:rPr>
        <w:t>農業部門正面臨就業人口萎縮，且就業人口結構高度老化而年青人卻無較高意願從農，造成農業人才斷層。同時因年紀較長之農業工作者教育成度較低，導致整理農業工作者之人力資本偏低，降低農業生產效率。</w:t>
      </w:r>
    </w:p>
    <w:p w:rsidR="00AC152F" w:rsidRPr="00C77E77" w:rsidRDefault="00AC152F" w:rsidP="00AC152F">
      <w:pPr>
        <w:widowControl/>
        <w:rPr>
          <w:rFonts w:ascii="Times New Roman" w:eastAsia="標楷體" w:hAnsi="Times New Roman" w:cs="Times New Roman"/>
          <w:color w:val="000000" w:themeColor="text1"/>
          <w:sz w:val="28"/>
          <w:szCs w:val="28"/>
        </w:rPr>
      </w:pPr>
    </w:p>
    <w:p w:rsidR="00AC152F" w:rsidRPr="00C77E77" w:rsidRDefault="00AC152F" w:rsidP="00AC152F">
      <w:pPr>
        <w:pStyle w:val="af9"/>
      </w:pPr>
      <w:bookmarkStart w:id="117" w:name="_Toc470676602"/>
      <w:r w:rsidRPr="00C77E77">
        <w:t>表</w:t>
      </w:r>
      <w:r w:rsidRPr="00C77E77">
        <w:t>3-4-</w:t>
      </w:r>
      <w:r w:rsidR="00A12A6E" w:rsidRPr="00C77E77">
        <w:t>6</w:t>
      </w:r>
      <w:r w:rsidR="00815FCC" w:rsidRPr="00C77E77">
        <w:t xml:space="preserve"> </w:t>
      </w:r>
      <w:r w:rsidRPr="00C77E77">
        <w:t>農產品進出口值</w:t>
      </w:r>
      <w:r w:rsidRPr="00C77E77">
        <w:t>-</w:t>
      </w:r>
      <w:r w:rsidRPr="00C77E77">
        <w:t>按產品分</w:t>
      </w:r>
      <w:bookmarkEnd w:id="117"/>
    </w:p>
    <w:tbl>
      <w:tblPr>
        <w:tblStyle w:val="af4"/>
        <w:tblW w:w="0" w:type="auto"/>
        <w:jc w:val="center"/>
        <w:tblLayout w:type="fixed"/>
        <w:tblLook w:val="04A0" w:firstRow="1" w:lastRow="0" w:firstColumn="1" w:lastColumn="0" w:noHBand="0" w:noVBand="1"/>
      </w:tblPr>
      <w:tblGrid>
        <w:gridCol w:w="2093"/>
        <w:gridCol w:w="850"/>
        <w:gridCol w:w="709"/>
        <w:gridCol w:w="709"/>
        <w:gridCol w:w="1984"/>
        <w:gridCol w:w="709"/>
        <w:gridCol w:w="709"/>
        <w:gridCol w:w="759"/>
      </w:tblGrid>
      <w:tr w:rsidR="00AC152F" w:rsidRPr="00C77E77" w:rsidTr="00C70A64">
        <w:trPr>
          <w:jc w:val="center"/>
        </w:trPr>
        <w:tc>
          <w:tcPr>
            <w:tcW w:w="8522" w:type="dxa"/>
            <w:gridSpan w:val="8"/>
            <w:tcBorders>
              <w:top w:val="nil"/>
              <w:left w:val="nil"/>
              <w:right w:val="nil"/>
            </w:tcBorders>
            <w:vAlign w:val="center"/>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單位：百萬美元</w:t>
            </w:r>
          </w:p>
        </w:tc>
      </w:tr>
      <w:tr w:rsidR="00AC152F" w:rsidRPr="00C77E77" w:rsidTr="00C70A64">
        <w:trPr>
          <w:jc w:val="center"/>
        </w:trPr>
        <w:tc>
          <w:tcPr>
            <w:tcW w:w="2093" w:type="dxa"/>
            <w:vMerge w:val="restart"/>
            <w:vAlign w:val="center"/>
          </w:tcPr>
          <w:p w:rsidR="00AC152F" w:rsidRPr="00C77E77" w:rsidRDefault="00AC152F" w:rsidP="00AC152F">
            <w:pPr>
              <w:pStyle w:val="Default"/>
              <w:jc w:val="center"/>
              <w:rPr>
                <w:rFonts w:eastAsia="標楷體"/>
                <w:sz w:val="20"/>
                <w:szCs w:val="20"/>
              </w:rPr>
            </w:pPr>
            <w:r w:rsidRPr="00C77E77">
              <w:rPr>
                <w:rFonts w:eastAsia="標楷體"/>
                <w:sz w:val="20"/>
                <w:szCs w:val="20"/>
              </w:rPr>
              <w:t>項目</w:t>
            </w:r>
          </w:p>
        </w:tc>
        <w:tc>
          <w:tcPr>
            <w:tcW w:w="2268" w:type="dxa"/>
            <w:gridSpan w:val="3"/>
            <w:tcBorders>
              <w:right w:val="double" w:sz="4" w:space="0" w:color="auto"/>
            </w:tcBorders>
            <w:shd w:val="clear" w:color="auto" w:fill="A8D08D" w:themeFill="accent6" w:themeFillTint="99"/>
          </w:tcPr>
          <w:p w:rsidR="00AC152F" w:rsidRPr="00C77E77" w:rsidRDefault="00AC152F" w:rsidP="00AC152F">
            <w:pPr>
              <w:jc w:val="center"/>
              <w:rPr>
                <w:rFonts w:ascii="Times New Roman" w:eastAsia="標楷體" w:hAnsi="Times New Roman" w:cs="Times New Roman"/>
                <w:sz w:val="20"/>
                <w:szCs w:val="20"/>
              </w:rPr>
            </w:pPr>
            <w:r w:rsidRPr="00C77E77">
              <w:rPr>
                <w:rFonts w:ascii="Times New Roman" w:eastAsia="標楷體" w:hAnsi="Times New Roman" w:cs="Times New Roman"/>
                <w:sz w:val="20"/>
                <w:szCs w:val="20"/>
              </w:rPr>
              <w:t>出口</w:t>
            </w:r>
          </w:p>
        </w:tc>
        <w:tc>
          <w:tcPr>
            <w:tcW w:w="1984" w:type="dxa"/>
            <w:vMerge w:val="restart"/>
            <w:tcBorders>
              <w:left w:val="double" w:sz="4" w:space="0" w:color="auto"/>
            </w:tcBorders>
            <w:vAlign w:val="center"/>
          </w:tcPr>
          <w:p w:rsidR="00AC152F" w:rsidRPr="00C77E77" w:rsidRDefault="00AC152F" w:rsidP="00AC152F">
            <w:pPr>
              <w:jc w:val="center"/>
              <w:rPr>
                <w:rFonts w:ascii="Times New Roman" w:eastAsia="標楷體" w:hAnsi="Times New Roman" w:cs="Times New Roman"/>
                <w:sz w:val="20"/>
                <w:szCs w:val="20"/>
              </w:rPr>
            </w:pPr>
            <w:r w:rsidRPr="00C77E77">
              <w:rPr>
                <w:rFonts w:ascii="Times New Roman" w:eastAsia="標楷體" w:hAnsi="Times New Roman" w:cs="Times New Roman"/>
                <w:sz w:val="20"/>
                <w:szCs w:val="20"/>
              </w:rPr>
              <w:t>項目</w:t>
            </w:r>
          </w:p>
        </w:tc>
        <w:tc>
          <w:tcPr>
            <w:tcW w:w="2177" w:type="dxa"/>
            <w:gridSpan w:val="3"/>
            <w:shd w:val="clear" w:color="auto" w:fill="9CC2E5" w:themeFill="accent1" w:themeFillTint="99"/>
          </w:tcPr>
          <w:p w:rsidR="00AC152F" w:rsidRPr="00C77E77" w:rsidRDefault="00AC152F" w:rsidP="00AC152F">
            <w:pPr>
              <w:jc w:val="center"/>
              <w:rPr>
                <w:rFonts w:ascii="Times New Roman" w:eastAsia="標楷體" w:hAnsi="Times New Roman" w:cs="Times New Roman"/>
                <w:sz w:val="20"/>
                <w:szCs w:val="20"/>
              </w:rPr>
            </w:pPr>
            <w:r w:rsidRPr="00C77E77">
              <w:rPr>
                <w:rFonts w:ascii="Times New Roman" w:eastAsia="標楷體" w:hAnsi="Times New Roman" w:cs="Times New Roman"/>
                <w:sz w:val="20"/>
                <w:szCs w:val="20"/>
              </w:rPr>
              <w:t>進口</w:t>
            </w:r>
          </w:p>
        </w:tc>
      </w:tr>
      <w:tr w:rsidR="00AC152F" w:rsidRPr="00C77E77" w:rsidTr="00C70A64">
        <w:trPr>
          <w:jc w:val="center"/>
        </w:trPr>
        <w:tc>
          <w:tcPr>
            <w:tcW w:w="2093" w:type="dxa"/>
            <w:vMerge/>
          </w:tcPr>
          <w:p w:rsidR="00AC152F" w:rsidRPr="00C77E77" w:rsidRDefault="00AC152F" w:rsidP="00AC152F">
            <w:pPr>
              <w:pStyle w:val="Default"/>
              <w:rPr>
                <w:rFonts w:eastAsia="標楷體"/>
                <w:sz w:val="20"/>
                <w:szCs w:val="20"/>
              </w:rPr>
            </w:pPr>
          </w:p>
        </w:tc>
        <w:tc>
          <w:tcPr>
            <w:tcW w:w="850" w:type="dxa"/>
          </w:tcPr>
          <w:p w:rsidR="00AC152F" w:rsidRPr="00C77E77" w:rsidRDefault="00AC152F" w:rsidP="00AC152F">
            <w:pPr>
              <w:jc w:val="center"/>
              <w:rPr>
                <w:rFonts w:ascii="Times New Roman" w:eastAsia="標楷體" w:hAnsi="Times New Roman" w:cs="Times New Roman"/>
                <w:spacing w:val="-20"/>
                <w:sz w:val="16"/>
                <w:szCs w:val="16"/>
              </w:rPr>
            </w:pPr>
            <w:r w:rsidRPr="00C77E77">
              <w:rPr>
                <w:rFonts w:ascii="Times New Roman" w:eastAsia="標楷體" w:hAnsi="Times New Roman" w:cs="Times New Roman"/>
                <w:spacing w:val="-20"/>
                <w:sz w:val="16"/>
                <w:szCs w:val="16"/>
              </w:rPr>
              <w:t>2015</w:t>
            </w:r>
            <w:r w:rsidRPr="00C77E77">
              <w:rPr>
                <w:rFonts w:ascii="Times New Roman" w:eastAsia="標楷體" w:hAnsi="Times New Roman" w:cs="Times New Roman"/>
                <w:spacing w:val="-20"/>
                <w:sz w:val="16"/>
                <w:szCs w:val="16"/>
              </w:rPr>
              <w:t>年</w:t>
            </w:r>
          </w:p>
        </w:tc>
        <w:tc>
          <w:tcPr>
            <w:tcW w:w="709" w:type="dxa"/>
          </w:tcPr>
          <w:p w:rsidR="00AC152F" w:rsidRPr="00C77E77" w:rsidRDefault="00AC152F" w:rsidP="00AC152F">
            <w:pPr>
              <w:jc w:val="center"/>
              <w:rPr>
                <w:rFonts w:ascii="Times New Roman" w:eastAsia="標楷體" w:hAnsi="Times New Roman" w:cs="Times New Roman"/>
                <w:spacing w:val="-20"/>
                <w:sz w:val="16"/>
                <w:szCs w:val="16"/>
              </w:rPr>
            </w:pPr>
            <w:r w:rsidRPr="00C77E77">
              <w:rPr>
                <w:rFonts w:ascii="Times New Roman" w:eastAsia="標楷體" w:hAnsi="Times New Roman" w:cs="Times New Roman"/>
                <w:spacing w:val="-20"/>
                <w:sz w:val="16"/>
                <w:szCs w:val="16"/>
              </w:rPr>
              <w:t>2014</w:t>
            </w:r>
            <w:r w:rsidRPr="00C77E77">
              <w:rPr>
                <w:rFonts w:ascii="Times New Roman" w:eastAsia="標楷體" w:hAnsi="Times New Roman" w:cs="Times New Roman"/>
                <w:spacing w:val="-20"/>
                <w:sz w:val="16"/>
                <w:szCs w:val="16"/>
              </w:rPr>
              <w:t>年</w:t>
            </w:r>
          </w:p>
        </w:tc>
        <w:tc>
          <w:tcPr>
            <w:tcW w:w="709" w:type="dxa"/>
            <w:tcBorders>
              <w:right w:val="double" w:sz="4" w:space="0" w:color="auto"/>
            </w:tcBorders>
          </w:tcPr>
          <w:p w:rsidR="00AC152F" w:rsidRPr="00C77E77" w:rsidRDefault="00AC152F" w:rsidP="00AC152F">
            <w:pPr>
              <w:jc w:val="center"/>
              <w:rPr>
                <w:rFonts w:ascii="Times New Roman" w:eastAsia="標楷體" w:hAnsi="Times New Roman" w:cs="Times New Roman"/>
                <w:spacing w:val="-20"/>
                <w:sz w:val="16"/>
                <w:szCs w:val="16"/>
              </w:rPr>
            </w:pPr>
            <w:r w:rsidRPr="00C77E77">
              <w:rPr>
                <w:rFonts w:ascii="Times New Roman" w:eastAsia="標楷體" w:hAnsi="Times New Roman" w:cs="Times New Roman"/>
                <w:spacing w:val="-20"/>
                <w:sz w:val="16"/>
                <w:szCs w:val="16"/>
              </w:rPr>
              <w:t>與上年</w:t>
            </w:r>
          </w:p>
          <w:p w:rsidR="00AC152F" w:rsidRPr="00C77E77" w:rsidRDefault="00AC152F" w:rsidP="00AC152F">
            <w:pPr>
              <w:jc w:val="center"/>
              <w:rPr>
                <w:rFonts w:ascii="Times New Roman" w:eastAsia="標楷體" w:hAnsi="Times New Roman" w:cs="Times New Roman"/>
                <w:spacing w:val="-20"/>
                <w:sz w:val="16"/>
                <w:szCs w:val="16"/>
              </w:rPr>
            </w:pPr>
            <w:r w:rsidRPr="00C77E77">
              <w:rPr>
                <w:rFonts w:ascii="Times New Roman" w:eastAsia="標楷體" w:hAnsi="Times New Roman" w:cs="Times New Roman"/>
                <w:spacing w:val="-20"/>
                <w:sz w:val="16"/>
                <w:szCs w:val="16"/>
              </w:rPr>
              <w:t>比較％</w:t>
            </w:r>
          </w:p>
        </w:tc>
        <w:tc>
          <w:tcPr>
            <w:tcW w:w="1984" w:type="dxa"/>
            <w:vMerge/>
            <w:tcBorders>
              <w:left w:val="double" w:sz="4" w:space="0" w:color="auto"/>
            </w:tcBorders>
          </w:tcPr>
          <w:p w:rsidR="00AC152F" w:rsidRPr="00C77E77" w:rsidRDefault="00AC152F" w:rsidP="00AC152F">
            <w:pPr>
              <w:rPr>
                <w:rFonts w:ascii="Times New Roman" w:eastAsia="標楷體" w:hAnsi="Times New Roman" w:cs="Times New Roman"/>
                <w:sz w:val="20"/>
                <w:szCs w:val="20"/>
              </w:rPr>
            </w:pPr>
          </w:p>
        </w:tc>
        <w:tc>
          <w:tcPr>
            <w:tcW w:w="709" w:type="dxa"/>
          </w:tcPr>
          <w:p w:rsidR="00AC152F" w:rsidRPr="00C77E77" w:rsidRDefault="00AC152F" w:rsidP="00AC152F">
            <w:pPr>
              <w:jc w:val="center"/>
              <w:rPr>
                <w:rFonts w:ascii="Times New Roman" w:eastAsia="標楷體" w:hAnsi="Times New Roman" w:cs="Times New Roman"/>
                <w:spacing w:val="-20"/>
                <w:sz w:val="16"/>
                <w:szCs w:val="16"/>
              </w:rPr>
            </w:pPr>
            <w:r w:rsidRPr="00C77E77">
              <w:rPr>
                <w:rFonts w:ascii="Times New Roman" w:eastAsia="標楷體" w:hAnsi="Times New Roman" w:cs="Times New Roman"/>
                <w:spacing w:val="-20"/>
                <w:sz w:val="16"/>
                <w:szCs w:val="16"/>
              </w:rPr>
              <w:t>2015</w:t>
            </w:r>
            <w:r w:rsidRPr="00C77E77">
              <w:rPr>
                <w:rFonts w:ascii="Times New Roman" w:eastAsia="標楷體" w:hAnsi="Times New Roman" w:cs="Times New Roman"/>
                <w:spacing w:val="-20"/>
                <w:sz w:val="16"/>
                <w:szCs w:val="16"/>
              </w:rPr>
              <w:t>年</w:t>
            </w:r>
          </w:p>
        </w:tc>
        <w:tc>
          <w:tcPr>
            <w:tcW w:w="709" w:type="dxa"/>
          </w:tcPr>
          <w:p w:rsidR="00AC152F" w:rsidRPr="00C77E77" w:rsidRDefault="00AC152F" w:rsidP="00AC152F">
            <w:pPr>
              <w:jc w:val="center"/>
              <w:rPr>
                <w:rFonts w:ascii="Times New Roman" w:eastAsia="標楷體" w:hAnsi="Times New Roman" w:cs="Times New Roman"/>
                <w:spacing w:val="-20"/>
                <w:sz w:val="16"/>
                <w:szCs w:val="16"/>
              </w:rPr>
            </w:pPr>
            <w:r w:rsidRPr="00C77E77">
              <w:rPr>
                <w:rFonts w:ascii="Times New Roman" w:eastAsia="標楷體" w:hAnsi="Times New Roman" w:cs="Times New Roman"/>
                <w:spacing w:val="-20"/>
                <w:sz w:val="16"/>
                <w:szCs w:val="16"/>
              </w:rPr>
              <w:t>2014</w:t>
            </w:r>
            <w:r w:rsidRPr="00C77E77">
              <w:rPr>
                <w:rFonts w:ascii="Times New Roman" w:eastAsia="標楷體" w:hAnsi="Times New Roman" w:cs="Times New Roman"/>
                <w:spacing w:val="-20"/>
                <w:sz w:val="16"/>
                <w:szCs w:val="16"/>
              </w:rPr>
              <w:t>年</w:t>
            </w:r>
          </w:p>
        </w:tc>
        <w:tc>
          <w:tcPr>
            <w:tcW w:w="759" w:type="dxa"/>
          </w:tcPr>
          <w:p w:rsidR="00AC152F" w:rsidRPr="00C77E77" w:rsidRDefault="00AC152F" w:rsidP="00AC152F">
            <w:pPr>
              <w:jc w:val="center"/>
              <w:rPr>
                <w:rFonts w:ascii="Times New Roman" w:eastAsia="標楷體" w:hAnsi="Times New Roman" w:cs="Times New Roman"/>
                <w:spacing w:val="-20"/>
                <w:sz w:val="16"/>
                <w:szCs w:val="16"/>
              </w:rPr>
            </w:pPr>
            <w:r w:rsidRPr="00C77E77">
              <w:rPr>
                <w:rFonts w:ascii="Times New Roman" w:eastAsia="標楷體" w:hAnsi="Times New Roman" w:cs="Times New Roman"/>
                <w:spacing w:val="-20"/>
                <w:sz w:val="16"/>
                <w:szCs w:val="16"/>
              </w:rPr>
              <w:t>與上年比較％</w:t>
            </w:r>
          </w:p>
        </w:tc>
      </w:tr>
      <w:tr w:rsidR="00AC152F" w:rsidRPr="00C77E77" w:rsidTr="00C70A64">
        <w:trPr>
          <w:jc w:val="center"/>
        </w:trPr>
        <w:tc>
          <w:tcPr>
            <w:tcW w:w="2093" w:type="dxa"/>
          </w:tcPr>
          <w:p w:rsidR="00AC152F" w:rsidRPr="00C77E77" w:rsidRDefault="00AC152F" w:rsidP="00AC152F">
            <w:pPr>
              <w:pStyle w:val="Default"/>
              <w:rPr>
                <w:rFonts w:eastAsia="標楷體"/>
                <w:sz w:val="20"/>
                <w:szCs w:val="20"/>
              </w:rPr>
            </w:pPr>
            <w:r w:rsidRPr="00C77E77">
              <w:rPr>
                <w:rFonts w:eastAsia="標楷體"/>
                <w:sz w:val="20"/>
                <w:szCs w:val="20"/>
              </w:rPr>
              <w:t>穀類及其製品</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362.5</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320.3</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13.2</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穀類及其製品</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1,790.3</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2013.3</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-11.1</w:t>
            </w:r>
          </w:p>
        </w:tc>
      </w:tr>
      <w:tr w:rsidR="00AC152F" w:rsidRPr="00C77E77" w:rsidTr="00C70A64">
        <w:trPr>
          <w:jc w:val="center"/>
        </w:trPr>
        <w:tc>
          <w:tcPr>
            <w:tcW w:w="2093" w:type="dxa"/>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蔬菜及其製品</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166.6</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173.2</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-3.8</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油料籽實及粉</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1,242.7</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1444.6</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-14.0</w:t>
            </w:r>
          </w:p>
        </w:tc>
      </w:tr>
      <w:tr w:rsidR="00AC152F" w:rsidRPr="00C77E77" w:rsidTr="00C70A64">
        <w:trPr>
          <w:jc w:val="center"/>
        </w:trPr>
        <w:tc>
          <w:tcPr>
            <w:tcW w:w="2093" w:type="dxa"/>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水果、堅果及其製品</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238.0</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202.1</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17.7</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蔬菜及其製品</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341.5</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303.7</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12.4</w:t>
            </w:r>
          </w:p>
        </w:tc>
      </w:tr>
      <w:tr w:rsidR="00AC152F" w:rsidRPr="00C77E77" w:rsidTr="00C70A64">
        <w:trPr>
          <w:jc w:val="center"/>
        </w:trPr>
        <w:tc>
          <w:tcPr>
            <w:tcW w:w="2093" w:type="dxa"/>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花卉及其種苗</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193.6</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204.3</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-5.2</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水果、堅果及其製品</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1,006.8</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961.0</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4.8</w:t>
            </w:r>
          </w:p>
        </w:tc>
      </w:tr>
      <w:tr w:rsidR="00AC152F" w:rsidRPr="00C77E77" w:rsidTr="00C70A64">
        <w:trPr>
          <w:jc w:val="center"/>
        </w:trPr>
        <w:tc>
          <w:tcPr>
            <w:tcW w:w="2093" w:type="dxa"/>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茶葉及其製品</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58.9</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49.2</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19.9</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砂糖及其製品</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3,06.6</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367.7</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-16.6</w:t>
            </w:r>
          </w:p>
        </w:tc>
      </w:tr>
      <w:tr w:rsidR="00AC152F" w:rsidRPr="00C77E77" w:rsidTr="00C70A64">
        <w:trPr>
          <w:jc w:val="center"/>
        </w:trPr>
        <w:tc>
          <w:tcPr>
            <w:tcW w:w="2093" w:type="dxa"/>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羽毛</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199.8</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287.1</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-30.4</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木材及其製品</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1,273.6</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1500.9</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-15.1</w:t>
            </w:r>
          </w:p>
        </w:tc>
      </w:tr>
      <w:tr w:rsidR="00AC152F" w:rsidRPr="00C77E77" w:rsidTr="00C70A64">
        <w:trPr>
          <w:jc w:val="center"/>
        </w:trPr>
        <w:tc>
          <w:tcPr>
            <w:tcW w:w="2093" w:type="dxa"/>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活畜禽及肉類</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18.9</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25.6</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-26.1</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活畜禽及肉類</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1,155.9</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1116.5</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3.5</w:t>
            </w:r>
          </w:p>
        </w:tc>
      </w:tr>
      <w:tr w:rsidR="00AC152F" w:rsidRPr="00C77E77" w:rsidTr="00C70A64">
        <w:trPr>
          <w:jc w:val="center"/>
        </w:trPr>
        <w:tc>
          <w:tcPr>
            <w:tcW w:w="2093" w:type="dxa"/>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皮及其製品</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643.8</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792.1</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-18.7</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乳品</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614.9</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732.7</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-16.1</w:t>
            </w:r>
          </w:p>
        </w:tc>
      </w:tr>
      <w:tr w:rsidR="00AC152F" w:rsidRPr="00C77E77" w:rsidTr="00C70A64">
        <w:trPr>
          <w:jc w:val="center"/>
        </w:trPr>
        <w:tc>
          <w:tcPr>
            <w:tcW w:w="2093" w:type="dxa"/>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魚類及其製品</w:t>
            </w:r>
          </w:p>
        </w:tc>
        <w:tc>
          <w:tcPr>
            <w:tcW w:w="850"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1,430.1</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1,636.8</w:t>
            </w:r>
          </w:p>
        </w:tc>
        <w:tc>
          <w:tcPr>
            <w:tcW w:w="709" w:type="dxa"/>
            <w:tcBorders>
              <w:right w:val="double" w:sz="4" w:space="0" w:color="auto"/>
            </w:tcBorders>
          </w:tcPr>
          <w:p w:rsidR="00AC152F" w:rsidRPr="00C77E77" w:rsidRDefault="00AC152F" w:rsidP="00AC152F">
            <w:pPr>
              <w:jc w:val="right"/>
              <w:rPr>
                <w:rFonts w:ascii="Times New Roman" w:eastAsia="標楷體" w:hAnsi="Times New Roman" w:cs="Times New Roman"/>
                <w:sz w:val="20"/>
                <w:szCs w:val="20"/>
              </w:rPr>
            </w:pPr>
            <w:r w:rsidRPr="00C77E77">
              <w:rPr>
                <w:rFonts w:ascii="Times New Roman" w:eastAsia="標楷體" w:hAnsi="Times New Roman" w:cs="Times New Roman"/>
                <w:sz w:val="20"/>
                <w:szCs w:val="20"/>
              </w:rPr>
              <w:t>-12.6</w:t>
            </w:r>
          </w:p>
        </w:tc>
        <w:tc>
          <w:tcPr>
            <w:tcW w:w="1984" w:type="dxa"/>
            <w:tcBorders>
              <w:left w:val="double" w:sz="4" w:space="0" w:color="auto"/>
            </w:tcBorders>
          </w:tcPr>
          <w:p w:rsidR="00AC152F" w:rsidRPr="00C77E77" w:rsidRDefault="00AC152F" w:rsidP="00AC152F">
            <w:pPr>
              <w:rPr>
                <w:rFonts w:ascii="Times New Roman" w:eastAsia="標楷體" w:hAnsi="Times New Roman" w:cs="Times New Roman"/>
                <w:sz w:val="20"/>
                <w:szCs w:val="20"/>
              </w:rPr>
            </w:pPr>
            <w:r w:rsidRPr="00C77E77">
              <w:rPr>
                <w:rFonts w:ascii="Times New Roman" w:eastAsia="標楷體" w:hAnsi="Times New Roman" w:cs="Times New Roman"/>
                <w:sz w:val="20"/>
                <w:szCs w:val="20"/>
              </w:rPr>
              <w:t>魚類及其製品</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512.8</w:t>
            </w:r>
          </w:p>
        </w:tc>
        <w:tc>
          <w:tcPr>
            <w:tcW w:w="70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488.7</w:t>
            </w:r>
          </w:p>
        </w:tc>
        <w:tc>
          <w:tcPr>
            <w:tcW w:w="759" w:type="dxa"/>
          </w:tcPr>
          <w:p w:rsidR="00AC152F" w:rsidRPr="00C77E77" w:rsidRDefault="00AC152F" w:rsidP="00AC152F">
            <w:pPr>
              <w:jc w:val="right"/>
              <w:rPr>
                <w:rFonts w:ascii="Times New Roman" w:eastAsia="標楷體" w:hAnsi="Times New Roman" w:cs="Times New Roman"/>
                <w:spacing w:val="-20"/>
                <w:sz w:val="20"/>
                <w:szCs w:val="20"/>
              </w:rPr>
            </w:pPr>
            <w:r w:rsidRPr="00C77E77">
              <w:rPr>
                <w:rFonts w:ascii="Times New Roman" w:eastAsia="標楷體" w:hAnsi="Times New Roman" w:cs="Times New Roman"/>
                <w:spacing w:val="-20"/>
                <w:sz w:val="20"/>
                <w:szCs w:val="20"/>
              </w:rPr>
              <w:t>4.9</w:t>
            </w:r>
          </w:p>
        </w:tc>
      </w:tr>
    </w:tbl>
    <w:p w:rsidR="00AC152F" w:rsidRPr="00C77E77" w:rsidRDefault="00AC152F" w:rsidP="00AC152F">
      <w:pPr>
        <w:spacing w:line="0" w:lineRule="atLeas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w:t>
      </w:r>
      <w:r w:rsidRPr="00C77E77">
        <w:rPr>
          <w:rFonts w:ascii="Times New Roman" w:eastAsia="標楷體" w:hAnsi="Times New Roman" w:cs="Times New Roman"/>
          <w:color w:val="000000" w:themeColor="text1"/>
          <w:sz w:val="28"/>
          <w:szCs w:val="28"/>
        </w:rPr>
        <w:t>104</w:t>
      </w:r>
      <w:r w:rsidRPr="00C77E77">
        <w:rPr>
          <w:rFonts w:ascii="Times New Roman" w:eastAsia="標楷體" w:hAnsi="Times New Roman" w:cs="Times New Roman"/>
          <w:color w:val="000000" w:themeColor="text1"/>
          <w:sz w:val="28"/>
          <w:szCs w:val="28"/>
        </w:rPr>
        <w:t>年農產貿易統計要覽。</w:t>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第三個挑戰是國內面臨耕地面積不足，根據資料顯示，</w:t>
      </w:r>
      <w:r w:rsidRPr="00C77E77">
        <w:rPr>
          <w:rFonts w:ascii="Times New Roman" w:eastAsia="標楷體" w:hAnsi="Times New Roman" w:cs="Times New Roman"/>
          <w:color w:val="000000" w:themeColor="text1"/>
          <w:sz w:val="28"/>
          <w:szCs w:val="28"/>
        </w:rPr>
        <w:t>2013</w:t>
      </w:r>
      <w:r w:rsidRPr="00C77E77">
        <w:rPr>
          <w:rFonts w:ascii="Times New Roman" w:eastAsia="標楷體" w:hAnsi="Times New Roman" w:cs="Times New Roman"/>
          <w:color w:val="000000" w:themeColor="text1"/>
          <w:sz w:val="28"/>
          <w:szCs w:val="28"/>
        </w:rPr>
        <w:t>年休耕地約</w:t>
      </w:r>
      <w:r w:rsidRPr="00C77E77">
        <w:rPr>
          <w:rFonts w:ascii="Times New Roman" w:eastAsia="標楷體" w:hAnsi="Times New Roman" w:cs="Times New Roman"/>
          <w:color w:val="000000" w:themeColor="text1"/>
          <w:sz w:val="28"/>
          <w:szCs w:val="28"/>
        </w:rPr>
        <w:t>11.2</w:t>
      </w:r>
      <w:r w:rsidRPr="00C77E77">
        <w:rPr>
          <w:rFonts w:ascii="Times New Roman" w:eastAsia="標楷體" w:hAnsi="Times New Roman" w:cs="Times New Roman"/>
          <w:color w:val="000000" w:themeColor="text1"/>
          <w:sz w:val="28"/>
          <w:szCs w:val="28"/>
        </w:rPr>
        <w:t>萬公頃，政府休耕直接給付金額</w:t>
      </w:r>
      <w:r w:rsidRPr="00C77E77">
        <w:rPr>
          <w:rFonts w:ascii="Times New Roman" w:eastAsia="標楷體" w:hAnsi="Times New Roman" w:cs="Times New Roman"/>
          <w:color w:val="000000" w:themeColor="text1"/>
          <w:sz w:val="28"/>
          <w:szCs w:val="28"/>
        </w:rPr>
        <w:t>51.8</w:t>
      </w:r>
      <w:r w:rsidRPr="00C77E77">
        <w:rPr>
          <w:rFonts w:ascii="Times New Roman" w:eastAsia="標楷體" w:hAnsi="Times New Roman" w:cs="Times New Roman"/>
          <w:color w:val="000000" w:themeColor="text1"/>
          <w:sz w:val="28"/>
          <w:szCs w:val="28"/>
        </w:rPr>
        <w:t>億元</w:t>
      </w:r>
      <w:r w:rsidRPr="00C77E77">
        <w:rPr>
          <w:rStyle w:val="a9"/>
          <w:rFonts w:ascii="Times New Roman" w:eastAsia="標楷體" w:hAnsi="Times New Roman" w:cs="Times New Roman"/>
          <w:color w:val="000000" w:themeColor="text1"/>
          <w:sz w:val="28"/>
          <w:szCs w:val="28"/>
        </w:rPr>
        <w:footnoteReference w:id="85"/>
      </w:r>
      <w:r w:rsidRPr="00C77E77">
        <w:rPr>
          <w:rFonts w:ascii="Times New Roman" w:eastAsia="標楷體" w:hAnsi="Times New Roman" w:cs="Times New Roman"/>
          <w:color w:val="000000" w:themeColor="text1"/>
          <w:sz w:val="28"/>
          <w:szCs w:val="28"/>
        </w:rPr>
        <w:t>。農地閒置不生產，政府每年還要撥大筆經費補助休耕的農民，休耕農地形同廢耕，對生產及財政造成雙重打擊。另外，臺灣農戶平均耕地規模僅</w:t>
      </w:r>
      <w:r w:rsidRPr="00C77E77">
        <w:rPr>
          <w:rFonts w:ascii="Times New Roman" w:eastAsia="標楷體" w:hAnsi="Times New Roman" w:cs="Times New Roman"/>
          <w:color w:val="000000" w:themeColor="text1"/>
          <w:sz w:val="28"/>
          <w:szCs w:val="28"/>
        </w:rPr>
        <w:t>1.02</w:t>
      </w:r>
      <w:r w:rsidRPr="00C77E77">
        <w:rPr>
          <w:rFonts w:ascii="Times New Roman" w:eastAsia="標楷體" w:hAnsi="Times New Roman" w:cs="Times New Roman"/>
          <w:color w:val="000000" w:themeColor="text1"/>
          <w:sz w:val="28"/>
          <w:szCs w:val="28"/>
        </w:rPr>
        <w:t>公頃，由於規模普遍過小，屬於小農經營形態，農業經營主體多屬兼業農，導致生產成本偏高，難與國際競爭。</w:t>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其他如糧食自給率不足，</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年糧食自給率為</w:t>
      </w:r>
      <w:r w:rsidRPr="00C77E77">
        <w:rPr>
          <w:rFonts w:ascii="Times New Roman" w:eastAsia="標楷體" w:hAnsi="Times New Roman" w:cs="Times New Roman"/>
          <w:color w:val="000000" w:themeColor="text1"/>
          <w:sz w:val="28"/>
          <w:szCs w:val="28"/>
        </w:rPr>
        <w:t>34.13</w:t>
      </w:r>
      <w:r w:rsidRPr="00C77E77">
        <w:rPr>
          <w:rFonts w:ascii="Times New Roman" w:eastAsia="標楷體" w:hAnsi="Times New Roman" w:cs="Times New Roman"/>
          <w:color w:val="000000" w:themeColor="text1"/>
          <w:sz w:val="28"/>
          <w:szCs w:val="28"/>
        </w:rPr>
        <w:t>％，表示僅有</w:t>
      </w:r>
      <w:r w:rsidRPr="00C77E77">
        <w:rPr>
          <w:rFonts w:ascii="Times New Roman" w:eastAsia="標楷體" w:hAnsi="Times New Roman" w:cs="Times New Roman"/>
          <w:color w:val="000000" w:themeColor="text1"/>
          <w:sz w:val="28"/>
          <w:szCs w:val="28"/>
        </w:rPr>
        <w:t>3</w:t>
      </w:r>
      <w:r w:rsidRPr="00C77E77">
        <w:rPr>
          <w:rFonts w:ascii="Times New Roman" w:eastAsia="標楷體" w:hAnsi="Times New Roman" w:cs="Times New Roman"/>
          <w:color w:val="000000" w:themeColor="text1"/>
          <w:sz w:val="28"/>
          <w:szCs w:val="28"/>
        </w:rPr>
        <w:t>成的糧食為國內生產，而高度依賴外國的糧食進口；農業生產所得比率偏低亦是一大隱憂，</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年農業所得僅占農家所得</w:t>
      </w:r>
      <w:r w:rsidRPr="00C77E77">
        <w:rPr>
          <w:rFonts w:ascii="Times New Roman" w:eastAsia="標楷體" w:hAnsi="Times New Roman" w:cs="Times New Roman"/>
          <w:color w:val="000000" w:themeColor="text1"/>
          <w:sz w:val="28"/>
          <w:szCs w:val="28"/>
        </w:rPr>
        <w:t>22</w:t>
      </w:r>
      <w:r w:rsidRPr="00C77E77">
        <w:rPr>
          <w:rFonts w:ascii="Times New Roman" w:eastAsia="標楷體" w:hAnsi="Times New Roman" w:cs="Times New Roman"/>
          <w:color w:val="000000" w:themeColor="text1"/>
          <w:sz w:val="28"/>
          <w:szCs w:val="28"/>
        </w:rPr>
        <w:t>％，表示農家所得僅有</w:t>
      </w:r>
      <w:r w:rsidRPr="00C77E77">
        <w:rPr>
          <w:rFonts w:ascii="Times New Roman" w:eastAsia="標楷體" w:hAnsi="Times New Roman" w:cs="Times New Roman"/>
          <w:color w:val="000000" w:themeColor="text1"/>
          <w:sz w:val="28"/>
          <w:szCs w:val="28"/>
        </w:rPr>
        <w:t>2</w:t>
      </w:r>
      <w:r w:rsidRPr="00C77E77">
        <w:rPr>
          <w:rFonts w:ascii="Times New Roman" w:eastAsia="標楷體" w:hAnsi="Times New Roman" w:cs="Times New Roman"/>
          <w:color w:val="000000" w:themeColor="text1"/>
          <w:sz w:val="28"/>
          <w:szCs w:val="28"/>
        </w:rPr>
        <w:t>成來自於農業所得，農家大部分所得來自於兼業所得，上述這些挑戰都是政府亟待解決且持續關注之問題。</w:t>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為順應全球化、自由化趨勢，政府除於</w:t>
      </w:r>
      <w:r w:rsidRPr="00C77E77">
        <w:rPr>
          <w:rFonts w:ascii="Times New Roman" w:eastAsia="標楷體" w:hAnsi="Times New Roman" w:cs="Times New Roman"/>
          <w:color w:val="000000" w:themeColor="text1"/>
          <w:sz w:val="28"/>
          <w:szCs w:val="28"/>
        </w:rPr>
        <w:t>2009</w:t>
      </w:r>
      <w:r w:rsidRPr="00C77E77">
        <w:rPr>
          <w:rFonts w:ascii="Times New Roman" w:eastAsia="標楷體" w:hAnsi="Times New Roman" w:cs="Times New Roman"/>
          <w:color w:val="000000" w:themeColor="text1"/>
          <w:sz w:val="28"/>
          <w:szCs w:val="28"/>
        </w:rPr>
        <w:t>年提出</w:t>
      </w:r>
      <w:r w:rsidRPr="00C77E77">
        <w:rPr>
          <w:rFonts w:ascii="Times New Roman" w:eastAsia="標楷體" w:hAnsi="Times New Roman" w:cs="Times New Roman"/>
          <w:color w:val="000000"/>
          <w:sz w:val="28"/>
          <w:szCs w:val="28"/>
        </w:rPr>
        <w:t>「精緻農業健康卓越方案」，亦</w:t>
      </w:r>
      <w:r w:rsidRPr="00C77E77">
        <w:rPr>
          <w:rFonts w:ascii="Times New Roman" w:eastAsia="標楷體" w:hAnsi="Times New Roman" w:cs="Times New Roman"/>
          <w:color w:val="000000" w:themeColor="text1"/>
          <w:sz w:val="28"/>
          <w:szCs w:val="28"/>
        </w:rPr>
        <w:t>於</w:t>
      </w:r>
      <w:r w:rsidRPr="00C77E77">
        <w:rPr>
          <w:rFonts w:ascii="Times New Roman" w:eastAsia="標楷體" w:hAnsi="Times New Roman" w:cs="Times New Roman"/>
          <w:color w:val="000000" w:themeColor="text1"/>
          <w:sz w:val="28"/>
          <w:szCs w:val="28"/>
        </w:rPr>
        <w:t>2011</w:t>
      </w:r>
      <w:r w:rsidRPr="00C77E77">
        <w:rPr>
          <w:rFonts w:ascii="Times New Roman" w:eastAsia="標楷體" w:hAnsi="Times New Roman" w:cs="Times New Roman"/>
          <w:color w:val="000000" w:themeColor="text1"/>
          <w:sz w:val="28"/>
          <w:szCs w:val="28"/>
        </w:rPr>
        <w:t>年積極推動「黃金十年</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樂活農業」，從品牌驗證、科技研發、農村風情等層面，「新價值鏈農業」為戰略重心，鼓勵跨域合作與創新思維，並運用農業科技優勢，推動農業生產力</w:t>
      </w:r>
      <w:r w:rsidRPr="00C77E77">
        <w:rPr>
          <w:rFonts w:ascii="Times New Roman" w:eastAsia="標楷體" w:hAnsi="Times New Roman" w:cs="Times New Roman"/>
          <w:color w:val="000000" w:themeColor="text1"/>
          <w:sz w:val="28"/>
          <w:szCs w:val="28"/>
        </w:rPr>
        <w:t>4.0</w:t>
      </w:r>
      <w:r w:rsidRPr="00C77E77">
        <w:rPr>
          <w:rFonts w:ascii="Times New Roman" w:eastAsia="標楷體" w:hAnsi="Times New Roman" w:cs="Times New Roman"/>
          <w:color w:val="000000" w:themeColor="text1"/>
          <w:sz w:val="28"/>
          <w:szCs w:val="28"/>
        </w:rPr>
        <w:t>，進行產業與人、地、水資源結構調整，發展大而優的規模化產業、開創小而美的特色型產業，建構年輕化、有活力、高競爭力且所得穩定之樂活農業。</w:t>
      </w:r>
      <w:r w:rsidRPr="00C77E77">
        <w:rPr>
          <w:rStyle w:val="a9"/>
          <w:rFonts w:ascii="Times New Roman" w:eastAsia="標楷體" w:hAnsi="Times New Roman" w:cs="Times New Roman"/>
          <w:color w:val="000000" w:themeColor="text1"/>
          <w:sz w:val="28"/>
          <w:szCs w:val="28"/>
        </w:rPr>
        <w:footnoteReference w:id="86"/>
      </w:r>
    </w:p>
    <w:p w:rsidR="00AC152F" w:rsidRPr="00C77E77" w:rsidRDefault="00AC152F"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其中，在</w:t>
      </w:r>
      <w:r w:rsidRPr="00C77E77">
        <w:rPr>
          <w:rFonts w:ascii="Times New Roman" w:eastAsia="標楷體" w:hAnsi="Times New Roman" w:cs="Times New Roman"/>
          <w:color w:val="000000"/>
          <w:sz w:val="28"/>
          <w:szCs w:val="28"/>
        </w:rPr>
        <w:t>「精緻農業健康卓越方案」中歸納出</w:t>
      </w:r>
      <w:r w:rsidR="00E474E8" w:rsidRPr="00C77E77">
        <w:rPr>
          <w:rFonts w:ascii="Times New Roman" w:eastAsia="標楷體" w:hAnsi="Times New Roman" w:cs="Times New Roman"/>
          <w:color w:val="000000" w:themeColor="text1"/>
          <w:sz w:val="28"/>
          <w:szCs w:val="28"/>
        </w:rPr>
        <w:t>臺灣</w:t>
      </w:r>
      <w:r w:rsidRPr="00C77E77">
        <w:rPr>
          <w:rFonts w:ascii="Times New Roman" w:eastAsia="標楷體" w:hAnsi="Times New Roman" w:cs="Times New Roman"/>
          <w:color w:val="000000" w:themeColor="text1"/>
          <w:sz w:val="28"/>
          <w:szCs w:val="28"/>
        </w:rPr>
        <w:t>農業科技研發具有以下三點優勢，因此</w:t>
      </w:r>
      <w:r w:rsidRPr="00C77E77">
        <w:rPr>
          <w:rFonts w:ascii="Times New Roman" w:eastAsia="標楷體" w:hAnsi="Times New Roman" w:cs="Times New Roman"/>
          <w:color w:val="000000"/>
          <w:sz w:val="28"/>
          <w:szCs w:val="28"/>
        </w:rPr>
        <w:t>將發展農業生物技術、蘭花、觀賞魚、石斑魚、植物種苗及種禽畜等產業，作為首要推動目標，參見</w:t>
      </w:r>
      <w:r w:rsidRPr="00C77E77">
        <w:rPr>
          <w:rFonts w:ascii="Times New Roman" w:eastAsia="標楷體" w:hAnsi="Times New Roman" w:cs="Times New Roman"/>
          <w:color w:val="000000" w:themeColor="text1"/>
          <w:sz w:val="28"/>
          <w:szCs w:val="28"/>
        </w:rPr>
        <w:t>圖</w:t>
      </w:r>
      <w:r w:rsidRPr="00C77E77">
        <w:rPr>
          <w:rFonts w:ascii="Times New Roman" w:eastAsia="標楷體" w:hAnsi="Times New Roman" w:cs="Times New Roman"/>
          <w:color w:val="000000" w:themeColor="text1"/>
          <w:sz w:val="28"/>
          <w:szCs w:val="28"/>
        </w:rPr>
        <w:t>3-4-</w:t>
      </w:r>
      <w:r w:rsidR="00815FCC" w:rsidRPr="00C77E77">
        <w:rPr>
          <w:rFonts w:ascii="Times New Roman" w:eastAsia="標楷體" w:hAnsi="Times New Roman" w:cs="Times New Roman"/>
          <w:color w:val="000000" w:themeColor="text1"/>
          <w:sz w:val="28"/>
          <w:szCs w:val="28"/>
        </w:rPr>
        <w:t>7</w:t>
      </w:r>
      <w:r w:rsidRPr="00C77E77">
        <w:rPr>
          <w:rFonts w:ascii="Times New Roman" w:eastAsia="標楷體" w:hAnsi="Times New Roman" w:cs="Times New Roman"/>
          <w:color w:val="000000" w:themeColor="text1"/>
          <w:sz w:val="28"/>
          <w:szCs w:val="28"/>
        </w:rPr>
        <w:t>。</w:t>
      </w:r>
    </w:p>
    <w:p w:rsidR="00CA3E98" w:rsidRPr="00C77E77" w:rsidRDefault="00CA3E98" w:rsidP="00D7793B">
      <w:pPr>
        <w:spacing w:before="50" w:after="50" w:line="500" w:lineRule="exact"/>
        <w:ind w:leftChars="50" w:left="120" w:firstLine="482"/>
        <w:jc w:val="both"/>
        <w:rPr>
          <w:rFonts w:ascii="Times New Roman" w:eastAsia="標楷體" w:hAnsi="Times New Roman" w:cs="Times New Roman"/>
          <w:color w:val="000000" w:themeColor="text1"/>
          <w:sz w:val="28"/>
          <w:szCs w:val="28"/>
        </w:rPr>
      </w:pPr>
    </w:p>
    <w:p w:rsidR="00AC152F" w:rsidRPr="00C77E77" w:rsidRDefault="00AC152F" w:rsidP="00C70A64">
      <w:pPr>
        <w:spacing w:before="50" w:after="50" w:line="360" w:lineRule="auto"/>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noProof/>
          <w:color w:val="000000" w:themeColor="text1"/>
          <w:sz w:val="28"/>
          <w:szCs w:val="28"/>
        </w:rPr>
        <w:lastRenderedPageBreak/>
        <w:drawing>
          <wp:inline distT="0" distB="0" distL="0" distR="0" wp14:anchorId="5FA7B5E6" wp14:editId="3FFA2BB8">
            <wp:extent cx="5263763" cy="2186609"/>
            <wp:effectExtent l="76200" t="38100" r="51435" b="4445"/>
            <wp:docPr id="6213" name="資料庫圖表 62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AC152F" w:rsidRPr="00C77E77" w:rsidRDefault="00AC152F" w:rsidP="00AC152F">
      <w:pPr>
        <w:pStyle w:val="af7"/>
      </w:pPr>
      <w:bookmarkStart w:id="118" w:name="_Toc470676644"/>
      <w:r w:rsidRPr="00C77E77">
        <w:t>圖</w:t>
      </w:r>
      <w:r w:rsidRPr="00C77E77">
        <w:t>3-4-</w:t>
      </w:r>
      <w:r w:rsidR="00815FCC" w:rsidRPr="00C77E77">
        <w:t>7</w:t>
      </w:r>
      <w:r w:rsidRPr="00C77E77">
        <w:t xml:space="preserve"> </w:t>
      </w:r>
      <w:r w:rsidR="00E474E8" w:rsidRPr="00C77E77">
        <w:t>臺灣</w:t>
      </w:r>
      <w:r w:rsidRPr="00C77E77">
        <w:t>農業科技研發優勢</w:t>
      </w:r>
      <w:bookmarkEnd w:id="118"/>
    </w:p>
    <w:p w:rsidR="00AC152F" w:rsidRPr="00C77E77" w:rsidRDefault="00AC152F" w:rsidP="00AC152F">
      <w:pPr>
        <w:spacing w:before="50" w:after="50" w:line="360" w:lineRule="auto"/>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w:t>
      </w:r>
      <w:r w:rsidR="000C1684" w:rsidRPr="00C77E77">
        <w:rPr>
          <w:rFonts w:ascii="Times New Roman" w:eastAsia="標楷體" w:hAnsi="Times New Roman" w:cs="Times New Roman"/>
          <w:color w:val="000000" w:themeColor="text1"/>
          <w:sz w:val="28"/>
          <w:szCs w:val="28"/>
        </w:rPr>
        <w:t>本研究整理</w:t>
      </w:r>
      <w:r w:rsidRPr="00C77E77">
        <w:rPr>
          <w:rFonts w:ascii="Times New Roman" w:eastAsia="標楷體" w:hAnsi="Times New Roman" w:cs="Times New Roman"/>
          <w:color w:val="000000" w:themeColor="text1"/>
          <w:sz w:val="28"/>
          <w:szCs w:val="28"/>
        </w:rPr>
        <w:t>。</w:t>
      </w:r>
    </w:p>
    <w:p w:rsidR="00684ECD" w:rsidRPr="00C77E77" w:rsidRDefault="00684ECD" w:rsidP="00684ECD">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根據農委會資料顯示</w:t>
      </w:r>
      <w:r w:rsidRPr="00C77E77">
        <w:rPr>
          <w:rStyle w:val="a9"/>
          <w:rFonts w:ascii="Times New Roman" w:eastAsia="標楷體" w:hAnsi="Times New Roman" w:cs="Times New Roman"/>
          <w:sz w:val="28"/>
          <w:szCs w:val="28"/>
        </w:rPr>
        <w:footnoteReference w:id="87"/>
      </w:r>
      <w:r w:rsidRPr="00C77E77">
        <w:rPr>
          <w:rFonts w:ascii="Times New Roman" w:eastAsia="標楷體" w:hAnsi="Times New Roman" w:cs="Times New Roman"/>
          <w:sz w:val="28"/>
          <w:szCs w:val="28"/>
        </w:rPr>
        <w:t>，截至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年臺灣蘭花種植面積</w:t>
      </w:r>
      <w:r w:rsidRPr="00C77E77">
        <w:rPr>
          <w:rFonts w:ascii="Times New Roman" w:eastAsia="標楷體" w:hAnsi="Times New Roman" w:cs="Times New Roman"/>
          <w:sz w:val="28"/>
          <w:szCs w:val="28"/>
        </w:rPr>
        <w:t>926</w:t>
      </w:r>
      <w:r w:rsidRPr="00C77E77">
        <w:rPr>
          <w:rFonts w:ascii="Times New Roman" w:eastAsia="標楷體" w:hAnsi="Times New Roman" w:cs="Times New Roman"/>
          <w:sz w:val="28"/>
          <w:szCs w:val="28"/>
        </w:rPr>
        <w:t>公頃，以文心蘭</w:t>
      </w:r>
      <w:r w:rsidRPr="00C77E77">
        <w:rPr>
          <w:rFonts w:ascii="Times New Roman" w:eastAsia="標楷體" w:hAnsi="Times New Roman" w:cs="Times New Roman"/>
          <w:sz w:val="28"/>
          <w:szCs w:val="28"/>
        </w:rPr>
        <w:t>249</w:t>
      </w:r>
      <w:r w:rsidRPr="00C77E77">
        <w:rPr>
          <w:rFonts w:ascii="Times New Roman" w:eastAsia="標楷體" w:hAnsi="Times New Roman" w:cs="Times New Roman"/>
          <w:sz w:val="28"/>
          <w:szCs w:val="28"/>
        </w:rPr>
        <w:t>公頃、蝴蝶蘭</w:t>
      </w:r>
      <w:r w:rsidRPr="00C77E77">
        <w:rPr>
          <w:rFonts w:ascii="Times New Roman" w:eastAsia="標楷體" w:hAnsi="Times New Roman" w:cs="Times New Roman"/>
          <w:sz w:val="28"/>
          <w:szCs w:val="28"/>
        </w:rPr>
        <w:t>221</w:t>
      </w:r>
      <w:r w:rsidRPr="00C77E77">
        <w:rPr>
          <w:rFonts w:ascii="Times New Roman" w:eastAsia="標楷體" w:hAnsi="Times New Roman" w:cs="Times New Roman"/>
          <w:sz w:val="28"/>
          <w:szCs w:val="28"/>
        </w:rPr>
        <w:t>公頃、蕙蘭</w:t>
      </w:r>
      <w:r w:rsidRPr="00C77E77">
        <w:rPr>
          <w:rFonts w:ascii="Times New Roman" w:eastAsia="標楷體" w:hAnsi="Times New Roman" w:cs="Times New Roman"/>
          <w:sz w:val="28"/>
          <w:szCs w:val="28"/>
        </w:rPr>
        <w:t>176</w:t>
      </w:r>
      <w:r w:rsidRPr="00C77E77">
        <w:rPr>
          <w:rFonts w:ascii="Times New Roman" w:eastAsia="標楷體" w:hAnsi="Times New Roman" w:cs="Times New Roman"/>
          <w:sz w:val="28"/>
          <w:szCs w:val="28"/>
        </w:rPr>
        <w:t>公頃為大宗。外銷出口值</w:t>
      </w:r>
      <w:r w:rsidRPr="00C77E77">
        <w:rPr>
          <w:rFonts w:ascii="Times New Roman" w:eastAsia="標楷體" w:hAnsi="Times New Roman" w:cs="Times New Roman"/>
          <w:sz w:val="28"/>
          <w:szCs w:val="28"/>
        </w:rPr>
        <w:t>1.83</w:t>
      </w:r>
      <w:r w:rsidRPr="00C77E77">
        <w:rPr>
          <w:rFonts w:ascii="Times New Roman" w:eastAsia="標楷體" w:hAnsi="Times New Roman" w:cs="Times New Roman"/>
          <w:sz w:val="28"/>
          <w:szCs w:val="28"/>
        </w:rPr>
        <w:t>億美元，其中蝴蝶蘭</w:t>
      </w:r>
      <w:r w:rsidRPr="00C77E77">
        <w:rPr>
          <w:rFonts w:ascii="Times New Roman" w:eastAsia="標楷體" w:hAnsi="Times New Roman" w:cs="Times New Roman"/>
          <w:sz w:val="28"/>
          <w:szCs w:val="28"/>
        </w:rPr>
        <w:t>1.33</w:t>
      </w:r>
      <w:r w:rsidRPr="00C77E77">
        <w:rPr>
          <w:rFonts w:ascii="Times New Roman" w:eastAsia="標楷體" w:hAnsi="Times New Roman" w:cs="Times New Roman"/>
          <w:sz w:val="28"/>
          <w:szCs w:val="28"/>
        </w:rPr>
        <w:t>億美元占</w:t>
      </w:r>
      <w:r w:rsidRPr="00C77E77">
        <w:rPr>
          <w:rFonts w:ascii="Times New Roman" w:eastAsia="標楷體" w:hAnsi="Times New Roman" w:cs="Times New Roman"/>
          <w:sz w:val="28"/>
          <w:szCs w:val="28"/>
        </w:rPr>
        <w:t>73%</w:t>
      </w:r>
      <w:r w:rsidRPr="00C77E77">
        <w:rPr>
          <w:rFonts w:ascii="Times New Roman" w:eastAsia="標楷體" w:hAnsi="Times New Roman" w:cs="Times New Roman"/>
          <w:sz w:val="28"/>
          <w:szCs w:val="28"/>
        </w:rPr>
        <w:t>、文心蘭</w:t>
      </w:r>
      <w:r w:rsidRPr="00C77E77">
        <w:rPr>
          <w:rFonts w:ascii="Times New Roman" w:eastAsia="標楷體" w:hAnsi="Times New Roman" w:cs="Times New Roman"/>
          <w:sz w:val="28"/>
          <w:szCs w:val="28"/>
        </w:rPr>
        <w:t>1,332</w:t>
      </w:r>
      <w:r w:rsidRPr="00C77E77">
        <w:rPr>
          <w:rFonts w:ascii="Times New Roman" w:eastAsia="標楷體" w:hAnsi="Times New Roman" w:cs="Times New Roman"/>
          <w:sz w:val="28"/>
          <w:szCs w:val="28"/>
        </w:rPr>
        <w:t>千美元占</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、蕙蘭</w:t>
      </w:r>
      <w:r w:rsidRPr="00C77E77">
        <w:rPr>
          <w:rFonts w:ascii="Times New Roman" w:eastAsia="標楷體" w:hAnsi="Times New Roman" w:cs="Times New Roman"/>
          <w:sz w:val="28"/>
          <w:szCs w:val="28"/>
        </w:rPr>
        <w:t>1,095</w:t>
      </w:r>
      <w:r w:rsidRPr="00C77E77">
        <w:rPr>
          <w:rFonts w:ascii="Times New Roman" w:eastAsia="標楷體" w:hAnsi="Times New Roman" w:cs="Times New Roman"/>
          <w:sz w:val="28"/>
          <w:szCs w:val="28"/>
        </w:rPr>
        <w:t>千美元占</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w:t>
      </w:r>
    </w:p>
    <w:p w:rsidR="00684ECD" w:rsidRPr="00C77E77" w:rsidRDefault="00684ECD" w:rsidP="00684ECD">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在觀賞魚產業部分，我國近年來整體觀賞水族產業產值呈現穩定成長，</w:t>
      </w: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年觀賞魚及附屬水族器材產業總產值約新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億元，</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年約新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億元，成長超過一倍。我國觀賞魚產業價值鏈從上游至下游包括品種開發、繁養殖</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進口、通路</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銷售、消費端等四個部份。</w:t>
      </w:r>
      <w:r w:rsidRPr="00C77E77">
        <w:rPr>
          <w:rStyle w:val="a9"/>
          <w:rFonts w:ascii="Times New Roman" w:eastAsia="標楷體" w:hAnsi="Times New Roman" w:cs="Times New Roman"/>
          <w:sz w:val="28"/>
          <w:szCs w:val="28"/>
        </w:rPr>
        <w:footnoteReference w:id="88"/>
      </w:r>
    </w:p>
    <w:p w:rsidR="00684ECD" w:rsidRPr="00C77E77" w:rsidRDefault="00684ECD" w:rsidP="00684ECD">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在國內種苗產值方面，根據「</w:t>
      </w:r>
      <w:r w:rsidRPr="00C77E77">
        <w:rPr>
          <w:rFonts w:ascii="Times New Roman" w:eastAsia="標楷體" w:hAnsi="Times New Roman" w:cs="Times New Roman"/>
          <w:sz w:val="28"/>
          <w:szCs w:val="28"/>
        </w:rPr>
        <w:t>104-106</w:t>
      </w:r>
      <w:r w:rsidRPr="00C77E77">
        <w:rPr>
          <w:rFonts w:ascii="Times New Roman" w:eastAsia="標楷體" w:hAnsi="Times New Roman" w:cs="Times New Roman"/>
          <w:sz w:val="28"/>
          <w:szCs w:val="28"/>
        </w:rPr>
        <w:t>年重點產業人才供需調查及推估彙整報告」，</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年度種苗產值約為</w:t>
      </w:r>
      <w:r w:rsidRPr="00C77E77">
        <w:rPr>
          <w:rFonts w:ascii="Times New Roman" w:eastAsia="標楷體" w:hAnsi="Times New Roman" w:cs="Times New Roman"/>
          <w:sz w:val="28"/>
          <w:szCs w:val="28"/>
        </w:rPr>
        <w:t>83</w:t>
      </w:r>
      <w:r w:rsidRPr="00C77E77">
        <w:rPr>
          <w:rFonts w:ascii="Times New Roman" w:eastAsia="標楷體" w:hAnsi="Times New Roman" w:cs="Times New Roman"/>
          <w:sz w:val="28"/>
          <w:szCs w:val="28"/>
        </w:rPr>
        <w:t>億（不含蘭科植物）。若計入蘭科植物產值，</w:t>
      </w:r>
      <w:r w:rsidRPr="00C77E77">
        <w:rPr>
          <w:rFonts w:ascii="Times New Roman" w:eastAsia="標楷體" w:hAnsi="Times New Roman" w:cs="Times New Roman"/>
          <w:sz w:val="28"/>
          <w:szCs w:val="28"/>
        </w:rPr>
        <w:t>2008~2009</w:t>
      </w:r>
      <w:r w:rsidRPr="00C77E77">
        <w:rPr>
          <w:rFonts w:ascii="Times New Roman" w:eastAsia="標楷體" w:hAnsi="Times New Roman" w:cs="Times New Roman"/>
          <w:sz w:val="28"/>
          <w:szCs w:val="28"/>
        </w:rPr>
        <w:t>年蘭科種苗出口值約在</w:t>
      </w:r>
      <w:r w:rsidRPr="00C77E77">
        <w:rPr>
          <w:rFonts w:ascii="Times New Roman" w:eastAsia="標楷體" w:hAnsi="Times New Roman" w:cs="Times New Roman"/>
          <w:sz w:val="28"/>
          <w:szCs w:val="28"/>
        </w:rPr>
        <w:t>34</w:t>
      </w:r>
      <w:r w:rsidRPr="00C77E77">
        <w:rPr>
          <w:rFonts w:ascii="Times New Roman" w:eastAsia="標楷體" w:hAnsi="Times New Roman" w:cs="Times New Roman"/>
          <w:sz w:val="28"/>
          <w:szCs w:val="28"/>
        </w:rPr>
        <w:t>億左右，因此推估國內種苗產值年平均約</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億左右。</w:t>
      </w:r>
    </w:p>
    <w:p w:rsidR="00684ECD" w:rsidRPr="00C77E77" w:rsidRDefault="00684ECD" w:rsidP="00684ECD">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另「屏東農業生技園區整體發展方案」辦理情形顯示，屏東農業生技園區既有面積</w:t>
      </w:r>
      <w:r w:rsidRPr="00C77E77">
        <w:rPr>
          <w:rFonts w:ascii="Times New Roman" w:eastAsia="標楷體" w:hAnsi="Times New Roman" w:cs="Times New Roman"/>
          <w:sz w:val="28"/>
          <w:szCs w:val="28"/>
        </w:rPr>
        <w:t>233</w:t>
      </w:r>
      <w:r w:rsidRPr="00C77E77">
        <w:rPr>
          <w:rFonts w:ascii="Times New Roman" w:eastAsia="標楷體" w:hAnsi="Times New Roman" w:cs="Times New Roman"/>
          <w:sz w:val="28"/>
          <w:szCs w:val="28"/>
        </w:rPr>
        <w:t>公頃，土地利用率已達</w:t>
      </w:r>
      <w:r w:rsidRPr="00C77E77">
        <w:rPr>
          <w:rFonts w:ascii="Times New Roman" w:eastAsia="標楷體" w:hAnsi="Times New Roman" w:cs="Times New Roman"/>
          <w:sz w:val="28"/>
          <w:szCs w:val="28"/>
        </w:rPr>
        <w:t>90%</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年產值</w:t>
      </w:r>
      <w:r w:rsidRPr="00C77E77">
        <w:rPr>
          <w:rFonts w:ascii="Times New Roman" w:eastAsia="標楷體" w:hAnsi="Times New Roman" w:cs="Times New Roman"/>
          <w:sz w:val="28"/>
          <w:szCs w:val="28"/>
        </w:rPr>
        <w:t>42.5</w:t>
      </w:r>
      <w:r w:rsidRPr="00C77E77">
        <w:rPr>
          <w:rFonts w:ascii="Times New Roman" w:eastAsia="標楷體" w:hAnsi="Times New Roman" w:cs="Times New Roman"/>
          <w:sz w:val="28"/>
          <w:szCs w:val="28"/>
        </w:rPr>
        <w:t>億元，估至</w:t>
      </w:r>
      <w:r w:rsidRPr="00C77E77">
        <w:rPr>
          <w:rFonts w:ascii="Times New Roman" w:eastAsia="標楷體" w:hAnsi="Times New Roman" w:cs="Times New Roman"/>
          <w:sz w:val="28"/>
          <w:szCs w:val="28"/>
        </w:rPr>
        <w:lastRenderedPageBreak/>
        <w:t>2018</w:t>
      </w:r>
      <w:r w:rsidRPr="00C77E77">
        <w:rPr>
          <w:rFonts w:ascii="Times New Roman" w:eastAsia="標楷體" w:hAnsi="Times New Roman" w:cs="Times New Roman"/>
          <w:sz w:val="28"/>
          <w:szCs w:val="28"/>
        </w:rPr>
        <w:t>年可達到</w:t>
      </w:r>
      <w:r w:rsidRPr="00C77E77">
        <w:rPr>
          <w:rFonts w:ascii="Times New Roman" w:eastAsia="標楷體" w:hAnsi="Times New Roman" w:cs="Times New Roman"/>
          <w:sz w:val="28"/>
          <w:szCs w:val="28"/>
        </w:rPr>
        <w:t>180</w:t>
      </w:r>
      <w:r w:rsidRPr="00C77E77">
        <w:rPr>
          <w:rFonts w:ascii="Times New Roman" w:eastAsia="標楷體" w:hAnsi="Times New Roman" w:cs="Times New Roman"/>
          <w:sz w:val="28"/>
          <w:szCs w:val="28"/>
        </w:rPr>
        <w:t>億元以上，另計有</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家國內、外企業投資設廠。</w:t>
      </w:r>
    </w:p>
    <w:p w:rsidR="00684ECD" w:rsidRPr="00C77E77" w:rsidRDefault="00684ECD" w:rsidP="00684ECD">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而在重要外銷品項方面，農委會選定之</w:t>
      </w:r>
      <w:r w:rsidRPr="00C77E77">
        <w:rPr>
          <w:rFonts w:ascii="Times New Roman" w:eastAsia="標楷體" w:hAnsi="Times New Roman" w:cs="Times New Roman"/>
          <w:sz w:val="28"/>
          <w:szCs w:val="28"/>
        </w:rPr>
        <w:t>33</w:t>
      </w:r>
      <w:r w:rsidRPr="00C77E77">
        <w:rPr>
          <w:rFonts w:ascii="Times New Roman" w:eastAsia="標楷體" w:hAnsi="Times New Roman" w:cs="Times New Roman"/>
          <w:sz w:val="28"/>
          <w:szCs w:val="28"/>
        </w:rPr>
        <w:t>項與農民生產有直接關係的主力或具外銷潛力農產品。其中農糧產品</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項、水產品</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項、畜禽產品</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項。參考圖</w:t>
      </w:r>
      <w:r w:rsidRPr="00C77E77">
        <w:rPr>
          <w:rFonts w:ascii="Times New Roman" w:eastAsia="標楷體" w:hAnsi="Times New Roman" w:cs="Times New Roman"/>
          <w:sz w:val="28"/>
          <w:szCs w:val="28"/>
        </w:rPr>
        <w:t>3-4-8</w:t>
      </w:r>
      <w:r w:rsidRPr="00C77E77">
        <w:rPr>
          <w:rFonts w:ascii="Times New Roman" w:eastAsia="標楷體" w:hAnsi="Times New Roman" w:cs="Times New Roman"/>
          <w:sz w:val="28"/>
          <w:szCs w:val="28"/>
        </w:rPr>
        <w:t>。</w:t>
      </w:r>
    </w:p>
    <w:p w:rsidR="00684ECD" w:rsidRPr="00C77E77" w:rsidRDefault="00684ECD" w:rsidP="00684ECD">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雖然臺灣農業科技研發具有相當優勢，然而卻面臨如何運用科技加值農業，提高產值之問題。以日本為例，其積極開發與應用智慧型農業（</w:t>
      </w:r>
      <w:r w:rsidRPr="00C77E77">
        <w:rPr>
          <w:rFonts w:ascii="Times New Roman" w:eastAsia="標楷體" w:hAnsi="Times New Roman" w:cs="Times New Roman"/>
          <w:sz w:val="28"/>
          <w:szCs w:val="28"/>
        </w:rPr>
        <w:t>Agriculture Informatics</w:t>
      </w:r>
      <w:r w:rsidR="00AD7C8E"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AI</w:t>
      </w:r>
      <w:r w:rsidRPr="00C77E77">
        <w:rPr>
          <w:rFonts w:ascii="Times New Roman" w:eastAsia="標楷體" w:hAnsi="Times New Roman" w:cs="Times New Roman"/>
          <w:sz w:val="28"/>
          <w:szCs w:val="28"/>
        </w:rPr>
        <w:t>）技術，目標是為實現超省力與大規模生產、發揮作物最大潛能、安全且便利作業環境。因此如何運用物聯網</w:t>
      </w:r>
      <w:r w:rsidR="00526F58" w:rsidRPr="00C77E77">
        <w:rPr>
          <w:rFonts w:ascii="Times New Roman" w:eastAsia="標楷體" w:hAnsi="Times New Roman" w:cs="Times New Roman"/>
          <w:sz w:val="28"/>
          <w:szCs w:val="28"/>
        </w:rPr>
        <w:t>（</w:t>
      </w:r>
      <w:r w:rsidR="00526F58" w:rsidRPr="00C77E77">
        <w:rPr>
          <w:rFonts w:ascii="Times New Roman" w:eastAsia="標楷體" w:hAnsi="Times New Roman" w:cs="Times New Roman"/>
          <w:sz w:val="28"/>
          <w:szCs w:val="28"/>
        </w:rPr>
        <w:t>IoT</w:t>
      </w:r>
      <w:r w:rsidR="00526F5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雲端運算</w:t>
      </w:r>
      <w:r w:rsidR="00526F5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C</w:t>
      </w:r>
      <w:r w:rsidR="00526F58" w:rsidRPr="00C77E77">
        <w:rPr>
          <w:rFonts w:ascii="Times New Roman" w:eastAsia="標楷體" w:hAnsi="Times New Roman" w:cs="Times New Roman"/>
          <w:sz w:val="28"/>
          <w:szCs w:val="28"/>
        </w:rPr>
        <w:t>loud Computing</w:t>
      </w:r>
      <w:r w:rsidR="00526F5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00526F58" w:rsidRPr="00C77E77">
        <w:rPr>
          <w:rFonts w:ascii="Times New Roman" w:eastAsia="標楷體" w:hAnsi="Times New Roman" w:cs="Times New Roman"/>
          <w:sz w:val="28"/>
          <w:szCs w:val="28"/>
        </w:rPr>
        <w:t>大數據（</w:t>
      </w:r>
      <w:r w:rsidRPr="00C77E77">
        <w:rPr>
          <w:rFonts w:ascii="Times New Roman" w:eastAsia="標楷體" w:hAnsi="Times New Roman" w:cs="Times New Roman"/>
          <w:sz w:val="28"/>
          <w:szCs w:val="28"/>
        </w:rPr>
        <w:t>Big data</w:t>
      </w:r>
      <w:r w:rsidR="00526F5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，以促進我國農業發展與關鍵之特色實為重要。</w:t>
      </w:r>
    </w:p>
    <w:p w:rsidR="00684ECD" w:rsidRPr="00C77E77" w:rsidRDefault="00684ECD" w:rsidP="00684ECD">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其二，我國正積極推動農業</w:t>
      </w:r>
      <w:r w:rsidRPr="00C77E77">
        <w:rPr>
          <w:rFonts w:ascii="Times New Roman" w:eastAsia="標楷體" w:hAnsi="Times New Roman" w:cs="Times New Roman"/>
          <w:sz w:val="28"/>
          <w:szCs w:val="28"/>
        </w:rPr>
        <w:t>4.0</w:t>
      </w:r>
      <w:r w:rsidR="00981653" w:rsidRPr="00C77E77">
        <w:rPr>
          <w:rFonts w:ascii="Times New Roman" w:eastAsia="標楷體" w:hAnsi="Times New Roman" w:cs="Times New Roman"/>
          <w:sz w:val="28"/>
          <w:szCs w:val="28"/>
        </w:rPr>
        <w:t>，然而智能生產</w:t>
      </w:r>
      <w:r w:rsidRPr="00C77E77">
        <w:rPr>
          <w:rFonts w:ascii="Times New Roman" w:eastAsia="標楷體" w:hAnsi="Times New Roman" w:cs="Times New Roman"/>
          <w:sz w:val="28"/>
          <w:szCs w:val="28"/>
        </w:rPr>
        <w:t>面臨課題有勞動人口老齡化，勞動力不足、生產決策無法及時因應氣候變遷與水資源變化而即時調整、以及現有小面積耕作方式，生產效率低，產品品質差異大的問題。</w:t>
      </w:r>
      <w:r w:rsidRPr="00C77E77">
        <w:rPr>
          <w:rStyle w:val="a9"/>
          <w:rFonts w:ascii="Times New Roman" w:eastAsia="標楷體" w:hAnsi="Times New Roman" w:cs="Times New Roman"/>
          <w:sz w:val="28"/>
          <w:szCs w:val="28"/>
        </w:rPr>
        <w:footnoteReference w:id="89"/>
      </w:r>
    </w:p>
    <w:p w:rsidR="00684ECD" w:rsidRPr="00C77E77" w:rsidRDefault="00684ECD" w:rsidP="00684ECD">
      <w:pPr>
        <w:spacing w:beforeLines="50" w:before="180" w:afterLines="50" w:after="180" w:line="500" w:lineRule="exact"/>
        <w:ind w:leftChars="50" w:left="1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第三、面對區域經濟對農業的衝擊，由於我國屬於小農經營且受到自然環境限制，農業成本偏高，</w:t>
      </w:r>
      <w:r w:rsidR="00447B5C"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農業應該要如何培養競爭力，在國際市場與其他國家相互競爭。</w:t>
      </w:r>
    </w:p>
    <w:p w:rsidR="00AC152F" w:rsidRPr="00C77E77" w:rsidRDefault="00684ECD" w:rsidP="00684ECD">
      <w:pPr>
        <w:spacing w:beforeLines="50" w:before="180" w:afterLines="50" w:after="180" w:line="500" w:lineRule="exact"/>
        <w:ind w:leftChars="50" w:left="120"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為因應貿易自由化，農業部門正加強創新加值與產業結構調整，積極推動新價值鏈農業，提升臺灣農業之國際競爭力。在具體策略方面，對外掌握</w:t>
      </w:r>
      <w:r w:rsidRPr="00C77E77">
        <w:rPr>
          <w:rFonts w:ascii="Times New Roman" w:eastAsia="標楷體" w:hAnsi="Times New Roman" w:cs="Times New Roman"/>
          <w:sz w:val="28"/>
          <w:szCs w:val="28"/>
        </w:rPr>
        <w:t>TPP/RCEP</w:t>
      </w:r>
      <w:r w:rsidRPr="00C77E77">
        <w:rPr>
          <w:rFonts w:ascii="Times New Roman" w:eastAsia="標楷體" w:hAnsi="Times New Roman" w:cs="Times New Roman"/>
          <w:sz w:val="28"/>
          <w:szCs w:val="28"/>
        </w:rPr>
        <w:t>各成員國市場開放的機會，積極發展我國具競爭力或潛力產業，推動自由經濟示範區</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農業加值。對內促進傳統農業升級，推動地產地消，加強食農教育與溝通，與進口品作市場區隔等，參考圖</w:t>
      </w:r>
      <w:r w:rsidRPr="00C77E77">
        <w:rPr>
          <w:rFonts w:ascii="Times New Roman" w:eastAsia="標楷體" w:hAnsi="Times New Roman" w:cs="Times New Roman"/>
          <w:sz w:val="28"/>
          <w:szCs w:val="28"/>
        </w:rPr>
        <w:t>3-4-9</w:t>
      </w:r>
      <w:r w:rsidRPr="00C77E77">
        <w:rPr>
          <w:rFonts w:ascii="Times New Roman" w:eastAsia="標楷體" w:hAnsi="Times New Roman" w:cs="Times New Roman"/>
          <w:sz w:val="28"/>
          <w:szCs w:val="28"/>
        </w:rPr>
        <w:t>。</w:t>
      </w:r>
    </w:p>
    <w:p w:rsidR="00AC152F" w:rsidRPr="00C77E77" w:rsidRDefault="00AC152F" w:rsidP="00AC152F">
      <w:pPr>
        <w:spacing w:before="50" w:after="50" w:line="360" w:lineRule="auto"/>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noProof/>
          <w:color w:val="000000" w:themeColor="text1"/>
          <w:sz w:val="28"/>
          <w:szCs w:val="28"/>
        </w:rPr>
        <w:lastRenderedPageBreak/>
        <w:drawing>
          <wp:inline distT="0" distB="0" distL="0" distR="0" wp14:anchorId="7B6C12A6" wp14:editId="7C145E37">
            <wp:extent cx="5274310" cy="3076575"/>
            <wp:effectExtent l="0" t="0" r="0" b="9525"/>
            <wp:docPr id="6214" name="資料庫圖表 62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AC152F" w:rsidRPr="00C77E77" w:rsidRDefault="00AC152F" w:rsidP="00AC152F">
      <w:pPr>
        <w:pStyle w:val="af7"/>
      </w:pPr>
      <w:bookmarkStart w:id="119" w:name="_Toc470676645"/>
      <w:r w:rsidRPr="00C77E77">
        <w:t>圖</w:t>
      </w:r>
      <w:r w:rsidRPr="00C77E77">
        <w:t>3-4-</w:t>
      </w:r>
      <w:r w:rsidR="00815FCC" w:rsidRPr="00C77E77">
        <w:t>8</w:t>
      </w:r>
      <w:r w:rsidRPr="00C77E77">
        <w:t xml:space="preserve"> 33</w:t>
      </w:r>
      <w:r w:rsidRPr="00C77E77">
        <w:t>項主力及潛力外銷產品</w:t>
      </w:r>
      <w:bookmarkEnd w:id="119"/>
    </w:p>
    <w:p w:rsidR="00AC152F" w:rsidRPr="00C77E77" w:rsidRDefault="00AC152F" w:rsidP="00AC152F">
      <w:pPr>
        <w:spacing w:before="50" w:after="50" w:line="360" w:lineRule="auto"/>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w:t>
      </w:r>
      <w:r w:rsidR="000C1684" w:rsidRPr="00C77E77">
        <w:rPr>
          <w:rFonts w:ascii="Times New Roman" w:eastAsia="標楷體" w:hAnsi="Times New Roman" w:cs="Times New Roman"/>
          <w:color w:val="000000" w:themeColor="text1"/>
          <w:sz w:val="28"/>
          <w:szCs w:val="28"/>
        </w:rPr>
        <w:t>本研究整理</w:t>
      </w:r>
      <w:r w:rsidRPr="00C77E77">
        <w:rPr>
          <w:rFonts w:ascii="Times New Roman" w:eastAsia="標楷體" w:hAnsi="Times New Roman" w:cs="Times New Roman"/>
          <w:color w:val="000000" w:themeColor="text1"/>
          <w:sz w:val="28"/>
          <w:szCs w:val="28"/>
        </w:rPr>
        <w:t>。</w:t>
      </w:r>
    </w:p>
    <w:p w:rsidR="00AC152F" w:rsidRPr="00C77E77" w:rsidRDefault="00AC152F" w:rsidP="00AC152F">
      <w:pPr>
        <w:spacing w:before="50" w:after="50" w:line="360" w:lineRule="auto"/>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noProof/>
          <w:color w:val="000000" w:themeColor="text1"/>
          <w:sz w:val="28"/>
          <w:szCs w:val="28"/>
        </w:rPr>
        <w:drawing>
          <wp:inline distT="0" distB="0" distL="0" distR="0" wp14:anchorId="346F642F" wp14:editId="306330D2">
            <wp:extent cx="5271715" cy="3371353"/>
            <wp:effectExtent l="57150" t="38100" r="62865" b="635"/>
            <wp:docPr id="6215" name="資料庫圖表 62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AC152F" w:rsidRPr="00C77E77" w:rsidRDefault="00AC152F" w:rsidP="00AC152F">
      <w:pPr>
        <w:pStyle w:val="af7"/>
      </w:pPr>
      <w:bookmarkStart w:id="120" w:name="_Toc470676646"/>
      <w:r w:rsidRPr="00C77E77">
        <w:t>圖</w:t>
      </w:r>
      <w:r w:rsidRPr="00C77E77">
        <w:t>3-4-</w:t>
      </w:r>
      <w:r w:rsidR="00815FCC" w:rsidRPr="00C77E77">
        <w:t>9</w:t>
      </w:r>
      <w:r w:rsidRPr="00C77E77">
        <w:t xml:space="preserve"> </w:t>
      </w:r>
      <w:r w:rsidR="00E474E8" w:rsidRPr="00C77E77">
        <w:t>臺灣</w:t>
      </w:r>
      <w:r w:rsidRPr="00C77E77">
        <w:t>加入區域經貿自由化農業因應策略</w:t>
      </w:r>
      <w:bookmarkEnd w:id="120"/>
    </w:p>
    <w:p w:rsidR="00AC152F" w:rsidRPr="00C77E77" w:rsidRDefault="00AC152F" w:rsidP="00AC152F">
      <w:pPr>
        <w:spacing w:before="50" w:after="50" w:line="360" w:lineRule="auto"/>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w:t>
      </w:r>
      <w:r w:rsidR="000C1684" w:rsidRPr="00C77E77">
        <w:rPr>
          <w:rFonts w:ascii="Times New Roman" w:eastAsia="標楷體" w:hAnsi="Times New Roman" w:cs="Times New Roman"/>
          <w:color w:val="000000" w:themeColor="text1"/>
          <w:sz w:val="28"/>
          <w:szCs w:val="28"/>
        </w:rPr>
        <w:t>本研究整理</w:t>
      </w:r>
      <w:r w:rsidRPr="00C77E77">
        <w:rPr>
          <w:rFonts w:ascii="Times New Roman" w:eastAsia="標楷體" w:hAnsi="Times New Roman" w:cs="Times New Roman"/>
          <w:color w:val="000000" w:themeColor="text1"/>
          <w:sz w:val="28"/>
          <w:szCs w:val="28"/>
        </w:rPr>
        <w:t>。</w:t>
      </w:r>
    </w:p>
    <w:p w:rsidR="00981653" w:rsidRPr="00C77E77" w:rsidRDefault="00AD588E">
      <w:pPr>
        <w:widowControl/>
        <w:rPr>
          <w:rFonts w:ascii="Times New Roman" w:eastAsia="標楷體" w:hAnsi="Times New Roman" w:cs="Times New Roman"/>
          <w:b/>
          <w:bCs/>
          <w:color w:val="000000" w:themeColor="text1"/>
          <w:kern w:val="52"/>
          <w:sz w:val="28"/>
          <w:szCs w:val="28"/>
        </w:rPr>
      </w:pPr>
      <w:r w:rsidRPr="00C77E77">
        <w:rPr>
          <w:rFonts w:ascii="Times New Roman" w:eastAsia="標楷體" w:hAnsi="Times New Roman" w:cs="Times New Roman"/>
          <w:color w:val="000000" w:themeColor="text1"/>
          <w:sz w:val="28"/>
          <w:szCs w:val="28"/>
        </w:rPr>
        <w:br w:type="page"/>
      </w:r>
      <w:r w:rsidR="00981653" w:rsidRPr="00C77E77">
        <w:rPr>
          <w:rFonts w:ascii="Times New Roman" w:eastAsia="標楷體" w:hAnsi="Times New Roman" w:cs="Times New Roman"/>
          <w:color w:val="000000" w:themeColor="text1"/>
          <w:sz w:val="28"/>
          <w:szCs w:val="28"/>
        </w:rPr>
        <w:lastRenderedPageBreak/>
        <w:br w:type="page"/>
      </w:r>
    </w:p>
    <w:p w:rsidR="00897640" w:rsidRPr="00C77E77" w:rsidRDefault="00897640" w:rsidP="004B22BC">
      <w:pPr>
        <w:pStyle w:val="1"/>
        <w:ind w:left="1823" w:hangingChars="506" w:hanging="1823"/>
        <w:rPr>
          <w:rFonts w:ascii="Times New Roman" w:eastAsia="標楷體" w:hAnsi="Times New Roman" w:cs="Times New Roman"/>
          <w:sz w:val="36"/>
          <w:szCs w:val="36"/>
        </w:rPr>
      </w:pPr>
      <w:bookmarkStart w:id="121" w:name="_Toc470676318"/>
      <w:r w:rsidRPr="00C77E77">
        <w:rPr>
          <w:rFonts w:ascii="Times New Roman" w:eastAsia="標楷體" w:hAnsi="Times New Roman" w:cs="Times New Roman"/>
          <w:sz w:val="36"/>
          <w:szCs w:val="36"/>
        </w:rPr>
        <w:lastRenderedPageBreak/>
        <w:t>第四章</w:t>
      </w:r>
      <w:r w:rsidRPr="00C77E77">
        <w:rPr>
          <w:rFonts w:ascii="Times New Roman" w:eastAsia="標楷體" w:hAnsi="Times New Roman" w:cs="Times New Roman"/>
          <w:sz w:val="36"/>
          <w:szCs w:val="36"/>
        </w:rPr>
        <w:t xml:space="preserve"> </w:t>
      </w:r>
      <w:r w:rsidRPr="00C77E77">
        <w:rPr>
          <w:rFonts w:ascii="Times New Roman" w:eastAsia="標楷體" w:hAnsi="Times New Roman" w:cs="Times New Roman"/>
          <w:sz w:val="36"/>
          <w:szCs w:val="36"/>
        </w:rPr>
        <w:t>我國十大系統輸出及新農業、電子商務產業南向發展之機會與挑戰</w:t>
      </w:r>
      <w:bookmarkEnd w:id="121"/>
    </w:p>
    <w:p w:rsidR="000C54A9" w:rsidRPr="00C77E77" w:rsidRDefault="00F44D01" w:rsidP="00115C2E">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本研究第三章已經評估了電子收費、電子化政府、智慧校園、電子商務、智慧物流、雲端系統、太陽能、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照明、綠色運輸、石化、智慧醫療、新農業等，十二項我國產業的發展現況與優劣勢；本章進一步分析該等產業南向發展之機會（</w:t>
      </w:r>
      <w:r w:rsidRPr="00C77E77">
        <w:rPr>
          <w:rFonts w:ascii="Times New Roman" w:eastAsia="標楷體" w:hAnsi="Times New Roman" w:cs="Times New Roman"/>
          <w:sz w:val="28"/>
          <w:szCs w:val="28"/>
        </w:rPr>
        <w:t>O</w:t>
      </w:r>
      <w:r w:rsidRPr="00C77E77">
        <w:rPr>
          <w:rFonts w:ascii="Times New Roman" w:eastAsia="標楷體" w:hAnsi="Times New Roman" w:cs="Times New Roman"/>
          <w:sz w:val="28"/>
          <w:szCs w:val="28"/>
        </w:rPr>
        <w:t>）與挑戰（</w:t>
      </w:r>
      <w:r w:rsidRPr="00C77E77">
        <w:rPr>
          <w:rFonts w:ascii="Times New Roman" w:eastAsia="標楷體" w:hAnsi="Times New Roman" w:cs="Times New Roman"/>
          <w:sz w:val="28"/>
          <w:szCs w:val="28"/>
        </w:rPr>
        <w:t>T</w:t>
      </w:r>
      <w:r w:rsidRPr="00C77E77">
        <w:rPr>
          <w:rFonts w:ascii="Times New Roman" w:eastAsia="標楷體" w:hAnsi="Times New Roman" w:cs="Times New Roman"/>
          <w:sz w:val="28"/>
          <w:szCs w:val="28"/>
        </w:rPr>
        <w:t>）。盤點東協各國與印度的當地需求，然後評估該等產業在哪些國家具有潛在商機與發展利基。</w:t>
      </w:r>
    </w:p>
    <w:p w:rsidR="005C08B0" w:rsidRPr="00C77E77" w:rsidRDefault="00897640" w:rsidP="00764ED7">
      <w:pPr>
        <w:pStyle w:val="ab"/>
        <w:numPr>
          <w:ilvl w:val="0"/>
          <w:numId w:val="21"/>
        </w:numPr>
        <w:spacing w:beforeLines="50" w:before="180" w:afterLines="50" w:after="180" w:line="500" w:lineRule="exact"/>
        <w:ind w:leftChars="0" w:left="1418" w:hanging="1418"/>
        <w:jc w:val="both"/>
        <w:outlineLvl w:val="1"/>
        <w:rPr>
          <w:rFonts w:ascii="Times New Roman" w:eastAsia="標楷體" w:hAnsi="Times New Roman" w:cs="Times New Roman"/>
          <w:b/>
          <w:sz w:val="32"/>
          <w:szCs w:val="32"/>
        </w:rPr>
      </w:pPr>
      <w:bookmarkStart w:id="122" w:name="_Toc470676319"/>
      <w:r w:rsidRPr="00C77E77">
        <w:rPr>
          <w:rFonts w:ascii="Times New Roman" w:eastAsia="標楷體" w:hAnsi="Times New Roman" w:cs="Times New Roman"/>
          <w:b/>
          <w:sz w:val="32"/>
          <w:szCs w:val="32"/>
        </w:rPr>
        <w:t>電子收費、電子化政府、智慧校園產業南向發展之機會與挑戰</w:t>
      </w:r>
      <w:bookmarkEnd w:id="122"/>
    </w:p>
    <w:p w:rsidR="000C54A9" w:rsidRPr="00C77E77" w:rsidRDefault="00CC55B5" w:rsidP="00CC55B5">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電子收費、電子化政府以及智慧校園</w:t>
      </w:r>
      <w:r w:rsidR="00E33423" w:rsidRPr="00C77E77">
        <w:rPr>
          <w:rFonts w:ascii="Times New Roman" w:eastAsia="標楷體" w:hAnsi="Times New Roman" w:cs="Times New Roman"/>
          <w:sz w:val="28"/>
          <w:szCs w:val="28"/>
        </w:rPr>
        <w:t>這三大產業，</w:t>
      </w:r>
      <w:r w:rsidR="00F17B54" w:rsidRPr="00C77E77">
        <w:rPr>
          <w:rFonts w:ascii="Times New Roman" w:eastAsia="標楷體" w:hAnsi="Times New Roman" w:cs="Times New Roman"/>
          <w:sz w:val="28"/>
          <w:szCs w:val="28"/>
        </w:rPr>
        <w:t>在我國之發展可說已臻成熟，甚至電子收費技術領先全球，電子化政府程度也在世界上名列前茅，</w:t>
      </w:r>
      <w:r w:rsidR="00CA5949" w:rsidRPr="00C77E77">
        <w:rPr>
          <w:rFonts w:ascii="Times New Roman" w:eastAsia="標楷體" w:hAnsi="Times New Roman" w:cs="Times New Roman"/>
          <w:sz w:val="28"/>
          <w:szCs w:val="28"/>
        </w:rPr>
        <w:t>因此，此三大產業我相對具有優勢，應把握機會開發南向市場</w:t>
      </w:r>
      <w:r w:rsidRPr="00C77E77">
        <w:rPr>
          <w:rFonts w:ascii="Times New Roman" w:eastAsia="標楷體" w:hAnsi="Times New Roman" w:cs="Times New Roman"/>
          <w:sz w:val="28"/>
          <w:szCs w:val="28"/>
        </w:rPr>
        <w:t>。</w:t>
      </w:r>
    </w:p>
    <w:p w:rsidR="00BC5143" w:rsidRPr="00C77E77" w:rsidRDefault="00BC5143" w:rsidP="00AA7E7B">
      <w:pPr>
        <w:spacing w:line="500" w:lineRule="exact"/>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一、電子收費</w:t>
      </w:r>
    </w:p>
    <w:p w:rsidR="006501DE" w:rsidRPr="00C77E77" w:rsidRDefault="00DF6DB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電子收費系統率先採用全面性計程收費，目前並無其他國家有相關經驗，因此我國在此領域並無競爭對手，身為領頭羊的角色，我國業者積極開發國際市場，加上我國政府推行「新南向政策」，更應把握此機會前往發展。以越南為例，</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月越南交通部第一次來臺視察後，決定採用</w:t>
      </w:r>
      <w:r w:rsidRPr="00C77E77">
        <w:rPr>
          <w:rFonts w:ascii="Times New Roman" w:eastAsia="標楷體" w:hAnsi="Times New Roman" w:cs="Times New Roman"/>
          <w:sz w:val="28"/>
          <w:szCs w:val="28"/>
        </w:rPr>
        <w:t>RFID</w:t>
      </w:r>
      <w:r w:rsidRPr="00C77E77">
        <w:rPr>
          <w:rFonts w:ascii="Times New Roman" w:eastAsia="標楷體" w:hAnsi="Times New Roman" w:cs="Times New Roman"/>
          <w:sz w:val="28"/>
          <w:szCs w:val="28"/>
        </w:rPr>
        <w:t>技術，</w:t>
      </w:r>
      <w:r w:rsidR="00356DC3" w:rsidRPr="00C77E77">
        <w:rPr>
          <w:rFonts w:ascii="Times New Roman" w:eastAsia="標楷體" w:hAnsi="Times New Roman" w:cs="Times New Roman"/>
          <w:sz w:val="28"/>
          <w:szCs w:val="28"/>
        </w:rPr>
        <w:t>並</w:t>
      </w:r>
      <w:r w:rsidRPr="00C77E77">
        <w:rPr>
          <w:rFonts w:ascii="Times New Roman" w:eastAsia="標楷體" w:hAnsi="Times New Roman" w:cs="Times New Roman"/>
          <w:sz w:val="28"/>
          <w:szCs w:val="28"/>
        </w:rPr>
        <w:t>由</w:t>
      </w:r>
      <w:r w:rsidR="00356DC3" w:rsidRPr="00C77E77">
        <w:rPr>
          <w:rFonts w:ascii="Times New Roman" w:eastAsia="標楷體" w:hAnsi="Times New Roman" w:cs="Times New Roman"/>
          <w:sz w:val="28"/>
          <w:szCs w:val="28"/>
        </w:rPr>
        <w:t>越南</w:t>
      </w:r>
      <w:r w:rsidRPr="00C77E77">
        <w:rPr>
          <w:rFonts w:ascii="Times New Roman" w:eastAsia="標楷體" w:hAnsi="Times New Roman" w:cs="Times New Roman"/>
          <w:sz w:val="28"/>
          <w:szCs w:val="28"/>
        </w:rPr>
        <w:t>當地工程公司</w:t>
      </w:r>
      <w:r w:rsidRPr="00C77E77">
        <w:rPr>
          <w:rFonts w:ascii="Times New Roman" w:eastAsia="標楷體" w:hAnsi="Times New Roman" w:cs="Times New Roman"/>
          <w:sz w:val="28"/>
          <w:szCs w:val="28"/>
        </w:rPr>
        <w:t>TASCO</w:t>
      </w:r>
      <w:r w:rsidRPr="00C77E77">
        <w:rPr>
          <w:rFonts w:ascii="Times New Roman" w:eastAsia="標楷體" w:hAnsi="Times New Roman" w:cs="Times New Roman"/>
          <w:sz w:val="28"/>
          <w:szCs w:val="28"/>
        </w:rPr>
        <w:t>承包國道</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建置，同年</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月，遠通正式和</w:t>
      </w:r>
      <w:r w:rsidRPr="00C77E77">
        <w:rPr>
          <w:rFonts w:ascii="Times New Roman" w:eastAsia="標楷體" w:hAnsi="Times New Roman" w:cs="Times New Roman"/>
          <w:sz w:val="28"/>
          <w:szCs w:val="28"/>
        </w:rPr>
        <w:t>TASCO</w:t>
      </w:r>
      <w:r w:rsidRPr="00C77E77">
        <w:rPr>
          <w:rFonts w:ascii="Times New Roman" w:eastAsia="標楷體" w:hAnsi="Times New Roman" w:cs="Times New Roman"/>
          <w:sz w:val="28"/>
          <w:szCs w:val="28"/>
        </w:rPr>
        <w:t>簽約，並成立</w:t>
      </w:r>
      <w:r w:rsidRPr="00C77E77">
        <w:rPr>
          <w:rFonts w:ascii="Times New Roman" w:eastAsia="標楷體" w:hAnsi="Times New Roman" w:cs="Times New Roman"/>
          <w:sz w:val="28"/>
          <w:szCs w:val="28"/>
        </w:rPr>
        <w:t>VETC</w:t>
      </w:r>
      <w:r w:rsidRPr="00C77E77">
        <w:rPr>
          <w:rFonts w:ascii="Times New Roman" w:eastAsia="標楷體" w:hAnsi="Times New Roman" w:cs="Times New Roman"/>
          <w:sz w:val="28"/>
          <w:szCs w:val="28"/>
        </w:rPr>
        <w:t>公司將臺灣電子收費系統技術完整輸出至越南，預計</w:t>
      </w:r>
      <w:r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年完成</w:t>
      </w:r>
      <w:r w:rsidRPr="00C77E77">
        <w:rPr>
          <w:rFonts w:ascii="Times New Roman" w:eastAsia="標楷體" w:hAnsi="Times New Roman" w:cs="Times New Roman"/>
          <w:sz w:val="28"/>
          <w:szCs w:val="28"/>
        </w:rPr>
        <w:t>34</w:t>
      </w:r>
      <w:r w:rsidRPr="00C77E77">
        <w:rPr>
          <w:rFonts w:ascii="Times New Roman" w:eastAsia="標楷體" w:hAnsi="Times New Roman" w:cs="Times New Roman"/>
          <w:sz w:val="28"/>
          <w:szCs w:val="28"/>
        </w:rPr>
        <w:t>處收費站，總路程達</w:t>
      </w:r>
      <w:r w:rsidRPr="00C77E77">
        <w:rPr>
          <w:rFonts w:ascii="Times New Roman" w:eastAsia="標楷體" w:hAnsi="Times New Roman" w:cs="Times New Roman"/>
          <w:sz w:val="28"/>
          <w:szCs w:val="28"/>
        </w:rPr>
        <w:t>2,300</w:t>
      </w:r>
      <w:r w:rsidRPr="00C77E77">
        <w:rPr>
          <w:rFonts w:ascii="Times New Roman" w:eastAsia="標楷體" w:hAnsi="Times New Roman" w:cs="Times New Roman"/>
          <w:sz w:val="28"/>
          <w:szCs w:val="28"/>
        </w:rPr>
        <w:t>公里；</w:t>
      </w:r>
      <w:r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年將分為四個階段，協助</w:t>
      </w:r>
      <w:r w:rsidRPr="00C77E77">
        <w:rPr>
          <w:rFonts w:ascii="Times New Roman" w:eastAsia="標楷體" w:hAnsi="Times New Roman" w:cs="Times New Roman"/>
          <w:sz w:val="28"/>
          <w:szCs w:val="28"/>
        </w:rPr>
        <w:t>VETC</w:t>
      </w:r>
      <w:r w:rsidRPr="00C77E77">
        <w:rPr>
          <w:rFonts w:ascii="Times New Roman" w:eastAsia="標楷體" w:hAnsi="Times New Roman" w:cs="Times New Roman"/>
          <w:sz w:val="28"/>
          <w:szCs w:val="28"/>
        </w:rPr>
        <w:t>由計次收費轉換為多車到自由流電子收費。馬來西亞雖然在</w:t>
      </w:r>
      <w:r w:rsidRPr="00C77E77">
        <w:rPr>
          <w:rFonts w:ascii="Times New Roman" w:eastAsia="標楷體" w:hAnsi="Times New Roman" w:cs="Times New Roman"/>
          <w:sz w:val="28"/>
          <w:szCs w:val="28"/>
        </w:rPr>
        <w:t>1995</w:t>
      </w:r>
      <w:r w:rsidRPr="00C77E77">
        <w:rPr>
          <w:rFonts w:ascii="Times New Roman" w:eastAsia="標楷體" w:hAnsi="Times New Roman" w:cs="Times New Roman"/>
          <w:sz w:val="28"/>
          <w:szCs w:val="28"/>
        </w:rPr>
        <w:t>年首次在高速公路上建置</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系統，但仍對臺灣</w:t>
      </w:r>
      <w:r w:rsidRPr="00C77E77">
        <w:rPr>
          <w:rFonts w:ascii="Times New Roman" w:eastAsia="標楷體" w:hAnsi="Times New Roman" w:cs="Times New Roman"/>
          <w:sz w:val="28"/>
          <w:szCs w:val="28"/>
        </w:rPr>
        <w:t>RFID</w:t>
      </w:r>
      <w:r w:rsidRPr="00C77E77">
        <w:rPr>
          <w:rFonts w:ascii="Times New Roman" w:eastAsia="標楷體" w:hAnsi="Times New Roman" w:cs="Times New Roman"/>
          <w:sz w:val="28"/>
          <w:szCs w:val="28"/>
        </w:rPr>
        <w:t>系統深感興趣，馬來西亞交通部及工程部官員也在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年訪臺參觀</w:t>
      </w:r>
      <w:r w:rsidRPr="00C77E77">
        <w:rPr>
          <w:rFonts w:ascii="Times New Roman" w:eastAsia="標楷體" w:hAnsi="Times New Roman" w:cs="Times New Roman"/>
          <w:sz w:val="28"/>
          <w:szCs w:val="28"/>
        </w:rPr>
        <w:lastRenderedPageBreak/>
        <w:t>ETC</w:t>
      </w:r>
      <w:r w:rsidRPr="00C77E77">
        <w:rPr>
          <w:rFonts w:ascii="Times New Roman" w:eastAsia="標楷體" w:hAnsi="Times New Roman" w:cs="Times New Roman"/>
          <w:sz w:val="28"/>
          <w:szCs w:val="28"/>
        </w:rPr>
        <w:t>，進行雙方合作，</w:t>
      </w:r>
      <w:r w:rsidR="008E0F49" w:rsidRPr="00C77E77">
        <w:rPr>
          <w:rFonts w:ascii="Times New Roman" w:eastAsia="標楷體" w:hAnsi="Times New Roman" w:cs="Times New Roman"/>
          <w:sz w:val="28"/>
          <w:szCs w:val="28"/>
        </w:rPr>
        <w:t>將</w:t>
      </w:r>
      <w:r w:rsidR="005F635A" w:rsidRPr="00C77E77">
        <w:rPr>
          <w:rFonts w:ascii="Times New Roman" w:eastAsia="標楷體" w:hAnsi="Times New Roman" w:cs="Times New Roman"/>
          <w:sz w:val="28"/>
          <w:szCs w:val="28"/>
        </w:rPr>
        <w:t>於</w:t>
      </w:r>
      <w:r w:rsidRPr="00C77E77">
        <w:rPr>
          <w:rFonts w:ascii="Times New Roman" w:eastAsia="標楷體" w:hAnsi="Times New Roman" w:cs="Times New Roman"/>
          <w:sz w:val="28"/>
          <w:szCs w:val="28"/>
        </w:rPr>
        <w:t>2016</w:t>
      </w:r>
      <w:r w:rsidR="005F635A"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開始採用</w:t>
      </w:r>
      <w:r w:rsidRPr="00C77E77">
        <w:rPr>
          <w:rFonts w:ascii="Times New Roman" w:eastAsia="標楷體" w:hAnsi="Times New Roman" w:cs="Times New Roman"/>
          <w:sz w:val="28"/>
          <w:szCs w:val="28"/>
        </w:rPr>
        <w:t>RFID ETC</w:t>
      </w:r>
      <w:r w:rsidRPr="00C77E77">
        <w:rPr>
          <w:rFonts w:ascii="Times New Roman" w:eastAsia="標楷體" w:hAnsi="Times New Roman" w:cs="Times New Roman"/>
          <w:sz w:val="28"/>
          <w:szCs w:val="28"/>
        </w:rPr>
        <w:t>，並規劃</w:t>
      </w:r>
      <w:r w:rsidR="008E0F49" w:rsidRPr="00C77E77">
        <w:rPr>
          <w:rFonts w:ascii="Times New Roman" w:eastAsia="標楷體" w:hAnsi="Times New Roman" w:cs="Times New Roman"/>
          <w:sz w:val="28"/>
          <w:szCs w:val="28"/>
        </w:rPr>
        <w:t>在</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年採用</w:t>
      </w:r>
      <w:r w:rsidRPr="00C77E77">
        <w:rPr>
          <w:rFonts w:ascii="Times New Roman" w:eastAsia="標楷體" w:hAnsi="Times New Roman" w:cs="Times New Roman"/>
          <w:sz w:val="28"/>
          <w:szCs w:val="28"/>
        </w:rPr>
        <w:t>MLFF</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multi-lane free flow</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 xml:space="preserve"> ETC</w:t>
      </w:r>
      <w:r w:rsidRPr="00C77E77">
        <w:rPr>
          <w:rFonts w:ascii="Times New Roman" w:eastAsia="標楷體" w:hAnsi="Times New Roman" w:cs="Times New Roman"/>
          <w:sz w:val="28"/>
          <w:szCs w:val="28"/>
        </w:rPr>
        <w:t>，目前我國已取得馬國交通部技術顧問服務，協助規劃其五年</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計畫案，希望借鏡</w:t>
      </w:r>
      <w:r w:rsidR="00240B65"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成功轉換紅外線到</w:t>
      </w:r>
      <w:r w:rsidRPr="00C77E77">
        <w:rPr>
          <w:rFonts w:ascii="Times New Roman" w:eastAsia="標楷體" w:hAnsi="Times New Roman" w:cs="Times New Roman"/>
          <w:sz w:val="28"/>
          <w:szCs w:val="28"/>
        </w:rPr>
        <w:t>RFID</w:t>
      </w:r>
      <w:r w:rsidRPr="00C77E77">
        <w:rPr>
          <w:rFonts w:ascii="Times New Roman" w:eastAsia="標楷體" w:hAnsi="Times New Roman" w:cs="Times New Roman"/>
          <w:sz w:val="28"/>
          <w:szCs w:val="28"/>
        </w:rPr>
        <w:t>的經驗。菲律賓也已透過當地經銷商銷售</w:t>
      </w:r>
      <w:r w:rsidRPr="00C77E77">
        <w:rPr>
          <w:rFonts w:ascii="Times New Roman" w:eastAsia="標楷體" w:hAnsi="Times New Roman" w:cs="Times New Roman"/>
          <w:sz w:val="28"/>
          <w:szCs w:val="28"/>
        </w:rPr>
        <w:t>RFID ETC</w:t>
      </w:r>
      <w:r w:rsidRPr="00C77E77">
        <w:rPr>
          <w:rFonts w:ascii="Times New Roman" w:eastAsia="標楷體" w:hAnsi="Times New Roman" w:cs="Times New Roman"/>
          <w:sz w:val="28"/>
          <w:szCs w:val="28"/>
        </w:rPr>
        <w:t>系統設備，菲律賓高速公路的兩大</w:t>
      </w:r>
      <w:r w:rsidRPr="00C77E77">
        <w:rPr>
          <w:rFonts w:ascii="Times New Roman" w:eastAsia="標楷體" w:hAnsi="Times New Roman" w:cs="Times New Roman"/>
          <w:sz w:val="28"/>
          <w:szCs w:val="28"/>
        </w:rPr>
        <w:t>tollways</w:t>
      </w:r>
      <w:r w:rsidRPr="00C77E77">
        <w:rPr>
          <w:rFonts w:ascii="Times New Roman" w:eastAsia="標楷體" w:hAnsi="Times New Roman" w:cs="Times New Roman"/>
          <w:sz w:val="28"/>
          <w:szCs w:val="28"/>
        </w:rPr>
        <w:t>集團</w:t>
      </w:r>
      <w:r w:rsidRPr="00C77E77">
        <w:rPr>
          <w:rFonts w:ascii="Times New Roman" w:eastAsia="標楷體" w:hAnsi="Times New Roman" w:cs="Times New Roman"/>
          <w:sz w:val="28"/>
          <w:szCs w:val="28"/>
        </w:rPr>
        <w:t>San Miguel</w:t>
      </w:r>
      <w:r w:rsidRPr="00C77E77">
        <w:rPr>
          <w:rFonts w:ascii="Times New Roman" w:eastAsia="標楷體" w:hAnsi="Times New Roman" w:cs="Times New Roman"/>
          <w:sz w:val="28"/>
          <w:szCs w:val="28"/>
        </w:rPr>
        <w:t>與</w:t>
      </w:r>
      <w:r w:rsidRPr="00C77E77">
        <w:rPr>
          <w:rFonts w:ascii="Times New Roman" w:eastAsia="標楷體" w:hAnsi="Times New Roman" w:cs="Times New Roman"/>
          <w:sz w:val="28"/>
          <w:szCs w:val="28"/>
        </w:rPr>
        <w:t>Metro Pacific Investments</w:t>
      </w:r>
      <w:r w:rsidRPr="00C77E77">
        <w:rPr>
          <w:rFonts w:ascii="Times New Roman" w:eastAsia="標楷體" w:hAnsi="Times New Roman" w:cs="Times New Roman"/>
          <w:sz w:val="28"/>
          <w:szCs w:val="28"/>
        </w:rPr>
        <w:t>，皆有意願與我國擴大合作交流。</w:t>
      </w:r>
      <w:r w:rsidRPr="00C77E77">
        <w:rPr>
          <w:rStyle w:val="a9"/>
          <w:rFonts w:ascii="Times New Roman" w:eastAsia="標楷體" w:hAnsi="Times New Roman" w:cs="Times New Roman"/>
          <w:sz w:val="28"/>
          <w:szCs w:val="28"/>
        </w:rPr>
        <w:footnoteReference w:id="90"/>
      </w:r>
      <w:r w:rsidRPr="00C77E77">
        <w:rPr>
          <w:rFonts w:ascii="Times New Roman" w:eastAsia="標楷體" w:hAnsi="Times New Roman" w:cs="Times New Roman"/>
          <w:sz w:val="28"/>
          <w:szCs w:val="28"/>
        </w:rPr>
        <w:t>此外，</w:t>
      </w:r>
      <w:r w:rsidR="00356DC3" w:rsidRPr="00C77E77">
        <w:rPr>
          <w:rFonts w:ascii="Times New Roman" w:eastAsia="標楷體" w:hAnsi="Times New Roman" w:cs="Times New Roman"/>
          <w:sz w:val="28"/>
          <w:szCs w:val="28"/>
        </w:rPr>
        <w:t>我國</w:t>
      </w:r>
      <w:r w:rsidR="00356DC3"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也成功進軍印尼雅加達，建設「進城收費」系統，協助解決全球最大「堵城」問題。</w:t>
      </w:r>
      <w:r w:rsidRPr="00C77E77">
        <w:rPr>
          <w:rStyle w:val="a9"/>
          <w:rFonts w:ascii="Times New Roman" w:eastAsia="標楷體" w:hAnsi="Times New Roman" w:cs="Times New Roman"/>
          <w:sz w:val="28"/>
          <w:szCs w:val="28"/>
        </w:rPr>
        <w:footnoteReference w:id="91"/>
      </w:r>
    </w:p>
    <w:p w:rsidR="00DF6DB1" w:rsidRPr="00C77E77" w:rsidRDefault="008E0F49"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印度雖然於</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年開始使用道路電子收費，阿美達巴（</w:t>
      </w:r>
      <w:r w:rsidRPr="00C77E77">
        <w:rPr>
          <w:rFonts w:ascii="Times New Roman" w:eastAsia="標楷體" w:hAnsi="Times New Roman" w:cs="Times New Roman"/>
          <w:sz w:val="28"/>
          <w:szCs w:val="28"/>
        </w:rPr>
        <w:t>Ahmedabad</w:t>
      </w:r>
      <w:r w:rsidRPr="00C77E77">
        <w:rPr>
          <w:rFonts w:ascii="Times New Roman" w:eastAsia="標楷體" w:hAnsi="Times New Roman" w:cs="Times New Roman"/>
          <w:sz w:val="28"/>
          <w:szCs w:val="28"/>
        </w:rPr>
        <w:t>）至孟買（</w:t>
      </w:r>
      <w:r w:rsidRPr="00C77E77">
        <w:rPr>
          <w:rFonts w:ascii="Times New Roman" w:eastAsia="標楷體" w:hAnsi="Times New Roman" w:cs="Times New Roman"/>
          <w:sz w:val="28"/>
          <w:szCs w:val="28"/>
        </w:rPr>
        <w:t>Mumbai</w:t>
      </w:r>
      <w:r w:rsidRPr="00C77E77">
        <w:rPr>
          <w:rFonts w:ascii="Times New Roman" w:eastAsia="標楷體" w:hAnsi="Times New Roman" w:cs="Times New Roman"/>
          <w:sz w:val="28"/>
          <w:szCs w:val="28"/>
        </w:rPr>
        <w:t>）是第一個使用電子收費系統的國道，之後也陸續有道路使用電子收費系統，但由於由不同的公司營運，其實並未普及。中華智慧型運輸系統協會曾與印度智慧型運輸系統協會在</w:t>
      </w:r>
      <w:r w:rsidRPr="00C77E77">
        <w:rPr>
          <w:rFonts w:ascii="Times New Roman" w:eastAsia="標楷體" w:hAnsi="Times New Roman" w:cs="Times New Roman"/>
          <w:sz w:val="28"/>
          <w:szCs w:val="28"/>
        </w:rPr>
        <w:t>2005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月簽訂合作協定，針對智慧運輸系統中有關電子收費與票證系統等方面進行產業與研發的交流合作，但未見後續發展。</w:t>
      </w:r>
      <w:r w:rsidR="002C1DC0" w:rsidRPr="00C77E77">
        <w:rPr>
          <w:rFonts w:ascii="Times New Roman" w:eastAsia="標楷體" w:hAnsi="Times New Roman" w:cs="Times New Roman"/>
          <w:sz w:val="28"/>
          <w:szCs w:val="28"/>
        </w:rPr>
        <w:t>印度市場目前規劃藉由引進</w:t>
      </w:r>
      <w:r w:rsidR="002C1DC0" w:rsidRPr="00C77E77">
        <w:rPr>
          <w:rFonts w:ascii="Times New Roman" w:eastAsia="標楷體" w:hAnsi="Times New Roman" w:cs="Times New Roman"/>
          <w:sz w:val="28"/>
          <w:szCs w:val="28"/>
        </w:rPr>
        <w:t>RFID</w:t>
      </w:r>
      <w:r w:rsidR="002C1DC0" w:rsidRPr="00C77E77">
        <w:rPr>
          <w:rFonts w:ascii="Times New Roman" w:eastAsia="標楷體" w:hAnsi="Times New Roman" w:cs="Times New Roman"/>
          <w:sz w:val="28"/>
          <w:szCs w:val="28"/>
        </w:rPr>
        <w:t>及</w:t>
      </w:r>
      <w:r w:rsidR="002C1DC0" w:rsidRPr="00C77E77">
        <w:rPr>
          <w:rFonts w:ascii="Times New Roman" w:eastAsia="標楷體" w:hAnsi="Times New Roman" w:cs="Times New Roman"/>
          <w:sz w:val="28"/>
          <w:szCs w:val="28"/>
        </w:rPr>
        <w:t>ITS</w:t>
      </w:r>
      <w:r w:rsidR="002C1DC0" w:rsidRPr="00C77E77">
        <w:rPr>
          <w:rFonts w:ascii="Times New Roman" w:eastAsia="標楷體" w:hAnsi="Times New Roman" w:cs="Times New Roman"/>
          <w:sz w:val="28"/>
          <w:szCs w:val="28"/>
        </w:rPr>
        <w:t>，打造智慧城市計畫，其著重的重點在於市區交通管理、停車管理及交通資訊等，</w:t>
      </w:r>
      <w:r w:rsidR="00994DF1" w:rsidRPr="00C77E77">
        <w:rPr>
          <w:rFonts w:ascii="Times New Roman" w:eastAsia="標楷體" w:hAnsi="Times New Roman" w:cs="Times New Roman"/>
          <w:sz w:val="28"/>
          <w:szCs w:val="28"/>
        </w:rPr>
        <w:t>也就是</w:t>
      </w:r>
      <w:r w:rsidR="00994DF1" w:rsidRPr="00C77E77">
        <w:rPr>
          <w:rFonts w:ascii="Times New Roman" w:eastAsia="標楷體" w:hAnsi="Times New Roman" w:cs="Times New Roman"/>
          <w:sz w:val="28"/>
          <w:szCs w:val="28"/>
        </w:rPr>
        <w:t>ETC</w:t>
      </w:r>
      <w:r w:rsidR="00994DF1" w:rsidRPr="00C77E77">
        <w:rPr>
          <w:rFonts w:ascii="Times New Roman" w:eastAsia="標楷體" w:hAnsi="Times New Roman" w:cs="Times New Roman"/>
          <w:sz w:val="28"/>
          <w:szCs w:val="28"/>
        </w:rPr>
        <w:t>的其他延伸服務，</w:t>
      </w:r>
      <w:r w:rsidRPr="00C77E77">
        <w:rPr>
          <w:rFonts w:ascii="Times New Roman" w:eastAsia="標楷體" w:hAnsi="Times New Roman" w:cs="Times New Roman"/>
          <w:sz w:val="28"/>
          <w:szCs w:val="28"/>
        </w:rPr>
        <w:t>業者遠通電收也表示，印度曾對</w:t>
      </w:r>
      <w:r w:rsidR="007F08FC"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的</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表達合作興趣。但</w:t>
      </w:r>
      <w:r w:rsidR="006501DE" w:rsidRPr="00C77E77">
        <w:rPr>
          <w:rFonts w:ascii="Times New Roman" w:eastAsia="標楷體" w:hAnsi="Times New Roman" w:cs="Times New Roman"/>
          <w:sz w:val="28"/>
          <w:szCs w:val="28"/>
        </w:rPr>
        <w:t>目前</w:t>
      </w:r>
      <w:r w:rsidRPr="00C77E77">
        <w:rPr>
          <w:rFonts w:ascii="Times New Roman" w:eastAsia="標楷體" w:hAnsi="Times New Roman" w:cs="Times New Roman"/>
          <w:sz w:val="28"/>
          <w:szCs w:val="28"/>
        </w:rPr>
        <w:t>印度國道的電子收費硬體系統目前已建置完成，已不需要</w:t>
      </w:r>
      <w:r w:rsidR="007F08FC"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灣「整廠輸出」</w:t>
      </w:r>
      <w:r w:rsidR="006501DE" w:rsidRPr="00C77E77">
        <w:rPr>
          <w:rFonts w:ascii="Times New Roman" w:eastAsia="標楷體" w:hAnsi="Times New Roman" w:cs="Times New Roman"/>
          <w:sz w:val="28"/>
          <w:szCs w:val="28"/>
        </w:rPr>
        <w:t>，因此整體來看，臺印廠商的可能合作領域在於營運管理及延伸服務等，</w:t>
      </w:r>
      <w:r w:rsidR="002C1DC0" w:rsidRPr="00C77E77">
        <w:rPr>
          <w:rFonts w:ascii="Times New Roman" w:eastAsia="標楷體" w:hAnsi="Times New Roman" w:cs="Times New Roman"/>
          <w:sz w:val="28"/>
          <w:szCs w:val="28"/>
        </w:rPr>
        <w:t>但</w:t>
      </w:r>
      <w:r w:rsidR="00994DF1" w:rsidRPr="00C77E77">
        <w:rPr>
          <w:rFonts w:ascii="Times New Roman" w:eastAsia="標楷體" w:hAnsi="Times New Roman" w:cs="Times New Roman"/>
          <w:sz w:val="28"/>
          <w:szCs w:val="28"/>
        </w:rPr>
        <w:t>我國目前</w:t>
      </w:r>
      <w:r w:rsidR="002C1DC0" w:rsidRPr="00C77E77">
        <w:rPr>
          <w:rFonts w:ascii="Times New Roman" w:eastAsia="標楷體" w:hAnsi="Times New Roman" w:cs="Times New Roman"/>
          <w:sz w:val="28"/>
          <w:szCs w:val="28"/>
        </w:rPr>
        <w:t>僅有</w:t>
      </w:r>
      <w:r w:rsidR="002C1DC0" w:rsidRPr="00C77E77">
        <w:rPr>
          <w:rFonts w:ascii="Times New Roman" w:eastAsia="標楷體" w:hAnsi="Times New Roman" w:cs="Times New Roman"/>
          <w:sz w:val="28"/>
          <w:szCs w:val="28"/>
        </w:rPr>
        <w:t>ETC</w:t>
      </w:r>
      <w:r w:rsidR="002C1DC0" w:rsidRPr="00C77E77">
        <w:rPr>
          <w:rFonts w:ascii="Times New Roman" w:eastAsia="標楷體" w:hAnsi="Times New Roman" w:cs="Times New Roman"/>
          <w:sz w:val="28"/>
          <w:szCs w:val="28"/>
        </w:rPr>
        <w:t>導入經驗，</w:t>
      </w:r>
      <w:r w:rsidR="00994DF1" w:rsidRPr="00C77E77">
        <w:rPr>
          <w:rFonts w:ascii="Times New Roman" w:eastAsia="標楷體" w:hAnsi="Times New Roman" w:cs="Times New Roman"/>
          <w:sz w:val="28"/>
          <w:szCs w:val="28"/>
        </w:rPr>
        <w:t>若要運用在其他項目，我需及早準備</w:t>
      </w:r>
      <w:r w:rsidRPr="00C77E77">
        <w:rPr>
          <w:rFonts w:ascii="Times New Roman" w:eastAsia="標楷體" w:hAnsi="Times New Roman" w:cs="Times New Roman"/>
          <w:sz w:val="28"/>
          <w:szCs w:val="28"/>
        </w:rPr>
        <w:t>。</w:t>
      </w:r>
    </w:p>
    <w:p w:rsidR="00DF6DB1" w:rsidRPr="00C77E77" w:rsidRDefault="00DF6DB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至於尚未與我國接洽過國家，包含新加坡、緬甸、柬埔寨、寮國與汶萊。新加坡政府已於</w:t>
      </w:r>
      <w:r w:rsidRPr="00C77E77">
        <w:rPr>
          <w:rFonts w:ascii="Times New Roman" w:eastAsia="標楷體" w:hAnsi="Times New Roman" w:cs="Times New Roman"/>
          <w:sz w:val="28"/>
          <w:szCs w:val="28"/>
        </w:rPr>
        <w:t>1998</w:t>
      </w:r>
      <w:r w:rsidRPr="00C77E77">
        <w:rPr>
          <w:rFonts w:ascii="Times New Roman" w:eastAsia="標楷體" w:hAnsi="Times New Roman" w:cs="Times New Roman"/>
          <w:sz w:val="28"/>
          <w:szCs w:val="28"/>
        </w:rPr>
        <w:t>年開始實施電子道路定價策略（</w:t>
      </w:r>
      <w:r w:rsidRPr="00C77E77">
        <w:rPr>
          <w:rFonts w:ascii="Times New Roman" w:eastAsia="標楷體" w:hAnsi="Times New Roman" w:cs="Times New Roman"/>
          <w:sz w:val="28"/>
          <w:szCs w:val="28"/>
        </w:rPr>
        <w:t>Electronic Road Pricing, ERP</w:t>
      </w:r>
      <w:r w:rsidRPr="00C77E77">
        <w:rPr>
          <w:rFonts w:ascii="Times New Roman" w:eastAsia="標楷體" w:hAnsi="Times New Roman" w:cs="Times New Roman"/>
          <w:sz w:val="28"/>
          <w:szCs w:val="28"/>
        </w:rPr>
        <w:t>）徵收市街道路的通行費，</w:t>
      </w:r>
      <w:r w:rsidRPr="00C77E77">
        <w:rPr>
          <w:rStyle w:val="a9"/>
          <w:rFonts w:ascii="Times New Roman" w:eastAsia="標楷體" w:hAnsi="Times New Roman" w:cs="Times New Roman"/>
          <w:sz w:val="28"/>
          <w:szCs w:val="28"/>
        </w:rPr>
        <w:footnoteReference w:id="92"/>
      </w:r>
      <w:r w:rsidRPr="00C77E77">
        <w:rPr>
          <w:rFonts w:ascii="Times New Roman" w:eastAsia="標楷體" w:hAnsi="Times New Roman" w:cs="Times New Roman"/>
          <w:sz w:val="28"/>
          <w:szCs w:val="28"/>
        </w:rPr>
        <w:t>相當於我國的</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，因此若要與新加坡做電子收費產業的交流，必須從</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延伸的其他智慧服務著手，提供當地更進</w:t>
      </w:r>
      <w:r w:rsidRPr="00C77E77">
        <w:rPr>
          <w:rFonts w:ascii="Times New Roman" w:eastAsia="標楷體" w:hAnsi="Times New Roman" w:cs="Times New Roman"/>
          <w:sz w:val="28"/>
          <w:szCs w:val="28"/>
        </w:rPr>
        <w:lastRenderedPageBreak/>
        <w:t>一步的智慧化服務，才可將我國電子收費產業觸角觸及新加坡，而其餘四國中，汶萊相較之下經濟發展較好，</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產業前往發展面臨的問題可能相對較小，但緬甸、柬埔寨與寮國屬於新興經濟體，基礎建設皆在發展階段，我國</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若要前往發展，如何克服電力、路網設備的不足，將是一大考驗，其次包括合作夥伴、財務預算與法律層面議題也需特別關注，以助我國前往投資發展。</w:t>
      </w:r>
    </w:p>
    <w:p w:rsidR="00122FCD" w:rsidRPr="00C77E77" w:rsidRDefault="00DF6DB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由於電子收費系統是基於基礎的路網建設上所建構的產業，所以對東協十國及印度來說，這項產業適合推廣至所有國家，最基本的助益是藉由我國</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經驗改善當地交通問題，成功進入當地市場後，便能再進一步發展以</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為基礎之智慧化產業，所延伸之商機非常龐大。由於東南亞國家大致基礎建設稍嫌不足，所以對於前往發展</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產業，電力、路網問題是一大考驗，電力的建設可能仍需當地政府的協助，但在路網的發展，我國</w:t>
      </w:r>
      <w:r w:rsidR="007F18EC" w:rsidRPr="00C77E77">
        <w:rPr>
          <w:rFonts w:ascii="Times New Roman" w:eastAsia="標楷體" w:hAnsi="Times New Roman" w:cs="Times New Roman"/>
          <w:sz w:val="28"/>
          <w:szCs w:val="28"/>
        </w:rPr>
        <w:t>仍</w:t>
      </w:r>
      <w:r w:rsidRPr="00C77E77">
        <w:rPr>
          <w:rFonts w:ascii="Times New Roman" w:eastAsia="標楷體" w:hAnsi="Times New Roman" w:cs="Times New Roman"/>
          <w:sz w:val="28"/>
          <w:szCs w:val="28"/>
        </w:rPr>
        <w:t>可積極爭取讓臺灣業者前往興建，</w:t>
      </w:r>
      <w:r w:rsidR="007F18EC" w:rsidRPr="00C77E77">
        <w:rPr>
          <w:rFonts w:ascii="Times New Roman" w:eastAsia="標楷體" w:hAnsi="Times New Roman" w:cs="Times New Roman"/>
          <w:sz w:val="28"/>
          <w:szCs w:val="28"/>
        </w:rPr>
        <w:t>因行政院公共工程委員會成立</w:t>
      </w:r>
      <w:r w:rsidRPr="00C77E77">
        <w:rPr>
          <w:rFonts w:ascii="Times New Roman" w:eastAsia="標楷體" w:hAnsi="Times New Roman" w:cs="Times New Roman"/>
          <w:sz w:val="28"/>
          <w:szCs w:val="28"/>
        </w:rPr>
        <w:t>「</w:t>
      </w:r>
      <w:r w:rsidR="007F18EC"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一條龍</w:t>
      </w:r>
      <w:r w:rsidR="007F18EC" w:rsidRPr="00C77E77">
        <w:rPr>
          <w:rFonts w:ascii="Times New Roman" w:eastAsia="標楷體" w:hAnsi="Times New Roman" w:cs="Times New Roman"/>
          <w:sz w:val="28"/>
          <w:szCs w:val="28"/>
        </w:rPr>
        <w:t>旗艦團隊</w:t>
      </w:r>
      <w:r w:rsidRPr="00C77E77">
        <w:rPr>
          <w:rFonts w:ascii="Times New Roman" w:eastAsia="標楷體" w:hAnsi="Times New Roman" w:cs="Times New Roman"/>
          <w:sz w:val="28"/>
          <w:szCs w:val="28"/>
        </w:rPr>
        <w:t>」，</w:t>
      </w:r>
      <w:r w:rsidR="007F18EC" w:rsidRPr="00C77E77">
        <w:rPr>
          <w:rFonts w:ascii="Times New Roman" w:eastAsia="標楷體" w:hAnsi="Times New Roman" w:cs="Times New Roman"/>
          <w:sz w:val="28"/>
          <w:szCs w:val="28"/>
        </w:rPr>
        <w:t>目的</w:t>
      </w:r>
      <w:r w:rsidR="00485EFE" w:rsidRPr="00C77E77">
        <w:rPr>
          <w:rFonts w:ascii="Times New Roman" w:eastAsia="標楷體" w:hAnsi="Times New Roman" w:cs="Times New Roman"/>
          <w:sz w:val="28"/>
          <w:szCs w:val="28"/>
        </w:rPr>
        <w:t>以</w:t>
      </w:r>
      <w:r w:rsidR="007F18EC" w:rsidRPr="00C77E77">
        <w:rPr>
          <w:rFonts w:ascii="Times New Roman" w:eastAsia="標楷體" w:hAnsi="Times New Roman" w:cs="Times New Roman"/>
          <w:sz w:val="28"/>
          <w:szCs w:val="28"/>
        </w:rPr>
        <w:t>協助業者尋求外館在當地的推廣行銷，宣傳我國</w:t>
      </w:r>
      <w:r w:rsidR="007F18EC" w:rsidRPr="00C77E77">
        <w:rPr>
          <w:rFonts w:ascii="Times New Roman" w:eastAsia="標楷體" w:hAnsi="Times New Roman" w:cs="Times New Roman"/>
          <w:sz w:val="28"/>
          <w:szCs w:val="28"/>
        </w:rPr>
        <w:t>ETC</w:t>
      </w:r>
      <w:r w:rsidR="007F18EC" w:rsidRPr="00C77E77">
        <w:rPr>
          <w:rFonts w:ascii="Times New Roman" w:eastAsia="標楷體" w:hAnsi="Times New Roman" w:cs="Times New Roman"/>
          <w:sz w:val="28"/>
          <w:szCs w:val="28"/>
        </w:rPr>
        <w:t>卓越成果，</w:t>
      </w:r>
      <w:r w:rsidR="00485EFE" w:rsidRPr="00C77E77">
        <w:rPr>
          <w:rFonts w:ascii="Times New Roman" w:eastAsia="標楷體" w:hAnsi="Times New Roman" w:cs="Times New Roman"/>
          <w:sz w:val="28"/>
          <w:szCs w:val="28"/>
        </w:rPr>
        <w:t>並拓銷全球市場，</w:t>
      </w:r>
      <w:r w:rsidRPr="00C77E77">
        <w:rPr>
          <w:rFonts w:ascii="Times New Roman" w:eastAsia="標楷體" w:hAnsi="Times New Roman" w:cs="Times New Roman"/>
          <w:sz w:val="28"/>
          <w:szCs w:val="28"/>
        </w:rPr>
        <w:t>公路的建設以及</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的設置全數</w:t>
      </w:r>
      <w:r w:rsidR="007F18EC" w:rsidRPr="00C77E77">
        <w:rPr>
          <w:rFonts w:ascii="Times New Roman" w:eastAsia="標楷體" w:hAnsi="Times New Roman" w:cs="Times New Roman"/>
          <w:sz w:val="28"/>
          <w:szCs w:val="28"/>
        </w:rPr>
        <w:t>可</w:t>
      </w:r>
      <w:r w:rsidRPr="00C77E77">
        <w:rPr>
          <w:rFonts w:ascii="Times New Roman" w:eastAsia="標楷體" w:hAnsi="Times New Roman" w:cs="Times New Roman"/>
          <w:sz w:val="28"/>
          <w:szCs w:val="28"/>
        </w:rPr>
        <w:t>交由臺灣廠商辦理，如此一來看似挑戰的問題似乎能成為我國的另一個機會，不僅是輸出電子收費產業，連同其他相關業務也能一併前往東南亞發展，以團體戰的方式創造共贏局面</w:t>
      </w:r>
      <w:r w:rsidR="00122FCD" w:rsidRPr="00C77E77">
        <w:rPr>
          <w:rFonts w:ascii="Times New Roman" w:eastAsia="標楷體" w:hAnsi="Times New Roman" w:cs="Times New Roman"/>
          <w:sz w:val="28"/>
          <w:szCs w:val="28"/>
        </w:rPr>
        <w:t>。</w:t>
      </w:r>
    </w:p>
    <w:p w:rsidR="00DF6DB1" w:rsidRPr="00C77E77" w:rsidRDefault="00DF6DB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而前往投資財務層面的問題亦非常重要，資金的取得、調度，也極需審慎考量，發展過程會較為艱辛，除此之外，前進當地不可避免的是需要與在地廠商合作，</w:t>
      </w:r>
      <w:r w:rsidR="00122FCD" w:rsidRPr="00C77E77">
        <w:rPr>
          <w:rFonts w:ascii="Times New Roman" w:eastAsia="標楷體" w:hAnsi="Times New Roman" w:cs="Times New Roman"/>
          <w:sz w:val="28"/>
          <w:szCs w:val="28"/>
        </w:rPr>
        <w:t>業者也需要當地標案的即時資訊，</w:t>
      </w:r>
      <w:r w:rsidRPr="00C77E77">
        <w:rPr>
          <w:rFonts w:ascii="Times New Roman" w:eastAsia="標楷體" w:hAnsi="Times New Roman" w:cs="Times New Roman"/>
          <w:sz w:val="28"/>
          <w:szCs w:val="28"/>
        </w:rPr>
        <w:t>只是我國與東南亞及印度並無邦交關係，相關的法令、制度、文化背景對我國來說較為陌生，</w:t>
      </w:r>
      <w:r w:rsidR="00122FCD" w:rsidRPr="00C77E77">
        <w:rPr>
          <w:rFonts w:ascii="Times New Roman" w:eastAsia="標楷體" w:hAnsi="Times New Roman" w:cs="Times New Roman"/>
          <w:sz w:val="28"/>
          <w:szCs w:val="28"/>
        </w:rPr>
        <w:t>外館或貿協提供的標案資訊時效性較差，</w:t>
      </w:r>
      <w:r w:rsidR="00C805DA" w:rsidRPr="00C77E77">
        <w:rPr>
          <w:rFonts w:ascii="Times New Roman" w:eastAsia="標楷體" w:hAnsi="Times New Roman" w:cs="Times New Roman"/>
          <w:sz w:val="28"/>
          <w:szCs w:val="28"/>
        </w:rPr>
        <w:t>使業者無法即時投標，</w:t>
      </w:r>
      <w:r w:rsidRPr="00C77E77">
        <w:rPr>
          <w:rFonts w:ascii="Times New Roman" w:eastAsia="標楷體" w:hAnsi="Times New Roman" w:cs="Times New Roman"/>
          <w:sz w:val="28"/>
          <w:szCs w:val="28"/>
        </w:rPr>
        <w:t>這</w:t>
      </w:r>
      <w:r w:rsidR="00C805DA" w:rsidRPr="00C77E77">
        <w:rPr>
          <w:rFonts w:ascii="Times New Roman" w:eastAsia="標楷體" w:hAnsi="Times New Roman" w:cs="Times New Roman"/>
          <w:sz w:val="28"/>
          <w:szCs w:val="28"/>
        </w:rPr>
        <w:t>些</w:t>
      </w:r>
      <w:r w:rsidRPr="00C77E77">
        <w:rPr>
          <w:rFonts w:ascii="Times New Roman" w:eastAsia="標楷體" w:hAnsi="Times New Roman" w:cs="Times New Roman"/>
          <w:sz w:val="28"/>
          <w:szCs w:val="28"/>
        </w:rPr>
        <w:t>層面仍有待政府提供相關完善資訊、積極提升我國與東南亞及印度國家交流，提升能見度，以有利我國廠商進入當地市場。</w:t>
      </w:r>
    </w:p>
    <w:p w:rsidR="00E60E04" w:rsidRPr="00C77E77" w:rsidRDefault="00E60E04"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整體而言，馬來西亞、泰國、印尼、菲律賓、越南及汶萊，皆是我國現</w:t>
      </w:r>
      <w:r w:rsidRPr="00C77E77">
        <w:rPr>
          <w:rFonts w:ascii="Times New Roman" w:eastAsia="標楷體" w:hAnsi="Times New Roman" w:cs="Times New Roman"/>
          <w:sz w:val="28"/>
          <w:szCs w:val="28"/>
        </w:rPr>
        <w:lastRenderedPageBreak/>
        <w:t>階段可前往發展之國家；新加坡和印度，待未來</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衍伸服務發展成熟後</w:t>
      </w:r>
      <w:r w:rsidR="000B1FB2" w:rsidRPr="00C77E77">
        <w:rPr>
          <w:rFonts w:ascii="Times New Roman" w:eastAsia="標楷體" w:hAnsi="Times New Roman" w:cs="Times New Roman"/>
          <w:sz w:val="28"/>
          <w:szCs w:val="28"/>
        </w:rPr>
        <w:t>可進入該市場拓展商機；寮國、柬埔寨與緬甸則建議暫勿前往。</w:t>
      </w:r>
    </w:p>
    <w:p w:rsidR="009551A7" w:rsidRPr="00C77E77" w:rsidRDefault="009551A7"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p>
    <w:p w:rsidR="00BC5143" w:rsidRPr="00C77E77" w:rsidRDefault="00BC5143" w:rsidP="00AA7E7B">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二、電子化政府</w:t>
      </w:r>
    </w:p>
    <w:p w:rsidR="00DF6DB1" w:rsidRPr="00C77E77" w:rsidRDefault="00DF6DB1" w:rsidP="00AA7E7B">
      <w:pPr>
        <w:spacing w:beforeLines="50" w:before="180" w:afterLines="50" w:after="180" w:line="500" w:lineRule="exact"/>
        <w:ind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電子化政府為我國政府圈選之十大關鍵輸出系統之一，為找尋東南亞及印度是否適合我國前往發展，本研究將參考聯合國以及日本早稻田大學最近兩期的電子化政府調查報告，做為判斷依據。</w:t>
      </w:r>
    </w:p>
    <w:p w:rsidR="000B1FB2" w:rsidRPr="00C77E77" w:rsidRDefault="000B1FB2" w:rsidP="00AA7E7B">
      <w:pPr>
        <w:spacing w:beforeLines="50" w:before="180" w:afterLines="50" w:after="180" w:line="500" w:lineRule="exact"/>
        <w:ind w:firstLine="567"/>
        <w:jc w:val="both"/>
        <w:rPr>
          <w:rFonts w:ascii="Times New Roman" w:eastAsia="標楷體" w:hAnsi="Times New Roman" w:cs="Times New Roman"/>
          <w:sz w:val="28"/>
          <w:szCs w:val="28"/>
        </w:rPr>
      </w:pPr>
    </w:p>
    <w:p w:rsidR="00DF6DB1" w:rsidRPr="00C77E77" w:rsidRDefault="00DF6DB1" w:rsidP="000B1FB2">
      <w:pPr>
        <w:pStyle w:val="af9"/>
      </w:pPr>
      <w:bookmarkStart w:id="123" w:name="_Toc470676603"/>
      <w:r w:rsidRPr="00C77E77">
        <w:t>表</w:t>
      </w:r>
      <w:r w:rsidRPr="00C77E77">
        <w:t>4-1-1 2016</w:t>
      </w:r>
      <w:r w:rsidRPr="00C77E77">
        <w:t>年早稻田大學東南亞、印度及臺灣電子化政府排名</w:t>
      </w:r>
      <w:bookmarkEnd w:id="123"/>
    </w:p>
    <w:tbl>
      <w:tblPr>
        <w:tblW w:w="8212" w:type="dxa"/>
        <w:jc w:val="center"/>
        <w:tblCellMar>
          <w:left w:w="28" w:type="dxa"/>
          <w:right w:w="28" w:type="dxa"/>
        </w:tblCellMar>
        <w:tblLook w:val="04A0" w:firstRow="1" w:lastRow="0" w:firstColumn="1" w:lastColumn="0" w:noHBand="0" w:noVBand="1"/>
      </w:tblPr>
      <w:tblGrid>
        <w:gridCol w:w="1642"/>
        <w:gridCol w:w="1642"/>
        <w:gridCol w:w="1643"/>
        <w:gridCol w:w="1642"/>
        <w:gridCol w:w="1643"/>
      </w:tblGrid>
      <w:tr w:rsidR="00DF6DB1" w:rsidRPr="00C77E77" w:rsidTr="00DF6DB1">
        <w:trPr>
          <w:trHeight w:val="405"/>
          <w:jc w:val="center"/>
        </w:trPr>
        <w:tc>
          <w:tcPr>
            <w:tcW w:w="1642"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DF6DB1" w:rsidRPr="00C77E77" w:rsidRDefault="00DF6DB1" w:rsidP="00264480">
            <w:pPr>
              <w:widowControl/>
              <w:spacing w:line="360" w:lineRule="auto"/>
              <w:jc w:val="center"/>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名次</w:t>
            </w:r>
          </w:p>
        </w:tc>
        <w:tc>
          <w:tcPr>
            <w:tcW w:w="1642" w:type="dxa"/>
            <w:tcBorders>
              <w:top w:val="single" w:sz="8" w:space="0" w:color="auto"/>
              <w:left w:val="nil"/>
              <w:bottom w:val="single" w:sz="8" w:space="0" w:color="auto"/>
              <w:right w:val="single" w:sz="8" w:space="0" w:color="auto"/>
            </w:tcBorders>
            <w:shd w:val="clear" w:color="000000" w:fill="D9D9D9"/>
            <w:vAlign w:val="center"/>
            <w:hideMark/>
          </w:tcPr>
          <w:p w:rsidR="00DF6DB1" w:rsidRPr="00C77E77" w:rsidRDefault="00DF6DB1" w:rsidP="00264480">
            <w:pPr>
              <w:widowControl/>
              <w:spacing w:line="360" w:lineRule="auto"/>
              <w:jc w:val="center"/>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國家</w:t>
            </w:r>
          </w:p>
        </w:tc>
        <w:tc>
          <w:tcPr>
            <w:tcW w:w="1643" w:type="dxa"/>
            <w:tcBorders>
              <w:top w:val="single" w:sz="8" w:space="0" w:color="auto"/>
              <w:left w:val="nil"/>
              <w:bottom w:val="single" w:sz="8" w:space="0" w:color="auto"/>
              <w:right w:val="single" w:sz="8" w:space="0" w:color="auto"/>
            </w:tcBorders>
            <w:shd w:val="clear" w:color="000000" w:fill="D9D9D9"/>
            <w:vAlign w:val="center"/>
            <w:hideMark/>
          </w:tcPr>
          <w:p w:rsidR="00DF6DB1" w:rsidRPr="00C77E77" w:rsidRDefault="00DF6DB1" w:rsidP="00264480">
            <w:pPr>
              <w:widowControl/>
              <w:spacing w:line="360" w:lineRule="auto"/>
              <w:jc w:val="center"/>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評分</w:t>
            </w:r>
          </w:p>
        </w:tc>
        <w:tc>
          <w:tcPr>
            <w:tcW w:w="1642" w:type="dxa"/>
            <w:tcBorders>
              <w:top w:val="single" w:sz="8" w:space="0" w:color="auto"/>
              <w:left w:val="nil"/>
              <w:bottom w:val="single" w:sz="8" w:space="0" w:color="auto"/>
              <w:right w:val="single" w:sz="8" w:space="0" w:color="auto"/>
            </w:tcBorders>
            <w:shd w:val="clear" w:color="000000" w:fill="D9D9D9"/>
            <w:vAlign w:val="center"/>
            <w:hideMark/>
          </w:tcPr>
          <w:p w:rsidR="00DF6DB1" w:rsidRPr="00C77E77" w:rsidRDefault="00DF6DB1" w:rsidP="00264480">
            <w:pPr>
              <w:widowControl/>
              <w:spacing w:line="360" w:lineRule="auto"/>
              <w:jc w:val="center"/>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名次變化</w:t>
            </w:r>
          </w:p>
        </w:tc>
        <w:tc>
          <w:tcPr>
            <w:tcW w:w="1643" w:type="dxa"/>
            <w:tcBorders>
              <w:top w:val="single" w:sz="8" w:space="0" w:color="auto"/>
              <w:left w:val="nil"/>
              <w:bottom w:val="single" w:sz="8" w:space="0" w:color="auto"/>
              <w:right w:val="single" w:sz="8" w:space="0" w:color="auto"/>
            </w:tcBorders>
            <w:shd w:val="clear" w:color="000000" w:fill="D9D9D9"/>
            <w:vAlign w:val="center"/>
            <w:hideMark/>
          </w:tcPr>
          <w:p w:rsidR="00DF6DB1" w:rsidRPr="00C77E77" w:rsidRDefault="00DF6DB1" w:rsidP="00264480">
            <w:pPr>
              <w:widowControl/>
              <w:spacing w:line="360" w:lineRule="auto"/>
              <w:jc w:val="center"/>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前年名次</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46</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汶萊</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50.9</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下降</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43</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X</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柬埔寨</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X</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32</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印尼</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58.3</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下降</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29</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X</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寮國</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X</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31</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馬來西亞</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58.4</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下降</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25</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X</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緬甸</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X</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38</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菲律賓</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56.7</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上升</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41</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1</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新加坡</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91.0</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持平</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1</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21</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泰國</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64.5</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上升</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22</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45</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越南</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51.2</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下降</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33</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35</w:t>
            </w:r>
          </w:p>
        </w:tc>
        <w:tc>
          <w:tcPr>
            <w:tcW w:w="1642" w:type="dxa"/>
            <w:tcBorders>
              <w:top w:val="nil"/>
              <w:left w:val="nil"/>
              <w:bottom w:val="single" w:sz="8" w:space="0" w:color="auto"/>
              <w:right w:val="single" w:sz="8" w:space="0" w:color="auto"/>
            </w:tcBorders>
            <w:shd w:val="clear" w:color="auto" w:fill="auto"/>
            <w:vAlign w:val="center"/>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印度</w:t>
            </w:r>
          </w:p>
        </w:tc>
        <w:tc>
          <w:tcPr>
            <w:tcW w:w="1643" w:type="dxa"/>
            <w:tcBorders>
              <w:top w:val="nil"/>
              <w:left w:val="nil"/>
              <w:bottom w:val="single" w:sz="8" w:space="0" w:color="auto"/>
              <w:right w:val="single" w:sz="8" w:space="0" w:color="auto"/>
            </w:tcBorders>
            <w:shd w:val="clear" w:color="auto" w:fill="auto"/>
            <w:vAlign w:val="center"/>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57.8</w:t>
            </w:r>
          </w:p>
        </w:tc>
        <w:tc>
          <w:tcPr>
            <w:tcW w:w="1642" w:type="dxa"/>
            <w:tcBorders>
              <w:top w:val="nil"/>
              <w:left w:val="nil"/>
              <w:bottom w:val="single" w:sz="8" w:space="0" w:color="auto"/>
              <w:right w:val="single" w:sz="8" w:space="0" w:color="auto"/>
            </w:tcBorders>
            <w:shd w:val="clear" w:color="auto" w:fill="auto"/>
            <w:vAlign w:val="center"/>
          </w:tcPr>
          <w:p w:rsidR="00DF6DB1" w:rsidRPr="00C77E77" w:rsidRDefault="00DF6DB1" w:rsidP="00264480">
            <w:pPr>
              <w:widowControl/>
              <w:spacing w:line="360" w:lineRule="auto"/>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持平</w:t>
            </w:r>
          </w:p>
        </w:tc>
        <w:tc>
          <w:tcPr>
            <w:tcW w:w="1643" w:type="dxa"/>
            <w:tcBorders>
              <w:top w:val="nil"/>
              <w:left w:val="nil"/>
              <w:bottom w:val="single" w:sz="8" w:space="0" w:color="auto"/>
              <w:right w:val="single" w:sz="8" w:space="0" w:color="auto"/>
            </w:tcBorders>
            <w:shd w:val="clear" w:color="auto" w:fill="auto"/>
            <w:vAlign w:val="center"/>
          </w:tcPr>
          <w:p w:rsidR="00DF6DB1" w:rsidRPr="00C77E77" w:rsidRDefault="00DF6DB1" w:rsidP="00264480">
            <w:pPr>
              <w:widowControl/>
              <w:spacing w:line="360" w:lineRule="auto"/>
              <w:jc w:val="center"/>
              <w:rPr>
                <w:rFonts w:ascii="Times New Roman" w:eastAsia="新細明體" w:hAnsi="Times New Roman" w:cs="Times New Roman"/>
                <w:color w:val="000000"/>
                <w:kern w:val="0"/>
                <w:szCs w:val="24"/>
              </w:rPr>
            </w:pPr>
            <w:r w:rsidRPr="00C77E77">
              <w:rPr>
                <w:rFonts w:ascii="Times New Roman" w:eastAsia="新細明體" w:hAnsi="Times New Roman" w:cs="Times New Roman"/>
                <w:color w:val="000000"/>
                <w:kern w:val="0"/>
                <w:szCs w:val="24"/>
              </w:rPr>
              <w:t>35</w:t>
            </w:r>
          </w:p>
        </w:tc>
      </w:tr>
      <w:tr w:rsidR="00DF6DB1" w:rsidRPr="00C77E77" w:rsidTr="00DF6DB1">
        <w:trPr>
          <w:trHeight w:val="405"/>
          <w:jc w:val="center"/>
        </w:trPr>
        <w:tc>
          <w:tcPr>
            <w:tcW w:w="1642" w:type="dxa"/>
            <w:tcBorders>
              <w:top w:val="nil"/>
              <w:left w:val="single" w:sz="8" w:space="0" w:color="auto"/>
              <w:bottom w:val="single" w:sz="8" w:space="0" w:color="auto"/>
              <w:right w:val="single" w:sz="8" w:space="0" w:color="auto"/>
            </w:tcBorders>
            <w:shd w:val="clear" w:color="auto" w:fill="auto"/>
            <w:vAlign w:val="center"/>
            <w:hideMark/>
          </w:tcPr>
          <w:p w:rsidR="00DF6DB1" w:rsidRPr="00C77E77" w:rsidRDefault="00DF6DB1" w:rsidP="00264480">
            <w:pPr>
              <w:widowControl/>
              <w:jc w:val="center"/>
              <w:rPr>
                <w:rFonts w:ascii="Times New Roman" w:eastAsia="新細明體" w:hAnsi="Times New Roman" w:cs="Times New Roman"/>
                <w:b/>
                <w:color w:val="000000"/>
                <w:kern w:val="0"/>
                <w:szCs w:val="24"/>
              </w:rPr>
            </w:pPr>
            <w:r w:rsidRPr="00C77E77">
              <w:rPr>
                <w:rFonts w:ascii="Times New Roman" w:eastAsia="新細明體" w:hAnsi="Times New Roman" w:cs="Times New Roman"/>
                <w:b/>
                <w:color w:val="000000"/>
                <w:kern w:val="0"/>
                <w:szCs w:val="24"/>
              </w:rPr>
              <w:t>10</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臺灣</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jc w:val="center"/>
              <w:rPr>
                <w:rFonts w:ascii="Times New Roman" w:eastAsia="新細明體" w:hAnsi="Times New Roman" w:cs="Times New Roman"/>
                <w:b/>
                <w:color w:val="000000"/>
                <w:kern w:val="0"/>
                <w:szCs w:val="24"/>
              </w:rPr>
            </w:pPr>
            <w:r w:rsidRPr="00C77E77">
              <w:rPr>
                <w:rFonts w:ascii="Times New Roman" w:eastAsia="新細明體" w:hAnsi="Times New Roman" w:cs="Times New Roman"/>
                <w:b/>
                <w:color w:val="000000"/>
                <w:kern w:val="0"/>
                <w:szCs w:val="24"/>
              </w:rPr>
              <w:t>72.7</w:t>
            </w:r>
          </w:p>
        </w:tc>
        <w:tc>
          <w:tcPr>
            <w:tcW w:w="1642"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上升</w:t>
            </w:r>
          </w:p>
        </w:tc>
        <w:tc>
          <w:tcPr>
            <w:tcW w:w="1643" w:type="dxa"/>
            <w:tcBorders>
              <w:top w:val="nil"/>
              <w:left w:val="nil"/>
              <w:bottom w:val="single" w:sz="8" w:space="0" w:color="auto"/>
              <w:right w:val="single" w:sz="8" w:space="0" w:color="auto"/>
            </w:tcBorders>
            <w:shd w:val="clear" w:color="auto" w:fill="auto"/>
            <w:vAlign w:val="center"/>
            <w:hideMark/>
          </w:tcPr>
          <w:p w:rsidR="00DF6DB1" w:rsidRPr="00C77E77" w:rsidRDefault="00DF6DB1" w:rsidP="00264480">
            <w:pPr>
              <w:widowControl/>
              <w:jc w:val="center"/>
              <w:rPr>
                <w:rFonts w:ascii="Times New Roman" w:eastAsia="新細明體" w:hAnsi="Times New Roman" w:cs="Times New Roman"/>
                <w:b/>
                <w:color w:val="000000"/>
                <w:kern w:val="0"/>
                <w:szCs w:val="24"/>
              </w:rPr>
            </w:pPr>
            <w:r w:rsidRPr="00C77E77">
              <w:rPr>
                <w:rFonts w:ascii="Times New Roman" w:eastAsia="新細明體" w:hAnsi="Times New Roman" w:cs="Times New Roman"/>
                <w:b/>
                <w:color w:val="000000"/>
                <w:kern w:val="0"/>
                <w:szCs w:val="24"/>
              </w:rPr>
              <w:t>17</w:t>
            </w:r>
          </w:p>
        </w:tc>
      </w:tr>
    </w:tbl>
    <w:p w:rsidR="006501DE" w:rsidRPr="00C77E77" w:rsidRDefault="00DF6DB1" w:rsidP="00DF6DB1">
      <w:pPr>
        <w:spacing w:line="360" w:lineRule="auto"/>
        <w:ind w:left="1417" w:hangingChars="506" w:hanging="1417"/>
        <w:rPr>
          <w:rFonts w:ascii="Times New Roman" w:eastAsia="標楷體" w:hAnsi="Times New Roman" w:cs="Times New Roman"/>
          <w:sz w:val="28"/>
          <w:szCs w:val="28"/>
          <w:lang w:eastAsia="ja-JP"/>
        </w:rPr>
      </w:pPr>
      <w:r w:rsidRPr="00C77E77">
        <w:rPr>
          <w:rFonts w:ascii="Times New Roman" w:eastAsia="標楷體" w:hAnsi="Times New Roman" w:cs="Times New Roman"/>
          <w:sz w:val="28"/>
          <w:szCs w:val="28"/>
          <w:lang w:eastAsia="ja-JP"/>
        </w:rPr>
        <w:t>資料來源：早稲田大学電子政府自治体研究所，〈</w:t>
      </w:r>
      <w:r w:rsidRPr="00C77E77">
        <w:rPr>
          <w:rFonts w:ascii="Times New Roman" w:eastAsia="標楷體" w:hAnsi="Times New Roman" w:cs="Times New Roman"/>
          <w:sz w:val="28"/>
          <w:szCs w:val="28"/>
          <w:lang w:eastAsia="ja-JP"/>
        </w:rPr>
        <w:t>2016</w:t>
      </w:r>
      <w:r w:rsidRPr="00C77E77">
        <w:rPr>
          <w:rFonts w:ascii="Times New Roman" w:eastAsia="標楷體" w:hAnsi="Times New Roman" w:cs="Times New Roman"/>
          <w:sz w:val="28"/>
          <w:szCs w:val="28"/>
          <w:lang w:eastAsia="ja-JP"/>
        </w:rPr>
        <w:t>年度　第</w:t>
      </w:r>
      <w:r w:rsidRPr="00C77E77">
        <w:rPr>
          <w:rFonts w:ascii="Times New Roman" w:eastAsia="標楷體" w:hAnsi="Times New Roman" w:cs="Times New Roman"/>
          <w:sz w:val="28"/>
          <w:szCs w:val="28"/>
          <w:lang w:eastAsia="ja-JP"/>
        </w:rPr>
        <w:t>12</w:t>
      </w:r>
      <w:r w:rsidRPr="00C77E77">
        <w:rPr>
          <w:rFonts w:ascii="Times New Roman" w:eastAsia="標楷體" w:hAnsi="Times New Roman" w:cs="Times New Roman"/>
          <w:sz w:val="28"/>
          <w:szCs w:val="28"/>
          <w:lang w:eastAsia="ja-JP"/>
        </w:rPr>
        <w:t>回　電子政府世界ランキング〉。</w:t>
      </w:r>
      <w:r w:rsidRPr="00C77E77">
        <w:rPr>
          <w:rFonts w:ascii="Times New Roman" w:eastAsia="標楷體" w:hAnsi="Times New Roman" w:cs="Times New Roman"/>
          <w:sz w:val="28"/>
          <w:szCs w:val="28"/>
          <w:lang w:eastAsia="ja-JP"/>
        </w:rPr>
        <w:t xml:space="preserve"> </w:t>
      </w:r>
    </w:p>
    <w:p w:rsidR="006501DE" w:rsidRPr="00C77E77" w:rsidRDefault="006501DE">
      <w:pPr>
        <w:widowControl/>
        <w:rPr>
          <w:rFonts w:ascii="Times New Roman" w:eastAsia="標楷體" w:hAnsi="Times New Roman" w:cs="Times New Roman"/>
          <w:sz w:val="28"/>
          <w:szCs w:val="28"/>
          <w:lang w:eastAsia="ja-JP"/>
        </w:rPr>
        <w:sectPr w:rsidR="006501DE" w:rsidRPr="00C77E77" w:rsidSect="004042EC">
          <w:pgSz w:w="11906" w:h="16838"/>
          <w:pgMar w:top="1440" w:right="1276" w:bottom="1440" w:left="1418" w:header="851" w:footer="992" w:gutter="0"/>
          <w:cols w:space="425"/>
          <w:docGrid w:type="lines" w:linePitch="360"/>
        </w:sectPr>
      </w:pPr>
    </w:p>
    <w:p w:rsidR="006501DE" w:rsidRPr="00C77E77" w:rsidRDefault="006501DE">
      <w:pPr>
        <w:widowControl/>
        <w:rPr>
          <w:rFonts w:ascii="Times New Roman" w:eastAsia="標楷體" w:hAnsi="Times New Roman" w:cs="Times New Roman"/>
          <w:sz w:val="28"/>
          <w:szCs w:val="28"/>
          <w:lang w:eastAsia="ja-JP"/>
        </w:rPr>
      </w:pPr>
    </w:p>
    <w:p w:rsidR="006501DE" w:rsidRPr="00C77E77" w:rsidRDefault="00827BFC" w:rsidP="00827BFC">
      <w:pPr>
        <w:pStyle w:val="af9"/>
      </w:pPr>
      <w:bookmarkStart w:id="124" w:name="_Toc470676604"/>
      <w:r w:rsidRPr="00C77E77">
        <w:t>表</w:t>
      </w:r>
      <w:r w:rsidRPr="00C77E77">
        <w:t xml:space="preserve">4-1-2 </w:t>
      </w:r>
      <w:r w:rsidRPr="00C77E77">
        <w:t>聯合國電子化政府評比（東南亞及印度）</w:t>
      </w:r>
      <w:bookmarkEnd w:id="124"/>
    </w:p>
    <w:tbl>
      <w:tblPr>
        <w:tblW w:w="5000" w:type="pct"/>
        <w:tblCellMar>
          <w:left w:w="28" w:type="dxa"/>
          <w:right w:w="28" w:type="dxa"/>
        </w:tblCellMar>
        <w:tblLook w:val="04A0" w:firstRow="1" w:lastRow="0" w:firstColumn="1" w:lastColumn="0" w:noHBand="0" w:noVBand="1"/>
      </w:tblPr>
      <w:tblGrid>
        <w:gridCol w:w="1016"/>
        <w:gridCol w:w="942"/>
        <w:gridCol w:w="1194"/>
        <w:gridCol w:w="1256"/>
        <w:gridCol w:w="1194"/>
        <w:gridCol w:w="1194"/>
        <w:gridCol w:w="1194"/>
        <w:gridCol w:w="1194"/>
        <w:gridCol w:w="1256"/>
        <w:gridCol w:w="1195"/>
        <w:gridCol w:w="1195"/>
        <w:gridCol w:w="1184"/>
      </w:tblGrid>
      <w:tr w:rsidR="00732E78" w:rsidRPr="00C77E77" w:rsidTr="000A0F35">
        <w:trPr>
          <w:trHeight w:val="345"/>
        </w:trPr>
        <w:tc>
          <w:tcPr>
            <w:tcW w:w="34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p>
        </w:tc>
        <w:tc>
          <w:tcPr>
            <w:tcW w:w="342" w:type="pct"/>
            <w:tcBorders>
              <w:top w:val="single" w:sz="8" w:space="0" w:color="auto"/>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p>
        </w:tc>
        <w:tc>
          <w:tcPr>
            <w:tcW w:w="2158" w:type="pct"/>
            <w:gridSpan w:val="5"/>
            <w:tcBorders>
              <w:top w:val="single" w:sz="8" w:space="0" w:color="auto"/>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2016</w:t>
            </w:r>
            <w:r w:rsidRPr="00C77E77">
              <w:rPr>
                <w:rFonts w:ascii="Times New Roman" w:eastAsia="標楷體" w:hAnsi="Times New Roman" w:cs="Times New Roman"/>
                <w:b/>
                <w:color w:val="000000"/>
                <w:kern w:val="0"/>
                <w:szCs w:val="24"/>
              </w:rPr>
              <w:t>年</w:t>
            </w:r>
          </w:p>
        </w:tc>
        <w:tc>
          <w:tcPr>
            <w:tcW w:w="2158" w:type="pct"/>
            <w:gridSpan w:val="5"/>
            <w:tcBorders>
              <w:top w:val="single" w:sz="8" w:space="0" w:color="auto"/>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2014</w:t>
            </w:r>
            <w:r w:rsidRPr="00C77E77">
              <w:rPr>
                <w:rFonts w:ascii="Times New Roman" w:eastAsia="標楷體" w:hAnsi="Times New Roman" w:cs="Times New Roman"/>
                <w:b/>
                <w:color w:val="000000"/>
                <w:kern w:val="0"/>
                <w:szCs w:val="24"/>
              </w:rPr>
              <w:t>年</w:t>
            </w:r>
          </w:p>
        </w:tc>
      </w:tr>
      <w:tr w:rsidR="00732E78" w:rsidRPr="00C77E77" w:rsidTr="000A0F35">
        <w:trPr>
          <w:trHeight w:val="997"/>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國家</w:t>
            </w:r>
          </w:p>
        </w:tc>
        <w:tc>
          <w:tcPr>
            <w:tcW w:w="342" w:type="pct"/>
            <w:tcBorders>
              <w:top w:val="nil"/>
              <w:left w:val="nil"/>
              <w:bottom w:val="single" w:sz="8" w:space="0" w:color="auto"/>
              <w:right w:val="single" w:sz="8" w:space="0" w:color="000000"/>
            </w:tcBorders>
            <w:shd w:val="clear" w:color="auto" w:fill="auto"/>
            <w:vAlign w:val="center"/>
            <w:hideMark/>
          </w:tcPr>
          <w:p w:rsidR="000A0F35"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名次</w:t>
            </w:r>
          </w:p>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變化</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排名</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0A0F35"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電子化政府</w:t>
            </w:r>
          </w:p>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發展指數</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線上服務</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電信基礎</w:t>
            </w:r>
            <w:r w:rsidRPr="00C77E77">
              <w:rPr>
                <w:rFonts w:ascii="Times New Roman" w:eastAsia="標楷體" w:hAnsi="Times New Roman" w:cs="Times New Roman"/>
                <w:color w:val="000000"/>
                <w:kern w:val="0"/>
                <w:szCs w:val="24"/>
              </w:rPr>
              <w:br/>
            </w:r>
            <w:r w:rsidRPr="00C77E77">
              <w:rPr>
                <w:rFonts w:ascii="Times New Roman" w:eastAsia="標楷體" w:hAnsi="Times New Roman" w:cs="Times New Roman"/>
                <w:color w:val="000000"/>
                <w:kern w:val="0"/>
                <w:szCs w:val="24"/>
              </w:rPr>
              <w:t>設施</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人力資源</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排名</w:t>
            </w:r>
          </w:p>
        </w:tc>
        <w:tc>
          <w:tcPr>
            <w:tcW w:w="432" w:type="pct"/>
            <w:tcBorders>
              <w:top w:val="nil"/>
              <w:left w:val="nil"/>
              <w:bottom w:val="single" w:sz="8" w:space="0" w:color="auto"/>
              <w:right w:val="single" w:sz="8" w:space="0" w:color="auto"/>
            </w:tcBorders>
            <w:shd w:val="clear" w:color="auto" w:fill="auto"/>
            <w:noWrap/>
            <w:vAlign w:val="center"/>
            <w:hideMark/>
          </w:tcPr>
          <w:p w:rsidR="000A0F35"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電子化政府</w:t>
            </w:r>
          </w:p>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發展指數</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線上服務</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電信基礎</w:t>
            </w:r>
            <w:r w:rsidRPr="00C77E77">
              <w:rPr>
                <w:rFonts w:ascii="Times New Roman" w:eastAsia="標楷體" w:hAnsi="Times New Roman" w:cs="Times New Roman"/>
                <w:color w:val="000000"/>
                <w:kern w:val="0"/>
                <w:szCs w:val="24"/>
              </w:rPr>
              <w:br/>
            </w:r>
            <w:r w:rsidRPr="00C77E77">
              <w:rPr>
                <w:rFonts w:ascii="Times New Roman" w:eastAsia="標楷體" w:hAnsi="Times New Roman" w:cs="Times New Roman"/>
                <w:color w:val="000000"/>
                <w:kern w:val="0"/>
                <w:szCs w:val="24"/>
              </w:rPr>
              <w:t>設施</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827BFC">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人力資源</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汶萊</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上升</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83</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0.5298</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0.5072</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0.3512</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0.731</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86</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0.5042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0.3622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0.369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0.7815</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柬埔寨</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下降</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158</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0.2593</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0.0507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0.2486</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0.4785</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139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0.2999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0.1732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0.2075</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0.5189</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印尼</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下降</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116</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0.4478</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0.3623</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0.3016</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0.6796</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106</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0.4487</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0.3622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0.3054</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0.6786</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寮國</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上升</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148</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0.309</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0.2826</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0.1537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0.4907</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152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0.2659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0.1417</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0.1618</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0.4941</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馬來西亞</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下降</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60</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0.6175</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0.7174</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0.4397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0.6953</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52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0.6115</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0.6772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0.4455</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0.7119</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緬甸</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上升</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169</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0.2362</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0.1594</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0.0655</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0.4837</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175</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0.1869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0.0236</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0.0084</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b/>
                <w:bCs/>
                <w:color w:val="000000"/>
                <w:kern w:val="0"/>
                <w:szCs w:val="24"/>
              </w:rPr>
            </w:pPr>
            <w:r w:rsidRPr="00C77E77">
              <w:rPr>
                <w:rFonts w:ascii="Times New Roman" w:eastAsia="標楷體" w:hAnsi="Times New Roman" w:cs="Times New Roman"/>
                <w:b/>
                <w:bCs/>
                <w:color w:val="000000"/>
                <w:kern w:val="0"/>
                <w:szCs w:val="24"/>
              </w:rPr>
              <w:t>0.5288</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菲律賓</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上升</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71</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0.5765</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0.6667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0.3791</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0.6839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95</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0.4768</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0.4803</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0.2451</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0.7051</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新加坡</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下降</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4</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0.8828</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0.971</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0.8414</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0.836</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3</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0.9076</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0.9921</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0.8793</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0.8515</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泰國</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上升</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77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0.5522</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0.5507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0.4117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0.6942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102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0.4631</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0.4409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0.2843</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0.664</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越南</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上升</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89</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0.5143</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0.5725</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0.3715</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0.5989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99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0.4705</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0.4173</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0.3792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0.6148</w:t>
            </w:r>
          </w:p>
        </w:tc>
      </w:tr>
      <w:tr w:rsidR="00732E78" w:rsidRPr="00C77E77" w:rsidTr="000A0F35">
        <w:trPr>
          <w:trHeight w:val="345"/>
        </w:trPr>
        <w:tc>
          <w:tcPr>
            <w:tcW w:w="342" w:type="pct"/>
            <w:tcBorders>
              <w:top w:val="nil"/>
              <w:left w:val="single" w:sz="8" w:space="0" w:color="auto"/>
              <w:bottom w:val="single" w:sz="8" w:space="0" w:color="auto"/>
              <w:right w:val="single" w:sz="8" w:space="0" w:color="auto"/>
            </w:tcBorders>
            <w:shd w:val="clear" w:color="auto" w:fill="auto"/>
            <w:noWrap/>
            <w:vAlign w:val="center"/>
            <w:hideMark/>
          </w:tcPr>
          <w:p w:rsidR="00732E78" w:rsidRPr="00C77E77" w:rsidRDefault="00732E78" w:rsidP="00732E78">
            <w:pPr>
              <w:widowControl/>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印度</w:t>
            </w:r>
          </w:p>
        </w:tc>
        <w:tc>
          <w:tcPr>
            <w:tcW w:w="342" w:type="pct"/>
            <w:tcBorders>
              <w:top w:val="nil"/>
              <w:left w:val="nil"/>
              <w:bottom w:val="single" w:sz="8" w:space="0" w:color="auto"/>
              <w:right w:val="single" w:sz="8" w:space="0" w:color="000000"/>
            </w:tcBorders>
            <w:shd w:val="clear" w:color="auto" w:fill="auto"/>
            <w:vAlign w:val="center"/>
            <w:hideMark/>
          </w:tcPr>
          <w:p w:rsidR="00732E78" w:rsidRPr="00C77E77" w:rsidRDefault="00732E78" w:rsidP="00732E78">
            <w:pPr>
              <w:widowControl/>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上升</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107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0.4637</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0.7464</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0.143</w:t>
            </w:r>
          </w:p>
        </w:tc>
        <w:tc>
          <w:tcPr>
            <w:tcW w:w="432" w:type="pct"/>
            <w:tcBorders>
              <w:top w:val="nil"/>
              <w:left w:val="nil"/>
              <w:bottom w:val="single" w:sz="8" w:space="0" w:color="auto"/>
              <w:right w:val="single" w:sz="8" w:space="0" w:color="auto"/>
            </w:tcBorders>
            <w:shd w:val="clear" w:color="auto" w:fill="E7E6E6" w:themeFill="background2"/>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0.5019</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118</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0.3834</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0.5433</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0.1372</w:t>
            </w:r>
          </w:p>
        </w:tc>
        <w:tc>
          <w:tcPr>
            <w:tcW w:w="432" w:type="pct"/>
            <w:tcBorders>
              <w:top w:val="nil"/>
              <w:left w:val="nil"/>
              <w:bottom w:val="single" w:sz="8" w:space="0" w:color="auto"/>
              <w:right w:val="single" w:sz="8" w:space="0" w:color="auto"/>
            </w:tcBorders>
            <w:shd w:val="clear" w:color="auto" w:fill="auto"/>
            <w:noWrap/>
            <w:vAlign w:val="center"/>
            <w:hideMark/>
          </w:tcPr>
          <w:p w:rsidR="00732E78" w:rsidRPr="00C77E77" w:rsidRDefault="00732E78" w:rsidP="00732E78">
            <w:pPr>
              <w:widowControl/>
              <w:jc w:val="right"/>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0.4698</w:t>
            </w:r>
          </w:p>
        </w:tc>
      </w:tr>
    </w:tbl>
    <w:p w:rsidR="00827BFC" w:rsidRPr="00C77E77" w:rsidRDefault="00827BFC" w:rsidP="00827BFC">
      <w:pPr>
        <w:rPr>
          <w:rFonts w:ascii="Times New Roman" w:eastAsia="標楷體" w:hAnsi="Times New Roman" w:cs="Times New Roman"/>
          <w:sz w:val="28"/>
          <w:szCs w:val="28"/>
        </w:rPr>
        <w:sectPr w:rsidR="00827BFC" w:rsidRPr="00C77E77" w:rsidSect="006501DE">
          <w:pgSz w:w="16838" w:h="11906" w:orient="landscape"/>
          <w:pgMar w:top="1418" w:right="1440" w:bottom="1276" w:left="1440" w:header="851" w:footer="992" w:gutter="0"/>
          <w:cols w:space="425"/>
          <w:docGrid w:type="lines" w:linePitch="360"/>
        </w:sect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 xml:space="preserve">United Nations E-Government Survey 2016 &amp; 2014  </w:t>
      </w:r>
      <w:hyperlink r:id="rId65" w:history="1">
        <w:r w:rsidRPr="00C77E77">
          <w:rPr>
            <w:rStyle w:val="aa"/>
            <w:rFonts w:ascii="Times New Roman" w:eastAsia="標楷體" w:hAnsi="Times New Roman" w:cs="Times New Roman"/>
            <w:sz w:val="28"/>
            <w:szCs w:val="28"/>
            <w:u w:val="none"/>
          </w:rPr>
          <w:t>http://workspace.unpan.org/sites/Internet/Documents/UNPAN96407.pdf</w:t>
        </w:r>
      </w:hyperlink>
      <w:r w:rsidRPr="00C77E77">
        <w:rPr>
          <w:rFonts w:ascii="Times New Roman" w:eastAsia="標楷體" w:hAnsi="Times New Roman" w:cs="Times New Roman"/>
          <w:sz w:val="28"/>
          <w:szCs w:val="28"/>
        </w:rPr>
        <w:t xml:space="preserve"> </w:t>
      </w:r>
      <w:hyperlink r:id="rId66" w:history="1">
        <w:r w:rsidRPr="00C77E77">
          <w:rPr>
            <w:rStyle w:val="aa"/>
            <w:rFonts w:ascii="Times New Roman" w:eastAsia="標楷體" w:hAnsi="Times New Roman" w:cs="Times New Roman"/>
            <w:sz w:val="28"/>
            <w:szCs w:val="28"/>
            <w:u w:val="none"/>
          </w:rPr>
          <w:t>https://publicadministration.un.org/egovkb/Portals/egovkb/Documents/un/2014-Survey/E-Gov_Complete_Survey-2014.pdf</w:t>
        </w:r>
      </w:hyperlink>
    </w:p>
    <w:p w:rsidR="00DF6DB1" w:rsidRPr="00C77E77" w:rsidRDefault="00DF6DB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聯合國的評比報告為兩年調查一次，主要評比指標共有三項：線上服務（</w:t>
      </w:r>
      <w:r w:rsidRPr="00C77E77">
        <w:rPr>
          <w:rFonts w:ascii="Times New Roman" w:eastAsia="標楷體" w:hAnsi="Times New Roman" w:cs="Times New Roman"/>
          <w:sz w:val="28"/>
          <w:szCs w:val="28"/>
        </w:rPr>
        <w:t>online service component</w:t>
      </w:r>
      <w:r w:rsidRPr="00C77E77">
        <w:rPr>
          <w:rFonts w:ascii="Times New Roman" w:eastAsia="標楷體" w:hAnsi="Times New Roman" w:cs="Times New Roman"/>
          <w:sz w:val="28"/>
          <w:szCs w:val="28"/>
        </w:rPr>
        <w:t>）、電信基礎設施（</w:t>
      </w:r>
      <w:r w:rsidRPr="00C77E77">
        <w:rPr>
          <w:rFonts w:ascii="Times New Roman" w:eastAsia="標楷體" w:hAnsi="Times New Roman" w:cs="Times New Roman"/>
          <w:sz w:val="28"/>
          <w:szCs w:val="28"/>
        </w:rPr>
        <w:t>Telecomm. Infrastructure Component</w:t>
      </w:r>
      <w:r w:rsidRPr="00C77E77">
        <w:rPr>
          <w:rFonts w:ascii="Times New Roman" w:eastAsia="標楷體" w:hAnsi="Times New Roman" w:cs="Times New Roman"/>
          <w:sz w:val="28"/>
          <w:szCs w:val="28"/>
        </w:rPr>
        <w:t>）及人力資源（</w:t>
      </w:r>
      <w:r w:rsidRPr="00C77E77">
        <w:rPr>
          <w:rFonts w:ascii="Times New Roman" w:eastAsia="標楷體" w:hAnsi="Times New Roman" w:cs="Times New Roman"/>
          <w:sz w:val="28"/>
          <w:szCs w:val="28"/>
        </w:rPr>
        <w:t>Human Capital Component</w:t>
      </w:r>
      <w:r w:rsidRPr="00C77E77">
        <w:rPr>
          <w:rFonts w:ascii="Times New Roman" w:eastAsia="標楷體" w:hAnsi="Times New Roman" w:cs="Times New Roman"/>
          <w:sz w:val="28"/>
          <w:szCs w:val="28"/>
        </w:rPr>
        <w:t>），該報告與早稻田大學所做之報告最主要差別在於</w:t>
      </w:r>
      <w:r w:rsidR="000A6055" w:rsidRPr="00C77E77">
        <w:rPr>
          <w:rFonts w:ascii="Times New Roman" w:eastAsia="標楷體" w:hAnsi="Times New Roman" w:cs="Times New Roman"/>
          <w:sz w:val="28"/>
          <w:szCs w:val="28"/>
        </w:rPr>
        <w:t>納入</w:t>
      </w:r>
      <w:r w:rsidRPr="00C77E77">
        <w:rPr>
          <w:rFonts w:ascii="Times New Roman" w:eastAsia="標楷體" w:hAnsi="Times New Roman" w:cs="Times New Roman"/>
          <w:sz w:val="28"/>
          <w:szCs w:val="28"/>
        </w:rPr>
        <w:t>人力資源的</w:t>
      </w:r>
      <w:r w:rsidR="000A6055" w:rsidRPr="00C77E77">
        <w:rPr>
          <w:rFonts w:ascii="Times New Roman" w:eastAsia="標楷體" w:hAnsi="Times New Roman" w:cs="Times New Roman"/>
          <w:sz w:val="28"/>
          <w:szCs w:val="28"/>
        </w:rPr>
        <w:t>評估</w:t>
      </w:r>
      <w:r w:rsidRPr="00C77E77">
        <w:rPr>
          <w:rFonts w:ascii="Times New Roman" w:eastAsia="標楷體" w:hAnsi="Times New Roman" w:cs="Times New Roman"/>
          <w:sz w:val="28"/>
          <w:szCs w:val="28"/>
        </w:rPr>
        <w:t>，以及早稻田大學只採用</w:t>
      </w:r>
      <w:r w:rsidRPr="00C77E77">
        <w:rPr>
          <w:rFonts w:ascii="Times New Roman" w:eastAsia="標楷體" w:hAnsi="Times New Roman" w:cs="Times New Roman"/>
          <w:sz w:val="28"/>
          <w:szCs w:val="28"/>
        </w:rPr>
        <w:t>65</w:t>
      </w:r>
      <w:r w:rsidRPr="00C77E77">
        <w:rPr>
          <w:rFonts w:ascii="Times New Roman" w:eastAsia="標楷體" w:hAnsi="Times New Roman" w:cs="Times New Roman"/>
          <w:sz w:val="28"/>
          <w:szCs w:val="28"/>
        </w:rPr>
        <w:t>個</w:t>
      </w:r>
      <w:r w:rsidRPr="00C77E77">
        <w:rPr>
          <w:rFonts w:ascii="Times New Roman" w:eastAsia="標楷體" w:hAnsi="Times New Roman" w:cs="Times New Roman"/>
          <w:sz w:val="28"/>
          <w:szCs w:val="28"/>
        </w:rPr>
        <w:t>ICT</w:t>
      </w:r>
      <w:r w:rsidRPr="00C77E77">
        <w:rPr>
          <w:rFonts w:ascii="Times New Roman" w:eastAsia="標楷體" w:hAnsi="Times New Roman" w:cs="Times New Roman"/>
          <w:sz w:val="28"/>
          <w:szCs w:val="28"/>
        </w:rPr>
        <w:t>發展較先進國家。彙整兩機構所做之調查報告，選擇適合前往發展國家時，柬埔寨、寮國與緬甸，此三個國家將不納入考慮範圍，這三個國家在聯合國調查的資料中，連續兩調查年度皆是東協十國與印度中最後三名；在早稻田大學報告中，此三國也被排除在調查名單之外，資料顯示柬、寮、緬在線上服務與電信基礎設施極為不足，雖人力資源相對較佳，但發展電子化政府最重要的電信設施不完備，將會是發展一大阻礙，因此不建議前往發展。新加坡則是因其電子化政府發展相當完備，較無我發展空間，故同樣不建議前往。</w:t>
      </w:r>
      <w:r w:rsidR="000B1FB2" w:rsidRPr="00C77E77">
        <w:rPr>
          <w:rFonts w:ascii="Times New Roman" w:eastAsia="標楷體" w:hAnsi="Times New Roman" w:cs="Times New Roman"/>
          <w:sz w:val="28"/>
          <w:szCs w:val="28"/>
        </w:rPr>
        <w:t>剩餘六國汶萊、泰國、馬來西亞、印尼、菲律賓及越南，由早稻田大學調查資料來看，我排名皆優於各國，應把握此優勢前往發展佈局，且我國之優勢在線上服務、法律規範及行政組織方面，因此我國可發展相關的諮詢顧問服務，提供制度面、服務流程的輸出，而非電信設備的投資，應是我較可行之方向。</w:t>
      </w:r>
    </w:p>
    <w:p w:rsidR="00593B15" w:rsidRPr="00C77E77" w:rsidRDefault="009205AC" w:rsidP="00593B15">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印度在</w:t>
      </w:r>
      <w:r w:rsidRPr="00C77E77">
        <w:rPr>
          <w:rFonts w:ascii="Times New Roman" w:eastAsia="標楷體" w:hAnsi="Times New Roman" w:cs="Times New Roman"/>
          <w:sz w:val="28"/>
          <w:szCs w:val="28"/>
        </w:rPr>
        <w:t>2006</w:t>
      </w:r>
      <w:r w:rsidRPr="00C77E77">
        <w:rPr>
          <w:rFonts w:ascii="Times New Roman" w:eastAsia="標楷體" w:hAnsi="Times New Roman" w:cs="Times New Roman"/>
          <w:sz w:val="28"/>
          <w:szCs w:val="28"/>
        </w:rPr>
        <w:t>年就曾推動「國家電子化政府計畫」（</w:t>
      </w:r>
      <w:r w:rsidRPr="00C77E77">
        <w:rPr>
          <w:rFonts w:ascii="Times New Roman" w:eastAsia="標楷體" w:hAnsi="Times New Roman" w:cs="Times New Roman"/>
          <w:sz w:val="28"/>
          <w:szCs w:val="28"/>
        </w:rPr>
        <w:t>National e-Governance Plan,</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NeGP</w:t>
      </w:r>
      <w:r w:rsidRPr="00C77E77">
        <w:rPr>
          <w:rFonts w:ascii="Times New Roman" w:eastAsia="標楷體" w:hAnsi="Times New Roman" w:cs="Times New Roman"/>
          <w:sz w:val="28"/>
          <w:szCs w:val="28"/>
        </w:rPr>
        <w:t>），但成效並不理想。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月，印度政府將原計畫改為「電子化革命計畫」</w:t>
      </w:r>
      <w:r w:rsidRPr="00C77E77">
        <w:rPr>
          <w:rFonts w:ascii="Times New Roman" w:eastAsia="標楷體" w:hAnsi="Times New Roman" w:cs="Times New Roman"/>
          <w:sz w:val="28"/>
          <w:szCs w:val="28"/>
        </w:rPr>
        <w:t xml:space="preserve"> </w:t>
      </w:r>
      <w:r w:rsidR="000C0B1B" w:rsidRPr="00C77E77">
        <w:rPr>
          <w:rFonts w:ascii="Times New Roman" w:eastAsia="標楷體" w:hAnsi="Times New Roman" w:cs="Times New Roman"/>
          <w:sz w:val="28"/>
          <w:szCs w:val="28"/>
        </w:rPr>
        <w:t>（</w:t>
      </w:r>
      <w:r w:rsidR="000C0B1B" w:rsidRPr="00C77E77">
        <w:rPr>
          <w:rFonts w:ascii="Times New Roman" w:eastAsia="標楷體" w:hAnsi="Times New Roman" w:cs="Times New Roman"/>
          <w:sz w:val="28"/>
          <w:szCs w:val="28"/>
        </w:rPr>
        <w:t>e-Kranti programme</w:t>
      </w:r>
      <w:r w:rsidR="000C0B1B"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，被稱為</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版的「國家電子化政府計畫」</w:t>
      </w:r>
      <w:r w:rsidR="000C0B1B" w:rsidRPr="00C77E77">
        <w:rPr>
          <w:rFonts w:ascii="Times New Roman" w:eastAsia="標楷體" w:hAnsi="Times New Roman" w:cs="Times New Roman"/>
          <w:sz w:val="28"/>
          <w:szCs w:val="28"/>
        </w:rPr>
        <w:t>（</w:t>
      </w:r>
      <w:r w:rsidR="000C0B1B" w:rsidRPr="00C77E77">
        <w:rPr>
          <w:rFonts w:ascii="Times New Roman" w:eastAsia="標楷體" w:hAnsi="Times New Roman" w:cs="Times New Roman"/>
          <w:sz w:val="28"/>
          <w:szCs w:val="28"/>
        </w:rPr>
        <w:t>NeGP 2.0</w:t>
      </w:r>
      <w:r w:rsidR="000C0B1B"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，並成為「數位化印度」</w:t>
      </w:r>
      <w:r w:rsidR="000C0B1B" w:rsidRPr="00C77E77">
        <w:rPr>
          <w:rFonts w:ascii="Times New Roman" w:eastAsia="標楷體" w:hAnsi="Times New Roman" w:cs="Times New Roman"/>
          <w:sz w:val="28"/>
          <w:szCs w:val="28"/>
        </w:rPr>
        <w:t>（</w:t>
      </w:r>
      <w:r w:rsidR="000C0B1B" w:rsidRPr="00C77E77">
        <w:rPr>
          <w:rFonts w:ascii="Times New Roman" w:eastAsia="標楷體" w:hAnsi="Times New Roman" w:cs="Times New Roman"/>
          <w:sz w:val="28"/>
          <w:szCs w:val="28"/>
        </w:rPr>
        <w:t>Digital India</w:t>
      </w:r>
      <w:r w:rsidR="000C0B1B"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的基礎支柱。</w:t>
      </w:r>
      <w:r w:rsidR="0021443A" w:rsidRPr="00C77E77">
        <w:rPr>
          <w:rFonts w:ascii="Times New Roman" w:eastAsia="標楷體" w:hAnsi="Times New Roman" w:cs="Times New Roman"/>
          <w:sz w:val="28"/>
          <w:szCs w:val="28"/>
        </w:rPr>
        <w:t>此外</w:t>
      </w:r>
      <w:r w:rsidRPr="00C77E77">
        <w:rPr>
          <w:rFonts w:ascii="Times New Roman" w:eastAsia="標楷體" w:hAnsi="Times New Roman" w:cs="Times New Roman"/>
          <w:sz w:val="28"/>
          <w:szCs w:val="28"/>
        </w:rPr>
        <w:t>由聯合國之排名來看，</w:t>
      </w:r>
      <w:r w:rsidR="0021443A" w:rsidRPr="00C77E77">
        <w:rPr>
          <w:rFonts w:ascii="Times New Roman" w:eastAsia="標楷體" w:hAnsi="Times New Roman" w:cs="Times New Roman"/>
          <w:sz w:val="28"/>
          <w:szCs w:val="28"/>
        </w:rPr>
        <w:t>印度排名以屬中後段，</w:t>
      </w:r>
      <w:r w:rsidR="00593B15" w:rsidRPr="00C77E77">
        <w:rPr>
          <w:rFonts w:ascii="Times New Roman" w:eastAsia="標楷體" w:hAnsi="Times New Roman" w:cs="Times New Roman"/>
          <w:sz w:val="28"/>
          <w:szCs w:val="28"/>
        </w:rPr>
        <w:t>加上電子化政府多為政府標案，需要強化與相關政府單位的交流，我國資策會於</w:t>
      </w:r>
      <w:r w:rsidR="00593B15" w:rsidRPr="00C77E77">
        <w:rPr>
          <w:rFonts w:ascii="Times New Roman" w:eastAsia="標楷體" w:hAnsi="Times New Roman" w:cs="Times New Roman"/>
          <w:sz w:val="28"/>
          <w:szCs w:val="28"/>
        </w:rPr>
        <w:t>2010</w:t>
      </w:r>
      <w:r w:rsidR="00593B15" w:rsidRPr="00C77E77">
        <w:rPr>
          <w:rFonts w:ascii="Times New Roman" w:eastAsia="標楷體" w:hAnsi="Times New Roman" w:cs="Times New Roman"/>
          <w:sz w:val="28"/>
          <w:szCs w:val="28"/>
        </w:rPr>
        <w:t>年與印度古吉拉特</w:t>
      </w:r>
      <w:r w:rsidR="000C0B1B" w:rsidRPr="00C77E77">
        <w:rPr>
          <w:rFonts w:ascii="Times New Roman" w:eastAsia="標楷體" w:hAnsi="Times New Roman" w:cs="Times New Roman"/>
          <w:sz w:val="28"/>
          <w:szCs w:val="28"/>
        </w:rPr>
        <w:t>（</w:t>
      </w:r>
      <w:r w:rsidR="00593B15" w:rsidRPr="00C77E77">
        <w:rPr>
          <w:rFonts w:ascii="Times New Roman" w:eastAsia="標楷體" w:hAnsi="Times New Roman" w:cs="Times New Roman"/>
          <w:sz w:val="28"/>
          <w:szCs w:val="28"/>
        </w:rPr>
        <w:t>Gujarat</w:t>
      </w:r>
      <w:r w:rsidR="000C0B1B" w:rsidRPr="00C77E77">
        <w:rPr>
          <w:rFonts w:ascii="Times New Roman" w:eastAsia="標楷體" w:hAnsi="Times New Roman" w:cs="Times New Roman"/>
          <w:sz w:val="28"/>
          <w:szCs w:val="28"/>
        </w:rPr>
        <w:t>）</w:t>
      </w:r>
      <w:r w:rsidR="00593B15" w:rsidRPr="00C77E77">
        <w:rPr>
          <w:rFonts w:ascii="Times New Roman" w:eastAsia="標楷體" w:hAnsi="Times New Roman" w:cs="Times New Roman"/>
          <w:sz w:val="28"/>
          <w:szCs w:val="28"/>
        </w:rPr>
        <w:t>省政府和及印度資訊製造業協會</w:t>
      </w:r>
      <w:r w:rsidR="000C0B1B" w:rsidRPr="00C77E77">
        <w:rPr>
          <w:rFonts w:ascii="Times New Roman" w:eastAsia="標楷體" w:hAnsi="Times New Roman" w:cs="Times New Roman"/>
          <w:sz w:val="28"/>
          <w:szCs w:val="28"/>
        </w:rPr>
        <w:t>（</w:t>
      </w:r>
      <w:r w:rsidR="00593B15" w:rsidRPr="00C77E77">
        <w:rPr>
          <w:rFonts w:ascii="Times New Roman" w:eastAsia="標楷體" w:hAnsi="Times New Roman" w:cs="Times New Roman"/>
          <w:sz w:val="28"/>
          <w:szCs w:val="28"/>
        </w:rPr>
        <w:t>MAIT</w:t>
      </w:r>
      <w:r w:rsidR="000C0B1B" w:rsidRPr="00C77E77">
        <w:rPr>
          <w:rFonts w:ascii="Times New Roman" w:eastAsia="標楷體" w:hAnsi="Times New Roman" w:cs="Times New Roman"/>
          <w:sz w:val="28"/>
          <w:szCs w:val="28"/>
        </w:rPr>
        <w:t>）</w:t>
      </w:r>
      <w:r w:rsidR="00593B15" w:rsidRPr="00C77E77">
        <w:rPr>
          <w:rFonts w:ascii="Times New Roman" w:eastAsia="標楷體" w:hAnsi="Times New Roman" w:cs="Times New Roman"/>
          <w:sz w:val="28"/>
          <w:szCs w:val="28"/>
        </w:rPr>
        <w:t>簽訂合作備忘錄，領域之一便是開展電子化政府合作，但據了解，尚無臺商利用此管道打入印度市場，因此暫不建議前往印度發展。</w:t>
      </w:r>
    </w:p>
    <w:p w:rsidR="00DF6DB1" w:rsidRPr="00C77E77" w:rsidRDefault="00DF6DB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但前往東南亞及印度發展仍有待克服之考驗，我電子化政府之優勢在於</w:t>
      </w:r>
      <w:r w:rsidRPr="00C77E77">
        <w:rPr>
          <w:rFonts w:ascii="Times New Roman" w:eastAsia="標楷體" w:hAnsi="Times New Roman" w:cs="Times New Roman"/>
          <w:sz w:val="28"/>
          <w:szCs w:val="28"/>
        </w:rPr>
        <w:lastRenderedPageBreak/>
        <w:t>制度面與服務流程，但東南亞各國政府政策、法規、組織運作等皆有所不同，我國成功模式不一定適用於當地，且電子化政府產業更易受國家政策走向影響，對商機的掌握更加不易，此外，前往東南亞發展有一更大的競爭對手</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新加坡，新加坡電子化政府的發展在世界上名列前茅，又身為東協一員，再挾帶著地利之便，其在推廣電子化政府產業時必定較有優勢，此為我國必須考量之一，如何增進我產業優勢，才能讓電子化政府產業順利推廣至海外。</w:t>
      </w:r>
    </w:p>
    <w:p w:rsidR="000B1FB2" w:rsidRPr="00C77E77" w:rsidRDefault="000B1FB2"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而言，馬來西亞、泰國、印尼、菲律賓、越南及汶萊，皆是我國現階段可前往發展之國家；新加坡則因電子化政府以發展成熟，我國前往發展空間小，不建議前往，但可與其進行技術、經驗交流；至於寮國、柬埔寨、緬甸及印度，由於電子化政府程度低，進入市場障礙高，建議暫勿前往。</w:t>
      </w:r>
    </w:p>
    <w:p w:rsidR="00BC5143" w:rsidRPr="00C77E77" w:rsidRDefault="00BC5143" w:rsidP="00AA7E7B">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三、智慧校園</w:t>
      </w:r>
    </w:p>
    <w:p w:rsidR="00DF6DB1" w:rsidRPr="00C77E77" w:rsidRDefault="00DF6DB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我國教育體制發展完備，再加上現行推動之智慧校園計畫，在軟硬體、智慧資源已邁入成熟階段，針對東南亞國家，現行已與越南、泰國和馬來西亞進行交流。透過我國廠商的「</w:t>
      </w:r>
      <w:r w:rsidRPr="00C77E77">
        <w:rPr>
          <w:rFonts w:ascii="Times New Roman" w:eastAsia="標楷體" w:hAnsi="Times New Roman" w:cs="Times New Roman"/>
          <w:sz w:val="28"/>
          <w:szCs w:val="28"/>
        </w:rPr>
        <w:t>MiCampus®</w:t>
      </w:r>
      <w:r w:rsidRPr="00C77E77">
        <w:rPr>
          <w:rFonts w:ascii="Times New Roman" w:eastAsia="標楷體" w:hAnsi="Times New Roman" w:cs="Times New Roman"/>
          <w:sz w:val="28"/>
          <w:szCs w:val="28"/>
        </w:rPr>
        <w:t>智慧校園解決方案」，及我國政府和越南通路商</w:t>
      </w:r>
      <w:r w:rsidRPr="00C77E77">
        <w:rPr>
          <w:rFonts w:ascii="Times New Roman" w:eastAsia="標楷體" w:hAnsi="Times New Roman" w:cs="Times New Roman"/>
          <w:sz w:val="28"/>
          <w:szCs w:val="28"/>
        </w:rPr>
        <w:t xml:space="preserve"> AIC </w:t>
      </w:r>
      <w:r w:rsidRPr="00C77E77">
        <w:rPr>
          <w:rFonts w:ascii="Times New Roman" w:eastAsia="標楷體" w:hAnsi="Times New Roman" w:cs="Times New Roman"/>
          <w:sz w:val="28"/>
          <w:szCs w:val="28"/>
        </w:rPr>
        <w:t>集團的協助下，目前已累積建立</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所示範學校，並陸續在越南廣寧省、同奈省導入智慧學習和智慧保健服務，並</w:t>
      </w:r>
      <w:r w:rsidR="00520E87" w:rsidRPr="00C77E77">
        <w:rPr>
          <w:rFonts w:ascii="Times New Roman" w:eastAsia="標楷體" w:hAnsi="Times New Roman" w:cs="Times New Roman"/>
          <w:sz w:val="28"/>
          <w:szCs w:val="28"/>
        </w:rPr>
        <w:t>培訓當地</w:t>
      </w:r>
      <w:r w:rsidRPr="00C77E77">
        <w:rPr>
          <w:rFonts w:ascii="Times New Roman" w:eastAsia="標楷體" w:hAnsi="Times New Roman" w:cs="Times New Roman"/>
          <w:sz w:val="28"/>
          <w:szCs w:val="28"/>
        </w:rPr>
        <w:t>老師、教職員，分享</w:t>
      </w:r>
      <w:r w:rsidR="00240B65"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教學經驗，讓導入的軟體發揮最大功效。完成軟硬體培訓之後，神通資科於</w:t>
      </w:r>
      <w:r w:rsidRPr="00C77E77">
        <w:rPr>
          <w:rFonts w:ascii="Times New Roman" w:eastAsia="標楷體" w:hAnsi="Times New Roman" w:cs="Times New Roman"/>
          <w:sz w:val="28"/>
          <w:szCs w:val="28"/>
        </w:rPr>
        <w:t xml:space="preserve"> 2016 </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 xml:space="preserve"> 5 </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 xml:space="preserve"> 18 </w:t>
      </w:r>
      <w:r w:rsidRPr="00C77E77">
        <w:rPr>
          <w:rFonts w:ascii="Times New Roman" w:eastAsia="標楷體" w:hAnsi="Times New Roman" w:cs="Times New Roman"/>
          <w:sz w:val="28"/>
          <w:szCs w:val="28"/>
        </w:rPr>
        <w:t>日舉辦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越跨國直播互動體驗課程，以新住民為主題，讓</w:t>
      </w:r>
      <w:r w:rsidR="00240B65"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嘉義市嘉北國小和越南廣寧下龍灣國小學童，透過網路進行遠距互動交流</w:t>
      </w:r>
      <w:r w:rsidR="007E4821" w:rsidRPr="00C77E77">
        <w:rPr>
          <w:rFonts w:ascii="Times New Roman" w:eastAsia="標楷體" w:hAnsi="Times New Roman" w:cs="Times New Roman"/>
          <w:sz w:val="28"/>
          <w:szCs w:val="28"/>
        </w:rPr>
        <w:t>，有助於我國學生拓展視野，並進行雙方文化交流</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93"/>
      </w:r>
      <w:r w:rsidRPr="00C77E77">
        <w:rPr>
          <w:rFonts w:ascii="Times New Roman" w:eastAsia="標楷體" w:hAnsi="Times New Roman" w:cs="Times New Roman"/>
          <w:sz w:val="28"/>
          <w:szCs w:val="28"/>
        </w:rPr>
        <w:t>在泰國曼谷</w:t>
      </w:r>
      <w:r w:rsidRPr="00C77E77">
        <w:rPr>
          <w:rFonts w:ascii="Times New Roman" w:eastAsia="標楷體" w:hAnsi="Times New Roman" w:cs="Times New Roman"/>
          <w:sz w:val="28"/>
          <w:szCs w:val="28"/>
        </w:rPr>
        <w:t>King Mongkut’s University</w:t>
      </w:r>
      <w:r w:rsidRPr="00C77E77">
        <w:rPr>
          <w:rFonts w:ascii="Times New Roman" w:eastAsia="標楷體" w:hAnsi="Times New Roman" w:cs="Times New Roman"/>
          <w:sz w:val="28"/>
          <w:szCs w:val="28"/>
        </w:rPr>
        <w:t>三個分校導入智慧學習與智慧綠能服務、泰國中部北碧府的</w:t>
      </w:r>
      <w:r w:rsidRPr="00C77E77">
        <w:rPr>
          <w:rFonts w:ascii="Times New Roman" w:eastAsia="標楷體" w:hAnsi="Times New Roman" w:cs="Times New Roman"/>
          <w:sz w:val="28"/>
          <w:szCs w:val="28"/>
        </w:rPr>
        <w:t>Kanchananukroh School</w:t>
      </w:r>
      <w:r w:rsidRPr="00C77E77">
        <w:rPr>
          <w:rFonts w:ascii="Times New Roman" w:eastAsia="標楷體" w:hAnsi="Times New Roman" w:cs="Times New Roman"/>
          <w:sz w:val="28"/>
          <w:szCs w:val="28"/>
        </w:rPr>
        <w:t>建置</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間智慧教室；在馬來西亞則分別於</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所學校建置共</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間智慧教室。在這些既有的基礎下，我應繼續把握並延伸在此三個國家的觸角。</w:t>
      </w:r>
    </w:p>
    <w:p w:rsidR="00DF6DB1" w:rsidRPr="00C77E77" w:rsidRDefault="00DF6DB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2016</w:t>
      </w:r>
      <w:r w:rsidR="00464606"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17</w:t>
      </w:r>
      <w:r w:rsidRPr="00C77E77">
        <w:rPr>
          <w:rFonts w:ascii="Times New Roman" w:eastAsia="標楷體" w:hAnsi="Times New Roman" w:cs="Times New Roman"/>
          <w:sz w:val="28"/>
          <w:szCs w:val="28"/>
        </w:rPr>
        <w:t>日，財團法人資訊工業策進會國際處、與寮國資通訊協會（</w:t>
      </w:r>
      <w:r w:rsidRPr="00C77E77">
        <w:rPr>
          <w:rFonts w:ascii="Times New Roman" w:eastAsia="標楷體" w:hAnsi="Times New Roman" w:cs="Times New Roman"/>
          <w:sz w:val="28"/>
          <w:szCs w:val="28"/>
        </w:rPr>
        <w:t>Lao ICT Commerce Association</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LICA</w:t>
      </w:r>
      <w:r w:rsidRPr="00C77E77">
        <w:rPr>
          <w:rFonts w:ascii="Times New Roman" w:eastAsia="標楷體" w:hAnsi="Times New Roman" w:cs="Times New Roman"/>
          <w:sz w:val="28"/>
          <w:szCs w:val="28"/>
        </w:rPr>
        <w:t>）共同舉辦「</w:t>
      </w:r>
      <w:r w:rsidRPr="00C77E77">
        <w:rPr>
          <w:rFonts w:ascii="Times New Roman" w:eastAsia="標楷體" w:hAnsi="Times New Roman" w:cs="Times New Roman"/>
          <w:sz w:val="28"/>
          <w:szCs w:val="28"/>
        </w:rPr>
        <w:t>2016 Lao-Taiwan e-Government and Smart ICT Workshop</w:t>
      </w:r>
      <w:r w:rsidRPr="00C77E77">
        <w:rPr>
          <w:rFonts w:ascii="Times New Roman" w:eastAsia="標楷體" w:hAnsi="Times New Roman" w:cs="Times New Roman"/>
          <w:sz w:val="28"/>
          <w:szCs w:val="28"/>
        </w:rPr>
        <w:t>」，與會人士對我國電子化政府、智慧交通、智慧能源管理、智慧校園、智慧監控等發展</w:t>
      </w:r>
      <w:r w:rsidR="000B1FB2" w:rsidRPr="00C77E77">
        <w:rPr>
          <w:rFonts w:ascii="Times New Roman" w:eastAsia="標楷體" w:hAnsi="Times New Roman" w:cs="Times New Roman"/>
          <w:sz w:val="28"/>
          <w:szCs w:val="28"/>
        </w:rPr>
        <w:t>展現高度興趣</w:t>
      </w:r>
      <w:r w:rsidRPr="00C77E77">
        <w:rPr>
          <w:rFonts w:ascii="Times New Roman" w:eastAsia="標楷體" w:hAnsi="Times New Roman" w:cs="Times New Roman"/>
          <w:sz w:val="28"/>
          <w:szCs w:val="28"/>
        </w:rPr>
        <w:t>，不少</w:t>
      </w:r>
      <w:r w:rsidR="000B1FB2" w:rsidRPr="00C77E77">
        <w:rPr>
          <w:rFonts w:ascii="Times New Roman" w:eastAsia="標楷體" w:hAnsi="Times New Roman" w:cs="Times New Roman"/>
          <w:sz w:val="28"/>
          <w:szCs w:val="28"/>
        </w:rPr>
        <w:t>當地</w:t>
      </w:r>
      <w:r w:rsidRPr="00C77E77">
        <w:rPr>
          <w:rFonts w:ascii="Times New Roman" w:eastAsia="標楷體" w:hAnsi="Times New Roman" w:cs="Times New Roman"/>
          <w:sz w:val="28"/>
          <w:szCs w:val="28"/>
        </w:rPr>
        <w:t>業者</w:t>
      </w:r>
      <w:r w:rsidR="007E4821" w:rsidRPr="00C77E77">
        <w:rPr>
          <w:rFonts w:ascii="Times New Roman" w:eastAsia="標楷體" w:hAnsi="Times New Roman" w:cs="Times New Roman"/>
          <w:sz w:val="28"/>
          <w:szCs w:val="28"/>
        </w:rPr>
        <w:t>在</w:t>
      </w:r>
      <w:r w:rsidRPr="00C77E77">
        <w:rPr>
          <w:rFonts w:ascii="Times New Roman" w:eastAsia="標楷體" w:hAnsi="Times New Roman" w:cs="Times New Roman"/>
          <w:sz w:val="28"/>
          <w:szCs w:val="28"/>
        </w:rPr>
        <w:t>會後</w:t>
      </w:r>
      <w:r w:rsidR="007E4821" w:rsidRPr="00C77E77">
        <w:rPr>
          <w:rFonts w:ascii="Times New Roman" w:eastAsia="標楷體" w:hAnsi="Times New Roman" w:cs="Times New Roman"/>
          <w:sz w:val="28"/>
          <w:szCs w:val="28"/>
        </w:rPr>
        <w:t>與我方接洽，</w:t>
      </w:r>
      <w:r w:rsidR="0025438B" w:rsidRPr="00C77E77">
        <w:rPr>
          <w:rFonts w:ascii="Times New Roman" w:eastAsia="標楷體" w:hAnsi="Times New Roman" w:cs="Times New Roman"/>
          <w:sz w:val="28"/>
          <w:szCs w:val="28"/>
        </w:rPr>
        <w:t>探詢</w:t>
      </w:r>
      <w:r w:rsidRPr="00C77E77">
        <w:rPr>
          <w:rFonts w:ascii="Times New Roman" w:eastAsia="標楷體" w:hAnsi="Times New Roman" w:cs="Times New Roman"/>
          <w:sz w:val="28"/>
          <w:szCs w:val="28"/>
        </w:rPr>
        <w:t>未來可能之合作模式，開啟臺、寮合作交流之新契機。此外，亦有寮國廠商當場表達代理</w:t>
      </w:r>
      <w:r w:rsidR="00240B65"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業者相關智慧學習、智慧能源管理、</w:t>
      </w:r>
      <w:r w:rsidR="007E4821" w:rsidRPr="00C77E77">
        <w:rPr>
          <w:rFonts w:ascii="Times New Roman" w:eastAsia="標楷體" w:hAnsi="Times New Roman" w:cs="Times New Roman"/>
          <w:sz w:val="28"/>
          <w:szCs w:val="28"/>
        </w:rPr>
        <w:t>及</w:t>
      </w:r>
      <w:r w:rsidRPr="00C77E77">
        <w:rPr>
          <w:rFonts w:ascii="Times New Roman" w:eastAsia="標楷體" w:hAnsi="Times New Roman" w:cs="Times New Roman"/>
          <w:sz w:val="28"/>
          <w:szCs w:val="28"/>
        </w:rPr>
        <w:t>圖書館自動化系統產品服務</w:t>
      </w:r>
      <w:r w:rsidR="007E4821" w:rsidRPr="00C77E77">
        <w:rPr>
          <w:rFonts w:ascii="Times New Roman" w:eastAsia="標楷體" w:hAnsi="Times New Roman" w:cs="Times New Roman"/>
          <w:sz w:val="28"/>
          <w:szCs w:val="28"/>
        </w:rPr>
        <w:t>之意願</w:t>
      </w:r>
      <w:r w:rsidRPr="00C77E77">
        <w:rPr>
          <w:rFonts w:ascii="Times New Roman" w:eastAsia="標楷體" w:hAnsi="Times New Roman" w:cs="Times New Roman"/>
          <w:sz w:val="28"/>
          <w:szCs w:val="28"/>
        </w:rPr>
        <w:t>，雖寮國在電信基礎設備上不完善，但若能有當地廠商合作，且寮國與泰國語言相通，或許能藉由泰國成功的模式導入寮國。</w:t>
      </w:r>
      <w:r w:rsidRPr="00C77E77">
        <w:rPr>
          <w:rStyle w:val="a9"/>
          <w:rFonts w:ascii="Times New Roman" w:eastAsia="標楷體" w:hAnsi="Times New Roman" w:cs="Times New Roman"/>
          <w:sz w:val="28"/>
          <w:szCs w:val="28"/>
        </w:rPr>
        <w:footnoteReference w:id="94"/>
      </w:r>
      <w:r w:rsidR="000B1FB2" w:rsidRPr="00C77E77">
        <w:rPr>
          <w:rFonts w:ascii="Times New Roman" w:eastAsia="標楷體" w:hAnsi="Times New Roman" w:cs="Times New Roman"/>
          <w:sz w:val="28"/>
          <w:szCs w:val="28"/>
        </w:rPr>
        <w:t>而新加坡在</w:t>
      </w:r>
      <w:r w:rsidR="000B1FB2" w:rsidRPr="00C77E77">
        <w:rPr>
          <w:rFonts w:ascii="Times New Roman" w:eastAsia="標楷體" w:hAnsi="Times New Roman" w:cs="Times New Roman"/>
          <w:sz w:val="28"/>
          <w:szCs w:val="28"/>
        </w:rPr>
        <w:t>2015</w:t>
      </w:r>
      <w:r w:rsidR="000B1FB2" w:rsidRPr="00C77E77">
        <w:rPr>
          <w:rFonts w:ascii="Times New Roman" w:eastAsia="標楷體" w:hAnsi="Times New Roman" w:cs="Times New Roman"/>
          <w:sz w:val="28"/>
          <w:szCs w:val="28"/>
        </w:rPr>
        <w:t>年以投入</w:t>
      </w:r>
      <w:r w:rsidR="000B1FB2" w:rsidRPr="00C77E77">
        <w:rPr>
          <w:rFonts w:ascii="Times New Roman" w:eastAsia="標楷體" w:hAnsi="Times New Roman" w:cs="Times New Roman"/>
          <w:sz w:val="28"/>
          <w:szCs w:val="28"/>
        </w:rPr>
        <w:t>6,600</w:t>
      </w:r>
      <w:r w:rsidR="000B1FB2" w:rsidRPr="00C77E77">
        <w:rPr>
          <w:rFonts w:ascii="Times New Roman" w:eastAsia="標楷體" w:hAnsi="Times New Roman" w:cs="Times New Roman"/>
          <w:sz w:val="28"/>
          <w:szCs w:val="28"/>
        </w:rPr>
        <w:t>億美金打造智慧校園，雖然可能無法成為我前往發展的國家，但我國可以參考新加坡現行發展之經驗，做為我推廣海外市場之借鏡。</w:t>
      </w:r>
    </w:p>
    <w:p w:rsidR="00E73BDC" w:rsidRPr="00C77E77" w:rsidRDefault="00524E65" w:rsidP="00E73BD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印度則是以</w:t>
      </w:r>
      <w:r w:rsidR="00E73BDC" w:rsidRPr="00C77E77">
        <w:rPr>
          <w:rFonts w:ascii="Times New Roman" w:eastAsia="標楷體" w:hAnsi="Times New Roman" w:cs="Times New Roman"/>
          <w:sz w:val="28"/>
          <w:szCs w:val="28"/>
        </w:rPr>
        <w:t>「電子教育」（</w:t>
      </w:r>
      <w:r w:rsidR="00E73BDC" w:rsidRPr="00C77E77">
        <w:rPr>
          <w:rFonts w:ascii="Times New Roman" w:eastAsia="標楷體" w:hAnsi="Times New Roman" w:cs="Times New Roman"/>
          <w:sz w:val="28"/>
          <w:szCs w:val="28"/>
        </w:rPr>
        <w:t>E-education</w:t>
      </w:r>
      <w:r w:rsidR="00E73BDC"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做為</w:t>
      </w:r>
      <w:r w:rsidR="00E73BDC" w:rsidRPr="00C77E77">
        <w:rPr>
          <w:rFonts w:ascii="Times New Roman" w:eastAsia="標楷體" w:hAnsi="Times New Roman" w:cs="Times New Roman"/>
          <w:sz w:val="28"/>
          <w:szCs w:val="28"/>
        </w:rPr>
        <w:t>「數位化印度」（</w:t>
      </w:r>
      <w:r w:rsidR="00E73BDC" w:rsidRPr="00C77E77">
        <w:rPr>
          <w:rFonts w:ascii="Times New Roman" w:eastAsia="標楷體" w:hAnsi="Times New Roman" w:cs="Times New Roman"/>
          <w:sz w:val="28"/>
          <w:szCs w:val="28"/>
        </w:rPr>
        <w:t>Digital India</w:t>
      </w:r>
      <w:r w:rsidR="00E73BDC" w:rsidRPr="00C77E77">
        <w:rPr>
          <w:rFonts w:ascii="Times New Roman" w:eastAsia="標楷體" w:hAnsi="Times New Roman" w:cs="Times New Roman"/>
          <w:sz w:val="28"/>
          <w:szCs w:val="28"/>
        </w:rPr>
        <w:t>）計畫中的一環，具體目標是在印度所有的中學</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約</w:t>
      </w:r>
      <w:r w:rsidR="00E73BDC" w:rsidRPr="00C77E77">
        <w:rPr>
          <w:rFonts w:ascii="Times New Roman" w:eastAsia="標楷體" w:hAnsi="Times New Roman" w:cs="Times New Roman"/>
          <w:sz w:val="28"/>
          <w:szCs w:val="28"/>
        </w:rPr>
        <w:t>25,000</w:t>
      </w:r>
      <w:r w:rsidR="00E73BDC" w:rsidRPr="00C77E77">
        <w:rPr>
          <w:rFonts w:ascii="Times New Roman" w:eastAsia="標楷體" w:hAnsi="Times New Roman" w:cs="Times New Roman"/>
          <w:sz w:val="28"/>
          <w:szCs w:val="28"/>
        </w:rPr>
        <w:t>所</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設置寬頻及免費</w:t>
      </w:r>
      <w:r w:rsidR="00E73BDC" w:rsidRPr="00C77E77">
        <w:rPr>
          <w:rFonts w:ascii="Times New Roman" w:eastAsia="標楷體" w:hAnsi="Times New Roman" w:cs="Times New Roman"/>
          <w:sz w:val="28"/>
          <w:szCs w:val="28"/>
        </w:rPr>
        <w:t>wifi</w:t>
      </w:r>
      <w:r w:rsidRPr="00C77E77">
        <w:rPr>
          <w:rFonts w:ascii="Times New Roman" w:eastAsia="標楷體" w:hAnsi="Times New Roman" w:cs="Times New Roman"/>
          <w:sz w:val="28"/>
          <w:szCs w:val="28"/>
        </w:rPr>
        <w:t>，另外更</w:t>
      </w:r>
      <w:r w:rsidR="00E73BDC" w:rsidRPr="00C77E77">
        <w:rPr>
          <w:rFonts w:ascii="Times New Roman" w:eastAsia="標楷體" w:hAnsi="Times New Roman" w:cs="Times New Roman"/>
          <w:sz w:val="28"/>
          <w:szCs w:val="28"/>
        </w:rPr>
        <w:t>發展大規模線上開放課程</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磨課師</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Massive Online Open Courses, MOOCs</w:t>
      </w:r>
      <w:r w:rsidR="00E73BDC" w:rsidRPr="00C77E77">
        <w:rPr>
          <w:rFonts w:ascii="Times New Roman" w:eastAsia="標楷體" w:hAnsi="Times New Roman" w:cs="Times New Roman"/>
          <w:sz w:val="28"/>
          <w:szCs w:val="28"/>
        </w:rPr>
        <w:t>）。印度人力資源部</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Ministry of Human Resource Development</w:t>
      </w:r>
      <w:r w:rsidR="00E73BDC" w:rsidRPr="00C77E77">
        <w:rPr>
          <w:rFonts w:ascii="Times New Roman" w:eastAsia="標楷體" w:hAnsi="Times New Roman" w:cs="Times New Roman"/>
          <w:sz w:val="28"/>
          <w:szCs w:val="28"/>
        </w:rPr>
        <w:t>，相當於教育部</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也透過國家型資通訊科技推動教育計畫</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National Mission on Education through Information and Communication Technology, NMEICT</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推動大學生的電子課程</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e-Classes</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及電子書</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e-books</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。至</w:t>
      </w:r>
      <w:r w:rsidR="00E73BDC" w:rsidRPr="00C77E77">
        <w:rPr>
          <w:rFonts w:ascii="Times New Roman" w:eastAsia="標楷體" w:hAnsi="Times New Roman" w:cs="Times New Roman"/>
          <w:sz w:val="28"/>
          <w:szCs w:val="28"/>
        </w:rPr>
        <w:t>2016</w:t>
      </w:r>
      <w:r w:rsidR="00E73BDC" w:rsidRPr="00C77E77">
        <w:rPr>
          <w:rFonts w:ascii="Times New Roman" w:eastAsia="標楷體" w:hAnsi="Times New Roman" w:cs="Times New Roman"/>
          <w:sz w:val="28"/>
          <w:szCs w:val="28"/>
        </w:rPr>
        <w:t>年</w:t>
      </w:r>
      <w:r w:rsidR="00E73BDC" w:rsidRPr="00C77E77">
        <w:rPr>
          <w:rFonts w:ascii="Times New Roman" w:eastAsia="標楷體" w:hAnsi="Times New Roman" w:cs="Times New Roman"/>
          <w:sz w:val="28"/>
          <w:szCs w:val="28"/>
        </w:rPr>
        <w:t>4</w:t>
      </w:r>
      <w:r w:rsidR="00E73BDC" w:rsidRPr="00C77E77">
        <w:rPr>
          <w:rFonts w:ascii="Times New Roman" w:eastAsia="標楷體" w:hAnsi="Times New Roman" w:cs="Times New Roman"/>
          <w:sz w:val="28"/>
          <w:szCs w:val="28"/>
        </w:rPr>
        <w:t>月，已完成</w:t>
      </w:r>
      <w:r w:rsidR="00E73BDC" w:rsidRPr="00C77E77">
        <w:rPr>
          <w:rFonts w:ascii="Times New Roman" w:eastAsia="標楷體" w:hAnsi="Times New Roman" w:cs="Times New Roman"/>
          <w:sz w:val="28"/>
          <w:szCs w:val="28"/>
        </w:rPr>
        <w:t>93,000</w:t>
      </w:r>
      <w:r w:rsidR="00E73BDC" w:rsidRPr="00C77E77">
        <w:rPr>
          <w:rFonts w:ascii="Times New Roman" w:eastAsia="標楷體" w:hAnsi="Times New Roman" w:cs="Times New Roman"/>
          <w:sz w:val="28"/>
          <w:szCs w:val="28"/>
        </w:rPr>
        <w:t>本電子書。印度政府也通過</w:t>
      </w:r>
      <w:r w:rsidR="00E73BDC" w:rsidRPr="00C77E77">
        <w:rPr>
          <w:rFonts w:ascii="Times New Roman" w:eastAsia="標楷體" w:hAnsi="Times New Roman" w:cs="Times New Roman"/>
          <w:sz w:val="28"/>
          <w:szCs w:val="28"/>
        </w:rPr>
        <w:t xml:space="preserve">Study Webs of Active Learning for Young Aspiring Minds </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SWAYAM</w:t>
      </w:r>
      <w:r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計畫，開發提供給高中生、大學生及研究生的磨課師課程，預計</w:t>
      </w:r>
      <w:r w:rsidR="00E73BDC" w:rsidRPr="00C77E77">
        <w:rPr>
          <w:rFonts w:ascii="Times New Roman" w:eastAsia="標楷體" w:hAnsi="Times New Roman" w:cs="Times New Roman"/>
          <w:sz w:val="28"/>
          <w:szCs w:val="28"/>
        </w:rPr>
        <w:t>2016</w:t>
      </w:r>
      <w:r w:rsidR="00E73BDC" w:rsidRPr="00C77E77">
        <w:rPr>
          <w:rFonts w:ascii="Times New Roman" w:eastAsia="標楷體" w:hAnsi="Times New Roman" w:cs="Times New Roman"/>
          <w:sz w:val="28"/>
          <w:szCs w:val="28"/>
        </w:rPr>
        <w:t>年</w:t>
      </w:r>
      <w:r w:rsidR="00E73BDC" w:rsidRPr="00C77E77">
        <w:rPr>
          <w:rFonts w:ascii="Times New Roman" w:eastAsia="標楷體" w:hAnsi="Times New Roman" w:cs="Times New Roman"/>
          <w:sz w:val="28"/>
          <w:szCs w:val="28"/>
        </w:rPr>
        <w:t>8</w:t>
      </w:r>
      <w:r w:rsidR="00E73BDC" w:rsidRPr="00C77E77">
        <w:rPr>
          <w:rFonts w:ascii="Times New Roman" w:eastAsia="標楷體" w:hAnsi="Times New Roman" w:cs="Times New Roman"/>
          <w:sz w:val="28"/>
          <w:szCs w:val="28"/>
        </w:rPr>
        <w:t>月之後啟動。換言之，印度政府目前所推動的方案聚焦於電子學習</w:t>
      </w:r>
      <w:r w:rsidR="00F10E86" w:rsidRPr="00C77E77">
        <w:rPr>
          <w:rFonts w:ascii="Times New Roman" w:eastAsia="標楷體" w:hAnsi="Times New Roman" w:cs="Times New Roman"/>
          <w:sz w:val="28"/>
          <w:szCs w:val="28"/>
        </w:rPr>
        <w:t>（</w:t>
      </w:r>
      <w:r w:rsidR="00F10E86" w:rsidRPr="00C77E77">
        <w:rPr>
          <w:rFonts w:ascii="Times New Roman" w:eastAsia="標楷體" w:hAnsi="Times New Roman" w:cs="Times New Roman"/>
          <w:sz w:val="28"/>
          <w:szCs w:val="28"/>
        </w:rPr>
        <w:t>E-learning</w:t>
      </w:r>
      <w:r w:rsidR="00F10E86"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，因此我國可考慮針對此塊商機前往發展。</w:t>
      </w:r>
      <w:r w:rsidR="00E73BDC" w:rsidRPr="00C77E77">
        <w:rPr>
          <w:rFonts w:ascii="Times New Roman" w:eastAsia="標楷體" w:hAnsi="Times New Roman" w:cs="Times New Roman"/>
          <w:sz w:val="28"/>
          <w:szCs w:val="28"/>
        </w:rPr>
        <w:t xml:space="preserve">  </w:t>
      </w:r>
      <w:r w:rsidR="00E73BDC" w:rsidRPr="00C77E77">
        <w:rPr>
          <w:rFonts w:ascii="Times New Roman" w:eastAsia="標楷體" w:hAnsi="Times New Roman" w:cs="Times New Roman"/>
          <w:sz w:val="28"/>
          <w:szCs w:val="28"/>
        </w:rPr>
        <w:t>由於印度學校眾多，性質及規模都不同。建議縮小合作對象及領域，先在一兩所學校作出示範效果，較有利推廣。</w:t>
      </w:r>
      <w:r w:rsidRPr="00C77E77">
        <w:rPr>
          <w:rFonts w:ascii="Times New Roman" w:eastAsia="標楷體" w:hAnsi="Times New Roman" w:cs="Times New Roman"/>
          <w:sz w:val="28"/>
          <w:szCs w:val="28"/>
        </w:rPr>
        <w:t>臺</w:t>
      </w:r>
      <w:r w:rsidR="00E73BDC" w:rsidRPr="00C77E77">
        <w:rPr>
          <w:rFonts w:ascii="Times New Roman" w:eastAsia="標楷體" w:hAnsi="Times New Roman" w:cs="Times New Roman"/>
          <w:sz w:val="28"/>
          <w:szCs w:val="28"/>
        </w:rPr>
        <w:t>灣目前已經在印度大學內設立</w:t>
      </w:r>
      <w:r w:rsidR="00E73BDC" w:rsidRPr="00C77E77">
        <w:rPr>
          <w:rFonts w:ascii="Times New Roman" w:eastAsia="標楷體" w:hAnsi="Times New Roman" w:cs="Times New Roman"/>
          <w:sz w:val="28"/>
          <w:szCs w:val="28"/>
        </w:rPr>
        <w:t>6</w:t>
      </w:r>
      <w:r w:rsidR="00E73BDC" w:rsidRPr="00C77E77">
        <w:rPr>
          <w:rFonts w:ascii="Times New Roman" w:eastAsia="標楷體" w:hAnsi="Times New Roman" w:cs="Times New Roman"/>
          <w:sz w:val="28"/>
          <w:szCs w:val="28"/>
        </w:rPr>
        <w:t>所</w:t>
      </w:r>
      <w:r w:rsidR="007F08FC" w:rsidRPr="00C77E77">
        <w:rPr>
          <w:rFonts w:ascii="Times New Roman" w:eastAsia="標楷體" w:hAnsi="Times New Roman" w:cs="Times New Roman"/>
          <w:sz w:val="28"/>
          <w:szCs w:val="28"/>
        </w:rPr>
        <w:t>臺</w:t>
      </w:r>
      <w:r w:rsidR="00E73BDC" w:rsidRPr="00C77E77">
        <w:rPr>
          <w:rFonts w:ascii="Times New Roman" w:eastAsia="標楷體" w:hAnsi="Times New Roman" w:cs="Times New Roman"/>
          <w:sz w:val="28"/>
          <w:szCs w:val="28"/>
        </w:rPr>
        <w:t>灣教育中心</w:t>
      </w:r>
      <w:r w:rsidR="00F10E86"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Taiwan Education Center</w:t>
      </w:r>
      <w:r w:rsidR="00F10E86" w:rsidRPr="00C77E77">
        <w:rPr>
          <w:rFonts w:ascii="Times New Roman" w:eastAsia="標楷體" w:hAnsi="Times New Roman" w:cs="Times New Roman"/>
          <w:sz w:val="28"/>
          <w:szCs w:val="28"/>
        </w:rPr>
        <w:t>）</w:t>
      </w:r>
      <w:r w:rsidR="00E73BDC" w:rsidRPr="00C77E77">
        <w:rPr>
          <w:rFonts w:ascii="Times New Roman" w:eastAsia="標楷體" w:hAnsi="Times New Roman" w:cs="Times New Roman"/>
          <w:sz w:val="28"/>
          <w:szCs w:val="28"/>
        </w:rPr>
        <w:t>，可以先藉</w:t>
      </w:r>
      <w:r w:rsidR="00E73BDC" w:rsidRPr="00C77E77">
        <w:rPr>
          <w:rFonts w:ascii="Times New Roman" w:eastAsia="標楷體" w:hAnsi="Times New Roman" w:cs="Times New Roman"/>
          <w:sz w:val="28"/>
          <w:szCs w:val="28"/>
        </w:rPr>
        <w:lastRenderedPageBreak/>
        <w:t>由這些中心蒐集相關學校資訊及需求。</w:t>
      </w:r>
    </w:p>
    <w:p w:rsidR="00994DF1" w:rsidRPr="00C77E77" w:rsidRDefault="00994DF1"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經濟部工業局系統整合推動辦公室積極與海外國家接洽，並舉辦相關商機會議，例如寮國、緬甸，</w:t>
      </w:r>
      <w:r w:rsidR="00FC5E8A" w:rsidRPr="00C77E77">
        <w:rPr>
          <w:rFonts w:ascii="Times New Roman" w:eastAsia="標楷體" w:hAnsi="Times New Roman" w:cs="Times New Roman"/>
          <w:sz w:val="28"/>
          <w:szCs w:val="28"/>
        </w:rPr>
        <w:t>各國也表達高度與我合作之意願，但實際上推廣智慧校園仍需</w:t>
      </w:r>
      <w:r w:rsidR="002F30F3" w:rsidRPr="00C77E77">
        <w:rPr>
          <w:rFonts w:ascii="Times New Roman" w:eastAsia="標楷體" w:hAnsi="Times New Roman" w:cs="Times New Roman"/>
          <w:sz w:val="28"/>
          <w:szCs w:val="28"/>
        </w:rPr>
        <w:t>健</w:t>
      </w:r>
      <w:r w:rsidR="00FC5E8A" w:rsidRPr="00C77E77">
        <w:rPr>
          <w:rFonts w:ascii="Times New Roman" w:eastAsia="標楷體" w:hAnsi="Times New Roman" w:cs="Times New Roman"/>
          <w:sz w:val="28"/>
          <w:szCs w:val="28"/>
        </w:rPr>
        <w:t>全之電信設備基礎，此一議題將是前進東南亞及印度布局最需解決之問題，採取方案可能是透過與在地電信業者合作，以結盟方式共同開發，利用各自的優勢分工合作，才能將智慧校園妥善推廣。或是從另外的角度思考，我國也能趁東南亞及印度發展基礎設施之時，先行培養我前往在地之人才，例如運用我國新住民人口的優勢，率先了解當地教育文化，規劃適合不同國家的不同配套措施，提供客製化服務，</w:t>
      </w:r>
      <w:r w:rsidR="00A820B8" w:rsidRPr="00C77E77">
        <w:rPr>
          <w:rFonts w:ascii="Times New Roman" w:eastAsia="標楷體" w:hAnsi="Times New Roman" w:cs="Times New Roman"/>
          <w:sz w:val="28"/>
          <w:szCs w:val="28"/>
        </w:rPr>
        <w:t>透過非硬體的諮詢、顧問方案，做為另一種推行智慧校園之方式。</w:t>
      </w:r>
    </w:p>
    <w:p w:rsidR="000B1FB2" w:rsidRPr="00C77E77" w:rsidRDefault="0025438B"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而言，馬來西亞、泰國、印尼、菲律賓、越南、汶萊及印度，皆是我國現階段可前往發展之國家；新加坡則因當地既有智慧校園建設規劃，不建議前往，但可將其經驗做為借鏡；至於寮國、柬埔寨及緬甸，雖或有表達與我合作意願，但由於基礎建設不完善，開發成本高，建議暫勿前往。</w:t>
      </w:r>
    </w:p>
    <w:p w:rsidR="00A820B8" w:rsidRPr="00C77E77" w:rsidRDefault="00A820B8" w:rsidP="00AA7E7B">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綜觀電子收費、電子化政府及智慧校園三大產業，其實都奠基在電信基礎設備上，彼此間也都有互相重疊之服務內容，所以最重要的是仰賴當地基礎設施的完備，我國才能將實際技術輸出，這部分除了電子收費可嘗試一條龍服務之外，</w:t>
      </w:r>
      <w:r w:rsidR="003F4973" w:rsidRPr="00C77E77">
        <w:rPr>
          <w:rFonts w:ascii="Times New Roman" w:eastAsia="標楷體" w:hAnsi="Times New Roman" w:cs="Times New Roman"/>
          <w:sz w:val="28"/>
          <w:szCs w:val="28"/>
        </w:rPr>
        <w:t>也需當地廠商之配合</w:t>
      </w:r>
      <w:r w:rsidRPr="00C77E77">
        <w:rPr>
          <w:rFonts w:ascii="Times New Roman" w:eastAsia="標楷體" w:hAnsi="Times New Roman" w:cs="Times New Roman"/>
          <w:sz w:val="28"/>
          <w:szCs w:val="28"/>
        </w:rPr>
        <w:t>。</w:t>
      </w:r>
      <w:r w:rsidR="003F4973" w:rsidRPr="00C77E77">
        <w:rPr>
          <w:rFonts w:ascii="Times New Roman" w:eastAsia="標楷體" w:hAnsi="Times New Roman" w:cs="Times New Roman"/>
          <w:sz w:val="28"/>
          <w:szCs w:val="28"/>
        </w:rPr>
        <w:t>但由前述研究報告發現，我國在制度、經驗上具有優勢，所以或許能換個角度思考，以顧問的形式輸出產業，既可避免基礎建設不足之問題，也較無資</w:t>
      </w:r>
      <w:r w:rsidR="002F30F3" w:rsidRPr="00C77E77">
        <w:rPr>
          <w:rFonts w:ascii="Times New Roman" w:eastAsia="標楷體" w:hAnsi="Times New Roman" w:cs="Times New Roman"/>
          <w:sz w:val="28"/>
          <w:szCs w:val="28"/>
        </w:rPr>
        <w:t>金取得上之困擾，亦</w:t>
      </w:r>
      <w:r w:rsidR="003F4973" w:rsidRPr="00C77E77">
        <w:rPr>
          <w:rFonts w:ascii="Times New Roman" w:eastAsia="標楷體" w:hAnsi="Times New Roman" w:cs="Times New Roman"/>
          <w:sz w:val="28"/>
          <w:szCs w:val="28"/>
        </w:rPr>
        <w:t>是另一可行方式。</w:t>
      </w:r>
    </w:p>
    <w:p w:rsidR="00C80EDF" w:rsidRPr="00C77E77" w:rsidRDefault="00C80EDF">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897640" w:rsidRPr="00C77E77" w:rsidRDefault="00CA5650" w:rsidP="00764ED7">
      <w:pPr>
        <w:pStyle w:val="ab"/>
        <w:numPr>
          <w:ilvl w:val="0"/>
          <w:numId w:val="21"/>
        </w:numPr>
        <w:spacing w:beforeLines="50" w:before="180" w:afterLines="50" w:after="180" w:line="500" w:lineRule="exact"/>
        <w:ind w:leftChars="0" w:left="1276" w:hanging="1276"/>
        <w:jc w:val="both"/>
        <w:outlineLvl w:val="1"/>
        <w:rPr>
          <w:rFonts w:ascii="Times New Roman" w:eastAsia="標楷體" w:hAnsi="Times New Roman" w:cs="Times New Roman"/>
          <w:b/>
          <w:sz w:val="31"/>
          <w:szCs w:val="31"/>
        </w:rPr>
      </w:pPr>
      <w:bookmarkStart w:id="125" w:name="_Toc470676320"/>
      <w:r w:rsidRPr="00C77E77">
        <w:rPr>
          <w:rFonts w:ascii="Times New Roman" w:eastAsia="標楷體" w:hAnsi="Times New Roman" w:cs="Times New Roman"/>
          <w:b/>
          <w:sz w:val="31"/>
          <w:szCs w:val="31"/>
        </w:rPr>
        <w:lastRenderedPageBreak/>
        <w:t>電子</w:t>
      </w:r>
      <w:r w:rsidR="00897640" w:rsidRPr="00C77E77">
        <w:rPr>
          <w:rFonts w:ascii="Times New Roman" w:eastAsia="標楷體" w:hAnsi="Times New Roman" w:cs="Times New Roman"/>
          <w:b/>
          <w:sz w:val="31"/>
          <w:szCs w:val="31"/>
        </w:rPr>
        <w:t>商務、智慧物流、雲端系統產業南向發展之機會與挑戰</w:t>
      </w:r>
      <w:bookmarkEnd w:id="125"/>
    </w:p>
    <w:p w:rsidR="00B15079" w:rsidRPr="00C77E77" w:rsidRDefault="00B15079" w:rsidP="00B15079">
      <w:pPr>
        <w:spacing w:beforeLines="50" w:before="180" w:afterLines="50" w:after="180" w:line="500" w:lineRule="exact"/>
        <w:ind w:firstLineChars="202" w:firstLine="566"/>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本節繼續分析電子商務、智慧物流、雲端系統等三項我國產業輸出東協各國與印度的機會與挑戰，從各國的發展環境與當地需求，來評估這三項產業各自在哪些國家具有發展潛力與利基。</w:t>
      </w:r>
    </w:p>
    <w:p w:rsidR="0062350F" w:rsidRPr="00C77E77" w:rsidRDefault="0062350F" w:rsidP="00764ED7">
      <w:pPr>
        <w:pStyle w:val="ab"/>
        <w:numPr>
          <w:ilvl w:val="0"/>
          <w:numId w:val="30"/>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電子商務</w:t>
      </w:r>
    </w:p>
    <w:p w:rsidR="002E0017" w:rsidRPr="00C77E77" w:rsidRDefault="002F30F3" w:rsidP="002E001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在政府新南向</w:t>
      </w:r>
      <w:r w:rsidR="002E0017" w:rsidRPr="00C77E77">
        <w:rPr>
          <w:rFonts w:ascii="Times New Roman" w:eastAsia="標楷體" w:hAnsi="Times New Roman" w:cs="Times New Roman"/>
          <w:sz w:val="28"/>
          <w:szCs w:val="28"/>
        </w:rPr>
        <w:t>政策下，將東協做為臺灣內需市場的延伸，而透過電商平</w:t>
      </w:r>
      <w:r w:rsidR="00FD0D5A" w:rsidRPr="00C77E77">
        <w:rPr>
          <w:rFonts w:ascii="Times New Roman" w:eastAsia="標楷體" w:hAnsi="Times New Roman" w:cs="Times New Roman"/>
          <w:sz w:val="28"/>
          <w:szCs w:val="28"/>
        </w:rPr>
        <w:t>臺</w:t>
      </w:r>
      <w:r w:rsidR="002E0017" w:rsidRPr="00C77E77">
        <w:rPr>
          <w:rFonts w:ascii="Times New Roman" w:eastAsia="標楷體" w:hAnsi="Times New Roman" w:cs="Times New Roman"/>
          <w:sz w:val="28"/>
          <w:szCs w:val="28"/>
        </w:rPr>
        <w:t>能以最有效率最節省成本的方式，將臺灣優質的產品以電商方式賣到東協及南亞。目前我政府已擬定策略，從基礎環境面、產業電子商務化、電子商務國際化三大面向推動，促進臺灣電子商務發展，提升產業國際競爭力，使臺灣電子商務產業能夠向外發展。</w:t>
      </w:r>
    </w:p>
    <w:p w:rsidR="002E0017" w:rsidRPr="00C77E77" w:rsidRDefault="002E0017" w:rsidP="002E0017">
      <w:pPr>
        <w:pStyle w:val="ab"/>
        <w:spacing w:beforeLines="50" w:before="180" w:afterLines="50" w:after="18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東南亞擁有</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億的龐大人口紅利，尤其中產階級興起年輕消費人口上揚，隨著東南亞的網路普及率提升，使用線上購物的人口將逐年增加，是發展電子商務的潛力市場。新加坡交易所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年發表「東協零售業」研究報告指出，儘管零售業目前面臨大環境挑戰，但長期而言，新加坡、馬來西亞、印尼及泰國受人均收入增加、中產階級擴大及電子商務崛起帶動，零售業將</w:t>
      </w:r>
      <w:r w:rsidR="002F30F3" w:rsidRPr="00C77E77">
        <w:rPr>
          <w:rFonts w:ascii="Times New Roman" w:eastAsia="標楷體" w:hAnsi="Times New Roman" w:cs="Times New Roman"/>
          <w:sz w:val="28"/>
          <w:szCs w:val="28"/>
        </w:rPr>
        <w:t>恢復</w:t>
      </w:r>
      <w:r w:rsidRPr="00C77E77">
        <w:rPr>
          <w:rFonts w:ascii="Times New Roman" w:eastAsia="標楷體" w:hAnsi="Times New Roman" w:cs="Times New Roman"/>
          <w:sz w:val="28"/>
          <w:szCs w:val="28"/>
        </w:rPr>
        <w:t>成長。其中增幅最明顯的為印尼及馬來西亞，因為這兩個國家城市化程度及人均收入都快速提高，為零售市場帶來巨大需求。根據市調公司</w:t>
      </w:r>
      <w:r w:rsidRPr="00C77E77">
        <w:rPr>
          <w:rFonts w:ascii="Times New Roman" w:eastAsia="標楷體" w:hAnsi="Times New Roman" w:cs="Times New Roman"/>
          <w:sz w:val="28"/>
          <w:szCs w:val="28"/>
        </w:rPr>
        <w:t>Euromonitor</w:t>
      </w:r>
      <w:r w:rsidRPr="00C77E77">
        <w:rPr>
          <w:rFonts w:ascii="Times New Roman" w:eastAsia="標楷體" w:hAnsi="Times New Roman" w:cs="Times New Roman"/>
          <w:sz w:val="28"/>
          <w:szCs w:val="28"/>
        </w:rPr>
        <w:t>的調查報告，儘管新加坡和馬來西亞總人口只占東南亞</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，兩國線上零售銷售額卻占了東南亞總額接近一半的比例。預估</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2018</w:t>
      </w:r>
      <w:r w:rsidRPr="00C77E77">
        <w:rPr>
          <w:rFonts w:ascii="Times New Roman" w:eastAsia="標楷體" w:hAnsi="Times New Roman" w:cs="Times New Roman"/>
          <w:sz w:val="28"/>
          <w:szCs w:val="28"/>
        </w:rPr>
        <w:t>年間新加坡、馬來西亞、印尼及泰國零售業銷售額總和將從</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6,500</w:t>
      </w:r>
      <w:r w:rsidRPr="00C77E77">
        <w:rPr>
          <w:rFonts w:ascii="Times New Roman" w:eastAsia="標楷體" w:hAnsi="Times New Roman" w:cs="Times New Roman"/>
          <w:sz w:val="28"/>
          <w:szCs w:val="28"/>
        </w:rPr>
        <w:t>億美元增至</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兆美元，年複合成長率高達</w:t>
      </w:r>
      <w:r w:rsidRPr="00C77E77">
        <w:rPr>
          <w:rFonts w:ascii="Times New Roman" w:eastAsia="標楷體" w:hAnsi="Times New Roman" w:cs="Times New Roman"/>
          <w:sz w:val="28"/>
          <w:szCs w:val="28"/>
        </w:rPr>
        <w:t>15.5</w:t>
      </w:r>
      <w:r w:rsidRPr="00C77E77">
        <w:rPr>
          <w:rFonts w:ascii="Times New Roman" w:eastAsia="標楷體" w:hAnsi="Times New Roman" w:cs="Times New Roman"/>
          <w:sz w:val="28"/>
          <w:szCs w:val="28"/>
        </w:rPr>
        <w:t>％，高於</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年年複合成長率</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％的三倍。</w:t>
      </w:r>
    </w:p>
    <w:p w:rsidR="002E0017" w:rsidRPr="00C77E77" w:rsidRDefault="002E0017" w:rsidP="002E0017">
      <w:pPr>
        <w:pStyle w:val="ab"/>
        <w:spacing w:beforeLines="50" w:before="180" w:afterLines="50" w:after="18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新加坡的零售市場相對成熟，不過，由於新加坡已經擁有發展完善的零售業實體店及便利的公共交通，因此電子商務成長可能是東協國家中成長最慢的。預計</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年中產階級比例將達到</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％，人均</w:t>
      </w:r>
      <w:r w:rsidRPr="00C77E77">
        <w:rPr>
          <w:rFonts w:ascii="Times New Roman" w:eastAsia="標楷體" w:hAnsi="Times New Roman" w:cs="Times New Roman"/>
          <w:sz w:val="28"/>
          <w:szCs w:val="28"/>
        </w:rPr>
        <w:t>GDP</w:t>
      </w:r>
      <w:r w:rsidRPr="00C77E77">
        <w:rPr>
          <w:rFonts w:ascii="Times New Roman" w:eastAsia="標楷體" w:hAnsi="Times New Roman" w:cs="Times New Roman"/>
          <w:sz w:val="28"/>
          <w:szCs w:val="28"/>
        </w:rPr>
        <w:t>也將從目前</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萬</w:t>
      </w:r>
      <w:r w:rsidRPr="00C77E77">
        <w:rPr>
          <w:rFonts w:ascii="Times New Roman" w:eastAsia="標楷體" w:hAnsi="Times New Roman" w:cs="Times New Roman"/>
          <w:sz w:val="28"/>
          <w:szCs w:val="28"/>
        </w:rPr>
        <w:t>6,000</w:t>
      </w:r>
      <w:r w:rsidRPr="00C77E77">
        <w:rPr>
          <w:rFonts w:ascii="Times New Roman" w:eastAsia="標楷體" w:hAnsi="Times New Roman" w:cs="Times New Roman"/>
          <w:sz w:val="28"/>
          <w:szCs w:val="28"/>
        </w:rPr>
        <w:t>美元增至</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萬</w:t>
      </w:r>
      <w:r w:rsidRPr="00C77E77">
        <w:rPr>
          <w:rFonts w:ascii="Times New Roman" w:eastAsia="標楷體" w:hAnsi="Times New Roman" w:cs="Times New Roman"/>
          <w:sz w:val="28"/>
          <w:szCs w:val="28"/>
        </w:rPr>
        <w:t>9,000</w:t>
      </w:r>
      <w:r w:rsidRPr="00C77E77">
        <w:rPr>
          <w:rFonts w:ascii="Times New Roman" w:eastAsia="標楷體" w:hAnsi="Times New Roman" w:cs="Times New Roman"/>
          <w:sz w:val="28"/>
          <w:szCs w:val="28"/>
        </w:rPr>
        <w:t>美元，意味著奢侈品在新加坡可有穩定的</w:t>
      </w:r>
      <w:r w:rsidRPr="00C77E77">
        <w:rPr>
          <w:rFonts w:ascii="Times New Roman" w:eastAsia="標楷體" w:hAnsi="Times New Roman" w:cs="Times New Roman"/>
          <w:sz w:val="28"/>
          <w:szCs w:val="28"/>
        </w:rPr>
        <w:lastRenderedPageBreak/>
        <w:t>需求市場。此外，電子商務也將為新加坡零售業帶來新的發展機遇，</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年網路購物銷售額只占整體銷售額的</w:t>
      </w:r>
      <w:r w:rsidRPr="00C77E77">
        <w:rPr>
          <w:rFonts w:ascii="Times New Roman" w:eastAsia="標楷體" w:hAnsi="Times New Roman" w:cs="Times New Roman"/>
          <w:sz w:val="28"/>
          <w:szCs w:val="28"/>
        </w:rPr>
        <w:t>3.4</w:t>
      </w:r>
      <w:r w:rsidRPr="00C77E77">
        <w:rPr>
          <w:rFonts w:ascii="Times New Roman" w:eastAsia="標楷體" w:hAnsi="Times New Roman" w:cs="Times New Roman"/>
          <w:sz w:val="28"/>
          <w:szCs w:val="28"/>
        </w:rPr>
        <w:t>％，說明電子商務仍有很大的發展空間，預計</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年至</w:t>
      </w:r>
      <w:r w:rsidRPr="00C77E77">
        <w:rPr>
          <w:rFonts w:ascii="Times New Roman" w:eastAsia="標楷體" w:hAnsi="Times New Roman" w:cs="Times New Roman"/>
          <w:sz w:val="28"/>
          <w:szCs w:val="28"/>
        </w:rPr>
        <w:t>2018</w:t>
      </w:r>
      <w:r w:rsidRPr="00C77E77">
        <w:rPr>
          <w:rFonts w:ascii="Times New Roman" w:eastAsia="標楷體" w:hAnsi="Times New Roman" w:cs="Times New Roman"/>
          <w:sz w:val="28"/>
          <w:szCs w:val="28"/>
        </w:rPr>
        <w:t>年間年成長率將維持</w:t>
      </w:r>
      <w:r w:rsidRPr="00C77E77">
        <w:rPr>
          <w:rFonts w:ascii="Times New Roman" w:eastAsia="標楷體" w:hAnsi="Times New Roman" w:cs="Times New Roman"/>
          <w:sz w:val="28"/>
          <w:szCs w:val="28"/>
        </w:rPr>
        <w:t>6.4</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2018</w:t>
      </w:r>
      <w:r w:rsidRPr="00C77E77">
        <w:rPr>
          <w:rFonts w:ascii="Times New Roman" w:eastAsia="標楷體" w:hAnsi="Times New Roman" w:cs="Times New Roman"/>
          <w:sz w:val="28"/>
          <w:szCs w:val="28"/>
        </w:rPr>
        <w:t>年將達</w:t>
      </w:r>
      <w:r w:rsidRPr="00C77E77">
        <w:rPr>
          <w:rFonts w:ascii="Times New Roman" w:eastAsia="標楷體" w:hAnsi="Times New Roman" w:cs="Times New Roman"/>
          <w:sz w:val="28"/>
          <w:szCs w:val="28"/>
        </w:rPr>
        <w:t>560</w:t>
      </w:r>
      <w:r w:rsidRPr="00C77E77">
        <w:rPr>
          <w:rFonts w:ascii="Times New Roman" w:eastAsia="標楷體" w:hAnsi="Times New Roman" w:cs="Times New Roman"/>
          <w:sz w:val="28"/>
          <w:szCs w:val="28"/>
        </w:rPr>
        <w:t>億美元的規模。新加坡六大零售業上市公司，包括：家居用品、汽車、首飾與手錶、服裝、典當業及教育業，將面對的挑戰包括：人口老化、勞動市場緊縮、遊客增幅滯緩及營運成本高漲等。</w:t>
      </w:r>
      <w:r w:rsidRPr="00C77E77">
        <w:rPr>
          <w:rStyle w:val="a9"/>
          <w:rFonts w:ascii="Times New Roman" w:eastAsia="標楷體" w:hAnsi="Times New Roman" w:cs="Times New Roman"/>
          <w:sz w:val="28"/>
          <w:szCs w:val="28"/>
        </w:rPr>
        <w:footnoteReference w:id="95"/>
      </w:r>
      <w:r w:rsidRPr="00C77E77">
        <w:rPr>
          <w:rFonts w:ascii="Times New Roman" w:eastAsia="標楷體" w:hAnsi="Times New Roman" w:cs="Times New Roman"/>
          <w:sz w:val="28"/>
          <w:szCs w:val="28"/>
        </w:rPr>
        <w:t xml:space="preserve"> </w:t>
      </w:r>
    </w:p>
    <w:p w:rsidR="002E0017" w:rsidRPr="00C77E77" w:rsidRDefault="002E0017" w:rsidP="002E0017">
      <w:pPr>
        <w:widowControl/>
        <w:spacing w:before="50" w:after="5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東南亞其它國家在數位化領域也取得了十分矚目的成就，尤其是在印尼，印尼是個零落分散的群島國家，有</w:t>
      </w:r>
      <w:r w:rsidRPr="00C77E77">
        <w:rPr>
          <w:rFonts w:ascii="Times New Roman" w:eastAsia="標楷體" w:hAnsi="Times New Roman" w:cs="Times New Roman"/>
          <w:sz w:val="28"/>
          <w:szCs w:val="28"/>
        </w:rPr>
        <w:t>8,500</w:t>
      </w:r>
      <w:r w:rsidRPr="00C77E77">
        <w:rPr>
          <w:rFonts w:ascii="Times New Roman" w:eastAsia="標楷體" w:hAnsi="Times New Roman" w:cs="Times New Roman"/>
          <w:sz w:val="28"/>
          <w:szCs w:val="28"/>
        </w:rPr>
        <w:t>萬人口使用</w:t>
      </w:r>
      <w:r w:rsidR="002F30F3" w:rsidRPr="00C77E77">
        <w:rPr>
          <w:rFonts w:ascii="Times New Roman" w:eastAsia="標楷體" w:hAnsi="Times New Roman" w:cs="Times New Roman"/>
          <w:sz w:val="28"/>
          <w:szCs w:val="28"/>
        </w:rPr>
        <w:t>網際網路</w:t>
      </w:r>
      <w:r w:rsidRPr="00C77E77">
        <w:rPr>
          <w:rFonts w:ascii="Times New Roman" w:eastAsia="標楷體" w:hAnsi="Times New Roman" w:cs="Times New Roman"/>
          <w:sz w:val="28"/>
          <w:szCs w:val="28"/>
        </w:rPr>
        <w:t>，其中大多數人居住在遠離主要城市中心的偏遠地區，因此網上購物</w:t>
      </w:r>
      <w:r w:rsidR="00030DDE" w:rsidRPr="00C77E77">
        <w:rPr>
          <w:rFonts w:ascii="Times New Roman" w:eastAsia="標楷體" w:hAnsi="Times New Roman" w:cs="Times New Roman"/>
          <w:sz w:val="28"/>
          <w:szCs w:val="28"/>
        </w:rPr>
        <w:t>順勢興起</w:t>
      </w:r>
      <w:r w:rsidRPr="00C77E77">
        <w:rPr>
          <w:rFonts w:ascii="Times New Roman" w:eastAsia="標楷體" w:hAnsi="Times New Roman" w:cs="Times New Roman"/>
          <w:sz w:val="28"/>
          <w:szCs w:val="28"/>
        </w:rPr>
        <w:t>。加上中產階級的崛起，數位化發展和電子商務興起，國家快速增長的</w:t>
      </w:r>
      <w:r w:rsidRPr="00C77E77">
        <w:rPr>
          <w:rFonts w:ascii="Times New Roman" w:eastAsia="標楷體" w:hAnsi="Times New Roman" w:cs="Times New Roman"/>
          <w:sz w:val="28"/>
          <w:szCs w:val="28"/>
        </w:rPr>
        <w:t>GDP</w:t>
      </w:r>
      <w:r w:rsidRPr="00C77E77">
        <w:rPr>
          <w:rFonts w:ascii="Times New Roman" w:eastAsia="標楷體" w:hAnsi="Times New Roman" w:cs="Times New Roman"/>
          <w:sz w:val="28"/>
          <w:szCs w:val="28"/>
        </w:rPr>
        <w:t>創造了新的需求和強大的消費能力。博客和線上論壇的發展異常繁榮，網路也經常被用來做買賣交易</w:t>
      </w:r>
      <w:r w:rsidR="00C041E3"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當地知名的</w:t>
      </w:r>
      <w:r w:rsidR="00C041E3" w:rsidRPr="00C77E77">
        <w:rPr>
          <w:rFonts w:ascii="Times New Roman" w:eastAsia="標楷體" w:hAnsi="Times New Roman" w:cs="Times New Roman"/>
          <w:sz w:val="28"/>
          <w:szCs w:val="28"/>
        </w:rPr>
        <w:t>電</w:t>
      </w:r>
      <w:r w:rsidRPr="00C77E77">
        <w:rPr>
          <w:rFonts w:ascii="Times New Roman" w:eastAsia="標楷體" w:hAnsi="Times New Roman" w:cs="Times New Roman"/>
          <w:sz w:val="28"/>
          <w:szCs w:val="28"/>
        </w:rPr>
        <w:t>商平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包括：成立於</w:t>
      </w:r>
      <w:r w:rsidRPr="00C77E77">
        <w:rPr>
          <w:rFonts w:ascii="Times New Roman" w:eastAsia="標楷體" w:hAnsi="Times New Roman" w:cs="Times New Roman"/>
          <w:sz w:val="28"/>
          <w:szCs w:val="28"/>
        </w:rPr>
        <w:t>2005</w:t>
      </w:r>
      <w:r w:rsidRPr="00C77E77">
        <w:rPr>
          <w:rFonts w:ascii="Times New Roman" w:eastAsia="標楷體" w:hAnsi="Times New Roman" w:cs="Times New Roman"/>
          <w:sz w:val="28"/>
          <w:szCs w:val="28"/>
        </w:rPr>
        <w:t>年成立的分類廣告網站</w:t>
      </w:r>
      <w:r w:rsidRPr="00C77E77">
        <w:rPr>
          <w:rFonts w:ascii="Times New Roman" w:eastAsia="標楷體" w:hAnsi="Times New Roman" w:cs="Times New Roman"/>
          <w:sz w:val="28"/>
          <w:szCs w:val="28"/>
        </w:rPr>
        <w:t>Tokobagus</w:t>
      </w:r>
      <w:r w:rsidRPr="00C77E77">
        <w:rPr>
          <w:rFonts w:ascii="Times New Roman" w:eastAsia="標楷體" w:hAnsi="Times New Roman" w:cs="Times New Roman"/>
          <w:sz w:val="28"/>
          <w:szCs w:val="28"/>
        </w:rPr>
        <w:t>（現已更名為</w:t>
      </w:r>
      <w:r w:rsidRPr="00C77E77">
        <w:rPr>
          <w:rFonts w:ascii="Times New Roman" w:eastAsia="標楷體" w:hAnsi="Times New Roman" w:cs="Times New Roman"/>
          <w:sz w:val="28"/>
          <w:szCs w:val="28"/>
        </w:rPr>
        <w:t>OLX</w:t>
      </w:r>
      <w:r w:rsidRPr="00C77E77">
        <w:rPr>
          <w:rFonts w:ascii="Times New Roman" w:eastAsia="標楷體" w:hAnsi="Times New Roman" w:cs="Times New Roman"/>
          <w:sz w:val="28"/>
          <w:szCs w:val="28"/>
        </w:rPr>
        <w:t>）、起步於</w:t>
      </w: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年的電子商務市場</w:t>
      </w:r>
      <w:r w:rsidRPr="00C77E77">
        <w:rPr>
          <w:rFonts w:ascii="Times New Roman" w:eastAsia="標楷體" w:hAnsi="Times New Roman" w:cs="Times New Roman"/>
          <w:sz w:val="28"/>
          <w:szCs w:val="28"/>
        </w:rPr>
        <w:t>Tokopedia</w:t>
      </w:r>
      <w:r w:rsidRPr="00C77E77">
        <w:rPr>
          <w:rFonts w:ascii="Times New Roman" w:eastAsia="標楷體" w:hAnsi="Times New Roman" w:cs="Times New Roman"/>
          <w:sz w:val="28"/>
          <w:szCs w:val="28"/>
        </w:rPr>
        <w:t>、成立於</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年的線上時裝商店</w:t>
      </w:r>
      <w:r w:rsidRPr="00C77E77">
        <w:rPr>
          <w:rFonts w:ascii="Times New Roman" w:eastAsia="標楷體" w:hAnsi="Times New Roman" w:cs="Times New Roman"/>
          <w:sz w:val="28"/>
          <w:szCs w:val="28"/>
        </w:rPr>
        <w:t>Berrybenka</w:t>
      </w:r>
      <w:r w:rsidR="00C041E3" w:rsidRPr="00C77E77">
        <w:rPr>
          <w:rFonts w:ascii="Times New Roman" w:eastAsia="標楷體" w:hAnsi="Times New Roman" w:cs="Times New Roman"/>
          <w:sz w:val="28"/>
          <w:szCs w:val="28"/>
        </w:rPr>
        <w:t>等</w:t>
      </w:r>
      <w:r w:rsidRPr="00C77E77">
        <w:rPr>
          <w:rFonts w:ascii="Times New Roman" w:eastAsia="標楷體" w:hAnsi="Times New Roman" w:cs="Times New Roman"/>
          <w:sz w:val="28"/>
          <w:szCs w:val="28"/>
        </w:rPr>
        <w:t>。</w:t>
      </w:r>
    </w:p>
    <w:p w:rsidR="002E0017" w:rsidRPr="00C77E77" w:rsidRDefault="00C041E3" w:rsidP="002E0017">
      <w:pPr>
        <w:widowControl/>
        <w:spacing w:before="50" w:after="5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此外，</w:t>
      </w:r>
      <w:r w:rsidR="002E0017" w:rsidRPr="00C77E77">
        <w:rPr>
          <w:rFonts w:ascii="Times New Roman" w:eastAsia="標楷體" w:hAnsi="Times New Roman" w:cs="Times New Roman"/>
          <w:sz w:val="28"/>
          <w:szCs w:val="28"/>
        </w:rPr>
        <w:t>美國</w:t>
      </w:r>
      <w:r w:rsidR="002E0017" w:rsidRPr="00C77E77">
        <w:rPr>
          <w:rFonts w:ascii="Times New Roman" w:eastAsia="標楷體" w:hAnsi="Times New Roman" w:cs="Times New Roman"/>
          <w:sz w:val="28"/>
          <w:szCs w:val="28"/>
        </w:rPr>
        <w:t>Pew Research Center</w:t>
      </w:r>
      <w:r w:rsidR="002E0017" w:rsidRPr="00C77E77">
        <w:rPr>
          <w:rFonts w:ascii="Times New Roman" w:eastAsia="標楷體" w:hAnsi="Times New Roman" w:cs="Times New Roman"/>
          <w:sz w:val="28"/>
          <w:szCs w:val="28"/>
        </w:rPr>
        <w:t>數據指出，穆斯林人口預計到</w:t>
      </w:r>
      <w:r w:rsidR="002E0017" w:rsidRPr="00C77E77">
        <w:rPr>
          <w:rFonts w:ascii="Times New Roman" w:eastAsia="標楷體" w:hAnsi="Times New Roman" w:cs="Times New Roman"/>
          <w:sz w:val="28"/>
          <w:szCs w:val="28"/>
        </w:rPr>
        <w:t>2050</w:t>
      </w:r>
      <w:r w:rsidR="002E0017" w:rsidRPr="00C77E77">
        <w:rPr>
          <w:rFonts w:ascii="Times New Roman" w:eastAsia="標楷體" w:hAnsi="Times New Roman" w:cs="Times New Roman"/>
          <w:sz w:val="28"/>
          <w:szCs w:val="28"/>
        </w:rPr>
        <w:t>年將占全球人口的</w:t>
      </w:r>
      <w:r w:rsidR="002E0017" w:rsidRPr="00C77E77">
        <w:rPr>
          <w:rFonts w:ascii="Times New Roman" w:eastAsia="標楷體" w:hAnsi="Times New Roman" w:cs="Times New Roman"/>
          <w:sz w:val="28"/>
          <w:szCs w:val="28"/>
        </w:rPr>
        <w:t>30%</w:t>
      </w:r>
      <w:r w:rsidR="002E0017" w:rsidRPr="00C77E77">
        <w:rPr>
          <w:rFonts w:ascii="Times New Roman" w:eastAsia="標楷體" w:hAnsi="Times New Roman" w:cs="Times New Roman"/>
          <w:sz w:val="28"/>
          <w:szCs w:val="28"/>
        </w:rPr>
        <w:t>。同時，在亞洲和非洲的多數穆斯林新興國家變得更富裕，讓伊斯蘭市場將變得更加有利可圖</w:t>
      </w:r>
      <w:r w:rsidRPr="00C77E77">
        <w:rPr>
          <w:rFonts w:ascii="Times New Roman" w:eastAsia="標楷體" w:hAnsi="Times New Roman" w:cs="Times New Roman"/>
          <w:sz w:val="28"/>
          <w:szCs w:val="28"/>
        </w:rPr>
        <w:t>，加上</w:t>
      </w:r>
      <w:r w:rsidR="002E0017" w:rsidRPr="00C77E77">
        <w:rPr>
          <w:rFonts w:ascii="Times New Roman" w:eastAsia="標楷體" w:hAnsi="Times New Roman" w:cs="Times New Roman"/>
          <w:sz w:val="28"/>
          <w:szCs w:val="28"/>
        </w:rPr>
        <w:t>近年來東協國家經濟逐漸改善，年輕人購買力持續增強，電子商務也在馬來西亞、印尼等</w:t>
      </w:r>
      <w:r w:rsidR="008D2206" w:rsidRPr="00C77E77">
        <w:rPr>
          <w:rFonts w:ascii="Times New Roman" w:eastAsia="標楷體" w:hAnsi="Times New Roman" w:cs="Times New Roman"/>
          <w:sz w:val="28"/>
          <w:szCs w:val="28"/>
        </w:rPr>
        <w:t>穆</w:t>
      </w:r>
      <w:r w:rsidRPr="00C77E77">
        <w:rPr>
          <w:rFonts w:ascii="Times New Roman" w:eastAsia="標楷體" w:hAnsi="Times New Roman" w:cs="Times New Roman"/>
          <w:sz w:val="28"/>
          <w:szCs w:val="28"/>
        </w:rPr>
        <w:t>斯林人口較多的</w:t>
      </w:r>
      <w:r w:rsidR="002E0017" w:rsidRPr="00C77E77">
        <w:rPr>
          <w:rFonts w:ascii="Times New Roman" w:eastAsia="標楷體" w:hAnsi="Times New Roman" w:cs="Times New Roman"/>
          <w:sz w:val="28"/>
          <w:szCs w:val="28"/>
        </w:rPr>
        <w:t>國家興起。伊斯蘭每年一次的齋戒月，</w:t>
      </w:r>
      <w:r w:rsidR="002E0017" w:rsidRPr="00C77E77">
        <w:rPr>
          <w:rFonts w:ascii="Times New Roman" w:eastAsia="標楷體" w:hAnsi="Times New Roman" w:cs="Times New Roman"/>
          <w:sz w:val="28"/>
          <w:szCs w:val="28"/>
        </w:rPr>
        <w:t>7</w:t>
      </w:r>
      <w:r w:rsidR="002E0017" w:rsidRPr="00C77E77">
        <w:rPr>
          <w:rFonts w:ascii="Times New Roman" w:eastAsia="標楷體" w:hAnsi="Times New Roman" w:cs="Times New Roman"/>
          <w:sz w:val="28"/>
          <w:szCs w:val="28"/>
        </w:rPr>
        <w:t>月</w:t>
      </w:r>
      <w:r w:rsidR="002E0017" w:rsidRPr="00C77E77">
        <w:rPr>
          <w:rFonts w:ascii="Times New Roman" w:eastAsia="標楷體" w:hAnsi="Times New Roman" w:cs="Times New Roman"/>
          <w:sz w:val="28"/>
          <w:szCs w:val="28"/>
        </w:rPr>
        <w:t>6</w:t>
      </w:r>
      <w:r w:rsidR="002E0017" w:rsidRPr="00C77E77">
        <w:rPr>
          <w:rFonts w:ascii="Times New Roman" w:eastAsia="標楷體" w:hAnsi="Times New Roman" w:cs="Times New Roman"/>
          <w:sz w:val="28"/>
          <w:szCs w:val="28"/>
        </w:rPr>
        <w:t>日為穆斯林的「開齋節」，重要性有如華人的農曆春節。根據</w:t>
      </w:r>
      <w:r w:rsidR="002E0017" w:rsidRPr="00C77E77">
        <w:rPr>
          <w:rFonts w:ascii="Times New Roman" w:eastAsia="標楷體" w:hAnsi="Times New Roman" w:cs="Times New Roman"/>
          <w:sz w:val="28"/>
          <w:szCs w:val="28"/>
        </w:rPr>
        <w:t>Google</w:t>
      </w:r>
      <w:r w:rsidR="002E0017" w:rsidRPr="00C77E77">
        <w:rPr>
          <w:rFonts w:ascii="Times New Roman" w:eastAsia="標楷體" w:hAnsi="Times New Roman" w:cs="Times New Roman"/>
          <w:sz w:val="28"/>
          <w:szCs w:val="28"/>
        </w:rPr>
        <w:t>印尼分公司釋出</w:t>
      </w:r>
      <w:r w:rsidR="002E0017" w:rsidRPr="00C77E77">
        <w:rPr>
          <w:rFonts w:ascii="Times New Roman" w:eastAsia="標楷體" w:hAnsi="Times New Roman" w:cs="Times New Roman"/>
          <w:sz w:val="28"/>
          <w:szCs w:val="28"/>
        </w:rPr>
        <w:t>2015</w:t>
      </w:r>
      <w:r w:rsidR="002E0017" w:rsidRPr="00C77E77">
        <w:rPr>
          <w:rFonts w:ascii="Times New Roman" w:eastAsia="標楷體" w:hAnsi="Times New Roman" w:cs="Times New Roman"/>
          <w:sz w:val="28"/>
          <w:szCs w:val="28"/>
        </w:rPr>
        <w:t>年齋戒月的網路數據顯示，齋戒月是電子商務大搶商機的最佳時機。電商平</w:t>
      </w:r>
      <w:r w:rsidR="00FD0D5A" w:rsidRPr="00C77E77">
        <w:rPr>
          <w:rFonts w:ascii="Times New Roman" w:eastAsia="標楷體" w:hAnsi="Times New Roman" w:cs="Times New Roman"/>
          <w:sz w:val="28"/>
          <w:szCs w:val="28"/>
        </w:rPr>
        <w:t>臺</w:t>
      </w:r>
      <w:r w:rsidR="002E0017" w:rsidRPr="00C77E77">
        <w:rPr>
          <w:rFonts w:ascii="Times New Roman" w:eastAsia="標楷體" w:hAnsi="Times New Roman" w:cs="Times New Roman"/>
          <w:sz w:val="28"/>
          <w:szCs w:val="28"/>
        </w:rPr>
        <w:t>Lazada</w:t>
      </w:r>
      <w:r w:rsidR="002E0017" w:rsidRPr="00C77E77">
        <w:rPr>
          <w:rFonts w:ascii="Times New Roman" w:eastAsia="標楷體" w:hAnsi="Times New Roman" w:cs="Times New Roman"/>
          <w:sz w:val="28"/>
          <w:szCs w:val="28"/>
        </w:rPr>
        <w:t>和</w:t>
      </w:r>
      <w:r w:rsidR="002E0017" w:rsidRPr="00C77E77">
        <w:rPr>
          <w:rFonts w:ascii="Times New Roman" w:eastAsia="標楷體" w:hAnsi="Times New Roman" w:cs="Times New Roman"/>
          <w:sz w:val="28"/>
          <w:szCs w:val="28"/>
        </w:rPr>
        <w:t>Zalora</w:t>
      </w:r>
      <w:r w:rsidR="002E0017" w:rsidRPr="00C77E77">
        <w:rPr>
          <w:rFonts w:ascii="Times New Roman" w:eastAsia="標楷體" w:hAnsi="Times New Roman" w:cs="Times New Roman"/>
          <w:sz w:val="28"/>
          <w:szCs w:val="28"/>
        </w:rPr>
        <w:t>針對年輕的消費者規劃特殊的銷售活動參與開齋後的慶祝；</w:t>
      </w:r>
      <w:r w:rsidR="002E0017" w:rsidRPr="00C77E77">
        <w:rPr>
          <w:rFonts w:ascii="Times New Roman" w:eastAsia="標楷體" w:hAnsi="Times New Roman" w:cs="Times New Roman"/>
          <w:sz w:val="28"/>
          <w:szCs w:val="28"/>
        </w:rPr>
        <w:t>Uber</w:t>
      </w:r>
      <w:r w:rsidR="002E0017" w:rsidRPr="00C77E77">
        <w:rPr>
          <w:rFonts w:ascii="Times New Roman" w:eastAsia="標楷體" w:hAnsi="Times New Roman" w:cs="Times New Roman"/>
          <w:sz w:val="28"/>
          <w:szCs w:val="28"/>
        </w:rPr>
        <w:t>也在齋戒月期間推出穆斯林需求的送餐服務。</w:t>
      </w:r>
    </w:p>
    <w:p w:rsidR="002E0017" w:rsidRPr="00C77E77" w:rsidRDefault="002E0017" w:rsidP="002E0017">
      <w:pPr>
        <w:widowControl/>
        <w:spacing w:before="50" w:after="5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面對如此特殊的市場樣貌，我國政府正希望透過東協跨境營運生態體系計畫，將臺灣品牌業者、網路服務業者推向東協電商消費市場。臺灣商品製</w:t>
      </w:r>
      <w:r w:rsidRPr="00C77E77">
        <w:rPr>
          <w:rFonts w:ascii="Times New Roman" w:eastAsia="標楷體" w:hAnsi="Times New Roman" w:cs="Times New Roman"/>
          <w:sz w:val="28"/>
          <w:szCs w:val="28"/>
        </w:rPr>
        <w:lastRenderedPageBreak/>
        <w:t>造商除了致力於使產品符合清真認證之外，還可以搭上政府推廣東協電子商務的趨勢，在行銷手法上有更多的施力點</w:t>
      </w:r>
      <w:r w:rsidR="00C041E3"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例如與國內電商平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合作於齋戒月設計促銷活動，效法阿里巴巴「雙十一」購物節的行銷模式，營造齋戒月期間的「爆買」氛圍，搶占穆斯林齋戒月商機。</w:t>
      </w:r>
      <w:r w:rsidRPr="00C77E77">
        <w:rPr>
          <w:rStyle w:val="a9"/>
          <w:rFonts w:ascii="Times New Roman" w:eastAsia="標楷體" w:hAnsi="Times New Roman" w:cs="Times New Roman"/>
          <w:sz w:val="28"/>
          <w:szCs w:val="28"/>
        </w:rPr>
        <w:footnoteReference w:id="96"/>
      </w:r>
    </w:p>
    <w:p w:rsidR="002E0017" w:rsidRPr="00C77E77" w:rsidRDefault="002E0017" w:rsidP="002E0017">
      <w:pPr>
        <w:widowControl/>
        <w:spacing w:before="50" w:after="5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在印度方面，印度的電子商務網路交易量尚小，</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年大約</w:t>
      </w:r>
      <w:r w:rsidRPr="00C77E77">
        <w:rPr>
          <w:rFonts w:ascii="Times New Roman" w:eastAsia="標楷體" w:hAnsi="Times New Roman" w:cs="Times New Roman"/>
          <w:sz w:val="28"/>
          <w:szCs w:val="28"/>
        </w:rPr>
        <w:t>160</w:t>
      </w:r>
      <w:r w:rsidRPr="00C77E77">
        <w:rPr>
          <w:rFonts w:ascii="Times New Roman" w:eastAsia="標楷體" w:hAnsi="Times New Roman" w:cs="Times New Roman"/>
          <w:sz w:val="28"/>
          <w:szCs w:val="28"/>
        </w:rPr>
        <w:t>億美金，但卻是世界上電子商務成長最快的市場。</w:t>
      </w:r>
      <w:r w:rsidR="00A331F7" w:rsidRPr="00C77E77">
        <w:rPr>
          <w:rFonts w:ascii="Times New Roman" w:eastAsia="標楷體" w:hAnsi="Times New Roman" w:cs="Times New Roman"/>
          <w:sz w:val="28"/>
          <w:szCs w:val="28"/>
        </w:rPr>
        <w:t>Flipkart</w:t>
      </w:r>
      <w:r w:rsidR="00A331F7" w:rsidRPr="00C77E77">
        <w:rPr>
          <w:rFonts w:ascii="Times New Roman" w:eastAsia="標楷體" w:hAnsi="Times New Roman" w:cs="Times New Roman"/>
          <w:sz w:val="28"/>
          <w:szCs w:val="28"/>
        </w:rPr>
        <w:t>，</w:t>
      </w:r>
      <w:r w:rsidR="00A331F7" w:rsidRPr="00C77E77">
        <w:rPr>
          <w:rFonts w:ascii="Times New Roman" w:eastAsia="標楷體" w:hAnsi="Times New Roman" w:cs="Times New Roman"/>
          <w:sz w:val="28"/>
          <w:szCs w:val="28"/>
        </w:rPr>
        <w:t xml:space="preserve">Snapdeal </w:t>
      </w:r>
      <w:r w:rsidR="00A331F7" w:rsidRPr="00C77E77">
        <w:rPr>
          <w:rFonts w:ascii="Times New Roman" w:eastAsia="標楷體" w:hAnsi="Times New Roman" w:cs="Times New Roman"/>
          <w:sz w:val="28"/>
          <w:szCs w:val="28"/>
        </w:rPr>
        <w:t>和亞馬遜為</w:t>
      </w:r>
      <w:r w:rsidRPr="00C77E77">
        <w:rPr>
          <w:rFonts w:ascii="Times New Roman" w:eastAsia="標楷體" w:hAnsi="Times New Roman" w:cs="Times New Roman"/>
          <w:sz w:val="28"/>
          <w:szCs w:val="28"/>
        </w:rPr>
        <w:t>印度前三大電子商務網站，</w:t>
      </w:r>
      <w:r w:rsidR="00A331F7" w:rsidRPr="00C77E77">
        <w:rPr>
          <w:rFonts w:ascii="Times New Roman" w:eastAsia="標楷體" w:hAnsi="Times New Roman" w:cs="Times New Roman"/>
          <w:sz w:val="28"/>
          <w:szCs w:val="28"/>
        </w:rPr>
        <w:t>其</w:t>
      </w:r>
      <w:r w:rsidRPr="00C77E77">
        <w:rPr>
          <w:rFonts w:ascii="Times New Roman" w:eastAsia="標楷體" w:hAnsi="Times New Roman" w:cs="Times New Roman"/>
          <w:sz w:val="28"/>
          <w:szCs w:val="28"/>
        </w:rPr>
        <w:t>總銷售額已經超過十大非線上零售商</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隨著網路及智慧手機的普及化，印度電子商務市場</w:t>
      </w:r>
      <w:r w:rsidR="00A331F7" w:rsidRPr="00C77E77">
        <w:rPr>
          <w:rFonts w:ascii="Times New Roman" w:eastAsia="標楷體" w:hAnsi="Times New Roman" w:cs="Times New Roman"/>
          <w:sz w:val="28"/>
          <w:szCs w:val="28"/>
        </w:rPr>
        <w:t>將</w:t>
      </w:r>
      <w:r w:rsidRPr="00C77E77">
        <w:rPr>
          <w:rFonts w:ascii="Times New Roman" w:eastAsia="標楷體" w:hAnsi="Times New Roman" w:cs="Times New Roman"/>
          <w:sz w:val="28"/>
          <w:szCs w:val="28"/>
        </w:rPr>
        <w:t>會持續擴大，估計每年有</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的成長。到</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年時，印度的電子商務市場規模可望達到</w:t>
      </w:r>
      <w:r w:rsidRPr="00C77E77">
        <w:rPr>
          <w:rFonts w:ascii="Times New Roman" w:eastAsia="標楷體" w:hAnsi="Times New Roman" w:cs="Times New Roman"/>
          <w:sz w:val="28"/>
          <w:szCs w:val="28"/>
        </w:rPr>
        <w:t>1200</w:t>
      </w:r>
      <w:r w:rsidRPr="00C77E77">
        <w:rPr>
          <w:rFonts w:ascii="Times New Roman" w:eastAsia="標楷體" w:hAnsi="Times New Roman" w:cs="Times New Roman"/>
          <w:sz w:val="28"/>
          <w:szCs w:val="28"/>
        </w:rPr>
        <w:t>億美元。電子商務也進一步帶動印度電子支付機制發展。阿里巴巴旗下螞蟻金融服務集團便入股印度</w:t>
      </w:r>
      <w:r w:rsidRPr="00C77E77">
        <w:rPr>
          <w:rFonts w:ascii="Times New Roman" w:eastAsia="標楷體" w:hAnsi="Times New Roman" w:cs="Times New Roman"/>
          <w:sz w:val="28"/>
          <w:szCs w:val="28"/>
        </w:rPr>
        <w:t>Paytm</w:t>
      </w:r>
      <w:r w:rsidRPr="00C77E77">
        <w:rPr>
          <w:rFonts w:ascii="Times New Roman" w:eastAsia="標楷體" w:hAnsi="Times New Roman" w:cs="Times New Roman"/>
          <w:sz w:val="28"/>
          <w:szCs w:val="28"/>
        </w:rPr>
        <w:t>電子錢包系統，目前已有一億兩千萬用戶，相當於印度信用卡發行量的六倍。同時，電子商務也可以協助小型企業籌措貸款。</w:t>
      </w:r>
      <w:r w:rsidRPr="00C77E77">
        <w:rPr>
          <w:rStyle w:val="a9"/>
          <w:rFonts w:ascii="Times New Roman" w:eastAsia="細明體" w:hAnsi="Times New Roman" w:cs="Times New Roman"/>
        </w:rPr>
        <w:footnoteReference w:id="97"/>
      </w:r>
      <w:r w:rsidRPr="00C77E77">
        <w:rPr>
          <w:rFonts w:ascii="Times New Roman" w:eastAsia="標楷體" w:hAnsi="Times New Roman" w:cs="Times New Roman"/>
          <w:sz w:val="28"/>
          <w:szCs w:val="28"/>
        </w:rPr>
        <w:t>印度原本只開放外商經營</w:t>
      </w:r>
      <w:r w:rsidRPr="00C77E77">
        <w:rPr>
          <w:rFonts w:ascii="Times New Roman" w:eastAsia="標楷體" w:hAnsi="Times New Roman" w:cs="Times New Roman"/>
          <w:sz w:val="28"/>
          <w:szCs w:val="28"/>
        </w:rPr>
        <w:t>B2B</w:t>
      </w:r>
      <w:r w:rsidRPr="00C77E77">
        <w:rPr>
          <w:rFonts w:ascii="Times New Roman" w:eastAsia="標楷體" w:hAnsi="Times New Roman" w:cs="Times New Roman"/>
          <w:sz w:val="28"/>
          <w:szCs w:val="28"/>
        </w:rPr>
        <w:t>的電子商務，不准經營</w:t>
      </w:r>
      <w:r w:rsidRPr="00C77E77">
        <w:rPr>
          <w:rFonts w:ascii="Times New Roman" w:eastAsia="標楷體" w:hAnsi="Times New Roman" w:cs="Times New Roman"/>
          <w:sz w:val="28"/>
          <w:szCs w:val="28"/>
        </w:rPr>
        <w:t>B2C</w:t>
      </w:r>
      <w:r w:rsidRPr="00C77E77">
        <w:rPr>
          <w:rFonts w:ascii="Times New Roman" w:eastAsia="標楷體" w:hAnsi="Times New Roman" w:cs="Times New Roman"/>
          <w:sz w:val="28"/>
          <w:szCs w:val="28"/>
        </w:rPr>
        <w:t>模式</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但此政策在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月進行部分鬆綁，印度政府已宣布開放外資可以</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投資電子市集模式的電子商務</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但為保護當地中小企業，仍禁止外商經營庫存銷貨（</w:t>
      </w:r>
      <w:r w:rsidRPr="00C77E77">
        <w:rPr>
          <w:rFonts w:ascii="Times New Roman" w:eastAsia="標楷體" w:hAnsi="Times New Roman" w:cs="Times New Roman"/>
          <w:sz w:val="28"/>
          <w:szCs w:val="28"/>
        </w:rPr>
        <w:t>inventory-based model</w:t>
      </w:r>
      <w:r w:rsidRPr="00C77E77">
        <w:rPr>
          <w:rFonts w:ascii="Times New Roman" w:eastAsia="標楷體" w:hAnsi="Times New Roman" w:cs="Times New Roman"/>
          <w:sz w:val="28"/>
          <w:szCs w:val="28"/>
        </w:rPr>
        <w:t>）模式的</w:t>
      </w:r>
      <w:r w:rsidRPr="00C77E77">
        <w:rPr>
          <w:rFonts w:ascii="Times New Roman" w:eastAsia="標楷體" w:hAnsi="Times New Roman" w:cs="Times New Roman"/>
          <w:sz w:val="28"/>
          <w:szCs w:val="28"/>
        </w:rPr>
        <w:t>B2C</w:t>
      </w:r>
      <w:r w:rsidRPr="00C77E77">
        <w:rPr>
          <w:rFonts w:ascii="Times New Roman" w:eastAsia="標楷體" w:hAnsi="Times New Roman" w:cs="Times New Roman"/>
          <w:sz w:val="28"/>
          <w:szCs w:val="28"/>
        </w:rPr>
        <w:t>電子商務</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在臺商中，鴻海集團經投資</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億美元入股印度第二大線上電子商務產商</w:t>
      </w:r>
      <w:r w:rsidRPr="00C77E77">
        <w:rPr>
          <w:rFonts w:ascii="Times New Roman" w:eastAsia="標楷體" w:hAnsi="Times New Roman" w:cs="Times New Roman"/>
          <w:sz w:val="28"/>
          <w:szCs w:val="28"/>
        </w:rPr>
        <w:t>Snapdeal</w:t>
      </w:r>
      <w:r w:rsidRPr="00C77E77">
        <w:rPr>
          <w:rFonts w:ascii="Times New Roman" w:eastAsia="標楷體" w:hAnsi="Times New Roman" w:cs="Times New Roman"/>
          <w:sz w:val="28"/>
          <w:szCs w:val="28"/>
        </w:rPr>
        <w:t>。</w:t>
      </w:r>
    </w:p>
    <w:p w:rsidR="002E0017" w:rsidRPr="00C77E77" w:rsidRDefault="002E0017" w:rsidP="002E001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來說，東南亞的新加坡、馬來西亞、泰國、印尼、菲律賓、越南、汶萊，以及南亞的印度，因為網路覆蓋率高、人民使用智慧型手機比例率高、以及經濟發展程度已具備一定規模，因此適合我國電子商務產業之輸出。另外，新加坡發展電子商務產業的模式是我國可效法對象。</w:t>
      </w:r>
    </w:p>
    <w:p w:rsidR="002E0017" w:rsidRPr="00C77E77" w:rsidRDefault="002E0017" w:rsidP="002E001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我國電子商務產業發展的挑戰在於，由於電商平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消費者比價資訊充足，產品必須具有特殊性才能吸引消費者。</w:t>
      </w:r>
      <w:r w:rsidRPr="00C77E77">
        <w:rPr>
          <w:rFonts w:ascii="Times New Roman" w:eastAsia="標楷體" w:hAnsi="Times New Roman" w:cs="Times New Roman"/>
          <w:sz w:val="28"/>
          <w:szCs w:val="28"/>
        </w:rPr>
        <w:t>SmartM</w:t>
      </w:r>
      <w:r w:rsidRPr="00C77E77">
        <w:rPr>
          <w:rFonts w:ascii="Times New Roman" w:eastAsia="標楷體" w:hAnsi="Times New Roman" w:cs="Times New Roman"/>
          <w:sz w:val="28"/>
          <w:szCs w:val="28"/>
        </w:rPr>
        <w:t>創辦人許景泰表示，若產</w:t>
      </w:r>
      <w:r w:rsidR="003C71DD" w:rsidRPr="00C77E77">
        <w:rPr>
          <w:rFonts w:ascii="Times New Roman" w:eastAsia="標楷體" w:hAnsi="Times New Roman" w:cs="Times New Roman"/>
          <w:sz w:val="28"/>
          <w:szCs w:val="28"/>
        </w:rPr>
        <w:t>品</w:t>
      </w:r>
      <w:r w:rsidR="003C71DD" w:rsidRPr="00C77E77">
        <w:rPr>
          <w:rFonts w:ascii="Times New Roman" w:eastAsia="標楷體" w:hAnsi="Times New Roman" w:cs="Times New Roman"/>
          <w:sz w:val="28"/>
          <w:szCs w:val="28"/>
        </w:rPr>
        <w:lastRenderedPageBreak/>
        <w:t>價格太便宜利潤低、產品回購頻次不高</w:t>
      </w:r>
      <w:r w:rsidRPr="00C77E77">
        <w:rPr>
          <w:rFonts w:ascii="Times New Roman" w:eastAsia="標楷體" w:hAnsi="Times New Roman" w:cs="Times New Roman"/>
          <w:sz w:val="28"/>
          <w:szCs w:val="28"/>
        </w:rPr>
        <w:t>，或是產品網路的搜尋度太低，那麼做跨境電商的意義就不大。</w:t>
      </w:r>
      <w:r w:rsidRPr="00C77E77">
        <w:rPr>
          <w:rStyle w:val="a9"/>
          <w:rFonts w:ascii="Times New Roman" w:eastAsia="標楷體" w:hAnsi="Times New Roman" w:cs="Times New Roman"/>
          <w:sz w:val="28"/>
          <w:szCs w:val="28"/>
        </w:rPr>
        <w:footnoteReference w:id="98"/>
      </w:r>
      <w:r w:rsidRPr="00C77E77">
        <w:rPr>
          <w:rFonts w:ascii="Times New Roman" w:eastAsia="標楷體" w:hAnsi="Times New Roman" w:cs="Times New Roman"/>
          <w:sz w:val="28"/>
          <w:szCs w:val="28"/>
        </w:rPr>
        <w:t>此外，東南亞電子商務市場的競爭激烈，各國積極投入，更有多方聯手搶攻，</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年電商企業的調整與資金重組態勢紛亂，包括：日本樂天和德國的</w:t>
      </w:r>
      <w:r w:rsidRPr="00C77E77">
        <w:rPr>
          <w:rFonts w:ascii="Times New Roman" w:eastAsia="標楷體" w:hAnsi="Times New Roman" w:cs="Times New Roman"/>
          <w:sz w:val="28"/>
          <w:szCs w:val="28"/>
        </w:rPr>
        <w:t>Lazada</w:t>
      </w:r>
      <w:r w:rsidRPr="00C77E77">
        <w:rPr>
          <w:rFonts w:ascii="Times New Roman" w:eastAsia="標楷體" w:hAnsi="Times New Roman" w:cs="Times New Roman"/>
          <w:sz w:val="28"/>
          <w:szCs w:val="28"/>
        </w:rPr>
        <w:t>宣布退出馬來西亞電商市場（皆是於</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年投入）；同年馬來西亞最大的美容產品電商</w:t>
      </w:r>
      <w:r w:rsidRPr="00C77E77">
        <w:rPr>
          <w:rFonts w:ascii="Times New Roman" w:eastAsia="標楷體" w:hAnsi="Times New Roman" w:cs="Times New Roman"/>
          <w:sz w:val="28"/>
          <w:szCs w:val="28"/>
        </w:rPr>
        <w:t>Hermo</w:t>
      </w:r>
      <w:r w:rsidRPr="00C77E77">
        <w:rPr>
          <w:rFonts w:ascii="Times New Roman" w:eastAsia="標楷體" w:hAnsi="Times New Roman" w:cs="Times New Roman"/>
          <w:sz w:val="28"/>
          <w:szCs w:val="28"/>
        </w:rPr>
        <w:t>併購日資的生活百貨電商</w:t>
      </w:r>
      <w:r w:rsidRPr="00C77E77">
        <w:rPr>
          <w:rFonts w:ascii="Times New Roman" w:eastAsia="標楷體" w:hAnsi="Times New Roman" w:cs="Times New Roman"/>
          <w:sz w:val="28"/>
          <w:szCs w:val="28"/>
        </w:rPr>
        <w:t>Soukai.my</w:t>
      </w:r>
      <w:r w:rsidRPr="00C77E77">
        <w:rPr>
          <w:rFonts w:ascii="Times New Roman" w:eastAsia="標楷體" w:hAnsi="Times New Roman" w:cs="Times New Roman"/>
          <w:sz w:val="28"/>
          <w:szCs w:val="28"/>
        </w:rPr>
        <w:t>；而中國大陸的阿里集團投資五億美金，成為</w:t>
      </w:r>
      <w:r w:rsidRPr="00C77E77">
        <w:rPr>
          <w:rFonts w:ascii="Times New Roman" w:eastAsia="標楷體" w:hAnsi="Times New Roman" w:cs="Times New Roman"/>
          <w:sz w:val="28"/>
          <w:szCs w:val="28"/>
        </w:rPr>
        <w:t>Lazada</w:t>
      </w:r>
      <w:r w:rsidRPr="00C77E77">
        <w:rPr>
          <w:rFonts w:ascii="Times New Roman" w:eastAsia="標楷體" w:hAnsi="Times New Roman" w:cs="Times New Roman"/>
          <w:sz w:val="28"/>
          <w:szCs w:val="28"/>
        </w:rPr>
        <w:t>在東南亞</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國電商平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的主要且有操控實權的股東。加上傳統市場的蕭條，使得非常多的傳統產業，尤其是零售業者、品牌擁有者，紛紛積極投入。</w:t>
      </w:r>
      <w:r w:rsidRPr="00C77E77">
        <w:rPr>
          <w:rStyle w:val="a9"/>
          <w:rFonts w:ascii="Times New Roman" w:eastAsia="標楷體" w:hAnsi="Times New Roman" w:cs="Times New Roman"/>
          <w:sz w:val="28"/>
          <w:szCs w:val="28"/>
        </w:rPr>
        <w:footnoteReference w:id="99"/>
      </w:r>
    </w:p>
    <w:p w:rsidR="002E0017" w:rsidRPr="00C77E77" w:rsidRDefault="002E0017" w:rsidP="00764ED7">
      <w:pPr>
        <w:pStyle w:val="ab"/>
        <w:numPr>
          <w:ilvl w:val="0"/>
          <w:numId w:val="30"/>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智慧物流</w:t>
      </w:r>
    </w:p>
    <w:p w:rsidR="002E0017" w:rsidRPr="00C77E77" w:rsidRDefault="002E0017" w:rsidP="002E001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我國智慧物流產業往南發展的機會是在電子商務蓬勃發展的環境下，第三方物流公司成為了最大受惠者。東南亞電子商務市場快速崛起，東協</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國的電子商務產值預估將從</w:t>
      </w:r>
      <w:r w:rsidRPr="00C77E77">
        <w:rPr>
          <w:rFonts w:ascii="Times New Roman" w:eastAsia="標楷體" w:hAnsi="Times New Roman" w:cs="Times New Roman"/>
          <w:sz w:val="28"/>
          <w:szCs w:val="28"/>
        </w:rPr>
        <w:t xml:space="preserve"> 2013</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70</w:t>
      </w:r>
      <w:r w:rsidRPr="00C77E77">
        <w:rPr>
          <w:rFonts w:ascii="Times New Roman" w:eastAsia="標楷體" w:hAnsi="Times New Roman" w:cs="Times New Roman"/>
          <w:sz w:val="28"/>
          <w:szCs w:val="28"/>
        </w:rPr>
        <w:t>億美元增長至</w:t>
      </w:r>
      <w:r w:rsidRPr="00C77E77">
        <w:rPr>
          <w:rFonts w:ascii="Times New Roman" w:eastAsia="標楷體" w:hAnsi="Times New Roman" w:cs="Times New Roman"/>
          <w:sz w:val="28"/>
          <w:szCs w:val="28"/>
        </w:rPr>
        <w:t>2018</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345</w:t>
      </w:r>
      <w:r w:rsidRPr="00C77E77">
        <w:rPr>
          <w:rFonts w:ascii="Times New Roman" w:eastAsia="標楷體" w:hAnsi="Times New Roman" w:cs="Times New Roman"/>
          <w:sz w:val="28"/>
          <w:szCs w:val="28"/>
        </w:rPr>
        <w:t>億美元，</w:t>
      </w:r>
      <w:r w:rsidRPr="00C77E77">
        <w:rPr>
          <w:rStyle w:val="a9"/>
          <w:rFonts w:ascii="Times New Roman" w:eastAsia="標楷體" w:hAnsi="Times New Roman" w:cs="Times New Roman"/>
          <w:sz w:val="28"/>
          <w:szCs w:val="28"/>
        </w:rPr>
        <w:footnoteReference w:id="100"/>
      </w:r>
      <w:r w:rsidRPr="00C77E77">
        <w:rPr>
          <w:rFonts w:ascii="Times New Roman" w:eastAsia="標楷體" w:hAnsi="Times New Roman" w:cs="Times New Roman"/>
          <w:sz w:val="28"/>
          <w:szCs w:val="28"/>
        </w:rPr>
        <w:t>商機可說是非常龐大。有別於傳統零售業公司，電子商務網站通常只聚焦在前端的產品行銷和網站維護，因此會尋找第三方的物流公司合作完成末端的服務。東南亞電子商務市場雖然快速成長，但也隨即面臨無法處理大量訂單的挑戰，若無法解決物流問題，勢必會限制住電子商務的發展。許多電子商務公司為了解決物流問題，都希望他們合作的第三方物流業者能夠擴大在該區的營運範圍。</w:t>
      </w:r>
    </w:p>
    <w:p w:rsidR="002E0017" w:rsidRPr="00C77E77" w:rsidRDefault="002E0017" w:rsidP="002E0017">
      <w:pPr>
        <w:pStyle w:val="ab"/>
        <w:spacing w:before="50" w:after="5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泰國物流</w:t>
      </w:r>
      <w:r w:rsidRPr="00C77E77">
        <w:rPr>
          <w:rFonts w:ascii="Times New Roman" w:eastAsia="標楷體" w:hAnsi="Times New Roman" w:cs="Times New Roman"/>
          <w:sz w:val="28"/>
          <w:szCs w:val="28"/>
        </w:rPr>
        <w:t xml:space="preserve">aCommerce </w:t>
      </w:r>
      <w:r w:rsidRPr="00C77E77">
        <w:rPr>
          <w:rFonts w:ascii="Times New Roman" w:eastAsia="標楷體" w:hAnsi="Times New Roman" w:cs="Times New Roman"/>
          <w:sz w:val="28"/>
          <w:szCs w:val="28"/>
        </w:rPr>
        <w:t>的營運長</w:t>
      </w:r>
      <w:r w:rsidRPr="00C77E77">
        <w:rPr>
          <w:rFonts w:ascii="Times New Roman" w:eastAsia="標楷體" w:hAnsi="Times New Roman" w:cs="Times New Roman"/>
          <w:sz w:val="28"/>
          <w:szCs w:val="28"/>
        </w:rPr>
        <w:t xml:space="preserve"> Peter Kopitz </w:t>
      </w:r>
      <w:r w:rsidRPr="00C77E77">
        <w:rPr>
          <w:rFonts w:ascii="Times New Roman" w:eastAsia="標楷體" w:hAnsi="Times New Roman" w:cs="Times New Roman"/>
          <w:sz w:val="28"/>
          <w:szCs w:val="28"/>
        </w:rPr>
        <w:t>是最早在東南亞電子商務市場發掘物流商機者，他指出電子商務公司通常是專注在前端的服務，在後端服務如庫存控管、訂單處理和出貨等則較為落後，很多客戶就常抱怨購買的商品延遲數天才收到。新加坡物流</w:t>
      </w:r>
      <w:r w:rsidRPr="00C77E77">
        <w:rPr>
          <w:rFonts w:ascii="Times New Roman" w:eastAsia="標楷體" w:hAnsi="Times New Roman" w:cs="Times New Roman"/>
          <w:sz w:val="28"/>
          <w:szCs w:val="28"/>
        </w:rPr>
        <w:t xml:space="preserve">Anchanto </w:t>
      </w:r>
      <w:r w:rsidRPr="00C77E77">
        <w:rPr>
          <w:rFonts w:ascii="Times New Roman" w:eastAsia="標楷體" w:hAnsi="Times New Roman" w:cs="Times New Roman"/>
          <w:sz w:val="28"/>
          <w:szCs w:val="28"/>
        </w:rPr>
        <w:t>的創辦人</w:t>
      </w:r>
      <w:r w:rsidRPr="00C77E77">
        <w:rPr>
          <w:rFonts w:ascii="Times New Roman" w:eastAsia="標楷體" w:hAnsi="Times New Roman" w:cs="Times New Roman"/>
          <w:sz w:val="28"/>
          <w:szCs w:val="28"/>
        </w:rPr>
        <w:t xml:space="preserve"> Vaibhav Dabhade </w:t>
      </w:r>
      <w:r w:rsidRPr="00C77E77">
        <w:rPr>
          <w:rFonts w:ascii="Times New Roman" w:eastAsia="標楷體" w:hAnsi="Times New Roman" w:cs="Times New Roman"/>
          <w:sz w:val="28"/>
          <w:szCs w:val="28"/>
        </w:rPr>
        <w:lastRenderedPageBreak/>
        <w:t>也是注意到了電子商務公司並沒有客製化的訂單管理系統，所以自行開創電商管理系統，在</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年推出後快速的吸引許多使用者，接著</w:t>
      </w:r>
      <w:r w:rsidRPr="00C77E77">
        <w:rPr>
          <w:rFonts w:ascii="Times New Roman" w:eastAsia="標楷體" w:hAnsi="Times New Roman" w:cs="Times New Roman"/>
          <w:sz w:val="28"/>
          <w:szCs w:val="28"/>
        </w:rPr>
        <w:t xml:space="preserve"> Anchanto </w:t>
      </w:r>
      <w:r w:rsidRPr="00C77E77">
        <w:rPr>
          <w:rFonts w:ascii="Times New Roman" w:eastAsia="標楷體" w:hAnsi="Times New Roman" w:cs="Times New Roman"/>
          <w:sz w:val="28"/>
          <w:szCs w:val="28"/>
        </w:rPr>
        <w:t>便擴大聚焦在整個物流領域上。新加坡郵政公司</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SingPost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也是利用雲端運用聚焦在電子商務的東南亞物流業者。</w:t>
      </w:r>
      <w:r w:rsidRPr="00C77E77">
        <w:rPr>
          <w:rStyle w:val="a9"/>
          <w:rFonts w:ascii="Times New Roman" w:eastAsia="標楷體" w:hAnsi="Times New Roman" w:cs="Times New Roman"/>
          <w:sz w:val="28"/>
          <w:szCs w:val="28"/>
        </w:rPr>
        <w:footnoteReference w:id="101"/>
      </w:r>
    </w:p>
    <w:p w:rsidR="002E0017" w:rsidRPr="00C77E77" w:rsidRDefault="002E0017" w:rsidP="002E001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最有發展潛力的是印尼。印尼受限於支離破碎的地理形勢，曾是物流市場中各家經營者最難處理的市場，但是因電商的崛起讓當地百姓可以足不出戶的購物，現在印尼成為各物流公司競相爭奪之地。如果在印尼想寄送一個包裹，立刻會想到</w:t>
      </w:r>
      <w:r w:rsidRPr="00C77E77">
        <w:rPr>
          <w:rFonts w:ascii="Times New Roman" w:eastAsia="標楷體" w:hAnsi="Times New Roman" w:cs="Times New Roman"/>
          <w:sz w:val="28"/>
          <w:szCs w:val="28"/>
        </w:rPr>
        <w:t>JNE</w:t>
      </w:r>
      <w:r w:rsidRPr="00C77E77">
        <w:rPr>
          <w:rFonts w:ascii="Times New Roman" w:eastAsia="標楷體" w:hAnsi="Times New Roman" w:cs="Times New Roman"/>
          <w:sz w:val="28"/>
          <w:szCs w:val="28"/>
        </w:rPr>
        <w:t>快遞公司。該快遞公司的服務網點遍佈各地</w:t>
      </w:r>
      <w:r w:rsidR="00FD789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在印尼群島設有</w:t>
      </w:r>
      <w:r w:rsidRPr="00C77E77">
        <w:rPr>
          <w:rFonts w:ascii="Times New Roman" w:eastAsia="標楷體" w:hAnsi="Times New Roman" w:cs="Times New Roman"/>
          <w:sz w:val="28"/>
          <w:szCs w:val="28"/>
        </w:rPr>
        <w:t>3500</w:t>
      </w:r>
      <w:r w:rsidRPr="00C77E77">
        <w:rPr>
          <w:rFonts w:ascii="Times New Roman" w:eastAsia="標楷體" w:hAnsi="Times New Roman" w:cs="Times New Roman"/>
          <w:sz w:val="28"/>
          <w:szCs w:val="28"/>
        </w:rPr>
        <w:t>家實體店面，</w:t>
      </w:r>
      <w:r w:rsidRPr="00C77E77">
        <w:rPr>
          <w:rFonts w:ascii="Times New Roman" w:eastAsia="標楷體" w:hAnsi="Times New Roman" w:cs="Times New Roman"/>
          <w:sz w:val="28"/>
          <w:szCs w:val="28"/>
        </w:rPr>
        <w:t>7000</w:t>
      </w:r>
      <w:r w:rsidRPr="00C77E77">
        <w:rPr>
          <w:rFonts w:ascii="Times New Roman" w:eastAsia="標楷體" w:hAnsi="Times New Roman" w:cs="Times New Roman"/>
          <w:sz w:val="28"/>
          <w:szCs w:val="28"/>
        </w:rPr>
        <w:t>輛運送摩托車，</w:t>
      </w:r>
      <w:r w:rsidRPr="00C77E77">
        <w:rPr>
          <w:rFonts w:ascii="Times New Roman" w:eastAsia="標楷體" w:hAnsi="Times New Roman" w:cs="Times New Roman"/>
          <w:sz w:val="28"/>
          <w:szCs w:val="28"/>
        </w:rPr>
        <w:t>2000</w:t>
      </w:r>
      <w:r w:rsidRPr="00C77E77">
        <w:rPr>
          <w:rFonts w:ascii="Times New Roman" w:eastAsia="標楷體" w:hAnsi="Times New Roman" w:cs="Times New Roman"/>
          <w:sz w:val="28"/>
          <w:szCs w:val="28"/>
        </w:rPr>
        <w:t>輛廂式貨車，並且租用卡車和貨船在偏遠的小島之間送貨。</w:t>
      </w:r>
      <w:r w:rsidR="003C71DD" w:rsidRPr="00C77E77">
        <w:rPr>
          <w:rFonts w:ascii="Times New Roman" w:eastAsia="標楷體" w:hAnsi="Times New Roman" w:cs="Times New Roman"/>
          <w:sz w:val="28"/>
          <w:szCs w:val="28"/>
        </w:rPr>
        <w:t>儘管</w:t>
      </w:r>
      <w:r w:rsidRPr="00C77E77">
        <w:rPr>
          <w:rFonts w:ascii="Times New Roman" w:eastAsia="標楷體" w:hAnsi="Times New Roman" w:cs="Times New Roman"/>
          <w:sz w:val="28"/>
          <w:szCs w:val="28"/>
        </w:rPr>
        <w:t>JNE</w:t>
      </w:r>
      <w:r w:rsidRPr="00C77E77">
        <w:rPr>
          <w:rFonts w:ascii="Times New Roman" w:eastAsia="標楷體" w:hAnsi="Times New Roman" w:cs="Times New Roman"/>
          <w:sz w:val="28"/>
          <w:szCs w:val="28"/>
        </w:rPr>
        <w:t>的快遞其實一點也不快，網路更新也非常不及時，</w:t>
      </w:r>
      <w:r w:rsidR="003C71DD" w:rsidRPr="00C77E77">
        <w:rPr>
          <w:rFonts w:ascii="Times New Roman" w:eastAsia="標楷體" w:hAnsi="Times New Roman" w:cs="Times New Roman"/>
          <w:sz w:val="28"/>
          <w:szCs w:val="28"/>
        </w:rPr>
        <w:t>而且</w:t>
      </w:r>
      <w:r w:rsidRPr="00C77E77">
        <w:rPr>
          <w:rFonts w:ascii="Times New Roman" w:eastAsia="標楷體" w:hAnsi="Times New Roman" w:cs="Times New Roman"/>
          <w:sz w:val="28"/>
          <w:szCs w:val="28"/>
        </w:rPr>
        <w:t>寄件人幾乎沒辦法即時地從網上跟蹤包裹的派送情況，印尼人早已對低效率的物流和複雜的支付習以為常，對於所處的艱難環境亦沒有怨言。加上</w:t>
      </w:r>
      <w:r w:rsidRPr="00C77E77">
        <w:rPr>
          <w:rFonts w:ascii="Times New Roman" w:eastAsia="標楷體" w:hAnsi="Times New Roman" w:cs="Times New Roman"/>
          <w:sz w:val="28"/>
          <w:szCs w:val="28"/>
        </w:rPr>
        <w:t>JNE</w:t>
      </w:r>
      <w:r w:rsidRPr="00C77E77">
        <w:rPr>
          <w:rFonts w:ascii="Times New Roman" w:eastAsia="標楷體" w:hAnsi="Times New Roman" w:cs="Times New Roman"/>
          <w:sz w:val="28"/>
          <w:szCs w:val="28"/>
        </w:rPr>
        <w:t>物流公司已有用戶群體，又沒有豐富資金能做出改善，因此仍然是印尼物流市場的領軍人物。根據路透社消息，如今</w:t>
      </w:r>
      <w:r w:rsidRPr="00C77E77">
        <w:rPr>
          <w:rFonts w:ascii="Times New Roman" w:eastAsia="標楷體" w:hAnsi="Times New Roman" w:cs="Times New Roman"/>
          <w:sz w:val="28"/>
          <w:szCs w:val="28"/>
        </w:rPr>
        <w:t>JNE</w:t>
      </w:r>
      <w:r w:rsidRPr="00C77E77">
        <w:rPr>
          <w:rFonts w:ascii="Times New Roman" w:eastAsia="標楷體" w:hAnsi="Times New Roman" w:cs="Times New Roman"/>
          <w:sz w:val="28"/>
          <w:szCs w:val="28"/>
        </w:rPr>
        <w:t>每月派送的電子商務訂單平均在</w:t>
      </w:r>
      <w:r w:rsidRPr="00C77E77">
        <w:rPr>
          <w:rFonts w:ascii="Times New Roman" w:eastAsia="標楷體" w:hAnsi="Times New Roman" w:cs="Times New Roman"/>
          <w:sz w:val="28"/>
          <w:szCs w:val="28"/>
        </w:rPr>
        <w:t>400</w:t>
      </w:r>
      <w:r w:rsidRPr="00C77E77">
        <w:rPr>
          <w:rFonts w:ascii="Times New Roman" w:eastAsia="標楷體" w:hAnsi="Times New Roman" w:cs="Times New Roman"/>
          <w:sz w:val="28"/>
          <w:szCs w:val="28"/>
        </w:rPr>
        <w:t>萬件左右。由於網上購物呈現明顯的上升趨勢，平均月派送訂單數量還有迎來大幅增長。</w:t>
      </w:r>
    </w:p>
    <w:p w:rsidR="002E0017" w:rsidRPr="00C77E77" w:rsidRDefault="002E0017" w:rsidP="002E0017">
      <w:pPr>
        <w:pStyle w:val="ab"/>
        <w:spacing w:before="50" w:after="5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泰國火箭網（</w:t>
      </w:r>
      <w:r w:rsidRPr="00C77E77">
        <w:rPr>
          <w:rFonts w:ascii="Times New Roman" w:eastAsia="標楷體" w:hAnsi="Times New Roman" w:cs="Times New Roman"/>
          <w:sz w:val="28"/>
          <w:szCs w:val="28"/>
        </w:rPr>
        <w:t>Rocket Internet</w:t>
      </w:r>
      <w:r w:rsidRPr="00C77E77">
        <w:rPr>
          <w:rFonts w:ascii="Times New Roman" w:eastAsia="標楷體" w:hAnsi="Times New Roman" w:cs="Times New Roman"/>
          <w:sz w:val="28"/>
          <w:szCs w:val="28"/>
        </w:rPr>
        <w:t>）也嗅出了印尼的發展潛力。印尼國家的經濟發展一直保持穩定，火箭網所創辦的線上時裝商店</w:t>
      </w:r>
      <w:r w:rsidRPr="00C77E77">
        <w:rPr>
          <w:rFonts w:ascii="Times New Roman" w:eastAsia="標楷體" w:hAnsi="Times New Roman" w:cs="Times New Roman"/>
          <w:sz w:val="28"/>
          <w:szCs w:val="28"/>
        </w:rPr>
        <w:t>Zalora</w:t>
      </w:r>
      <w:r w:rsidRPr="00C77E77">
        <w:rPr>
          <w:rFonts w:ascii="Times New Roman" w:eastAsia="標楷體" w:hAnsi="Times New Roman" w:cs="Times New Roman"/>
          <w:sz w:val="28"/>
          <w:szCs w:val="28"/>
        </w:rPr>
        <w:t>，於</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年在印尼設立分公司。初入印尼市場時，火箭網發現在印尼市場成立大規模的電子商務模式網站，僅靠當地已有的物流供應商是遠遠不夠的。於是</w:t>
      </w:r>
      <w:r w:rsidRPr="00C77E77">
        <w:rPr>
          <w:rFonts w:ascii="Times New Roman" w:eastAsia="標楷體" w:hAnsi="Times New Roman" w:cs="Times New Roman"/>
          <w:sz w:val="28"/>
          <w:szCs w:val="28"/>
        </w:rPr>
        <w:t>Zalora</w:t>
      </w:r>
      <w:r w:rsidR="00FD7891" w:rsidRPr="00C77E77">
        <w:rPr>
          <w:rFonts w:ascii="Times New Roman" w:eastAsia="標楷體" w:hAnsi="Times New Roman" w:cs="Times New Roman"/>
          <w:sz w:val="28"/>
          <w:szCs w:val="28"/>
        </w:rPr>
        <w:t>的泰國分公司在曼谷和清邁分別成</w:t>
      </w:r>
      <w:r w:rsidRPr="00C77E77">
        <w:rPr>
          <w:rFonts w:ascii="Times New Roman" w:eastAsia="標楷體" w:hAnsi="Times New Roman" w:cs="Times New Roman"/>
          <w:sz w:val="28"/>
          <w:szCs w:val="28"/>
        </w:rPr>
        <w:t>立了自己的配送中心，向各個城市快速高效的派送包裹。另外，公司還接受東南亞人民早已習慣的支付方式：現金到付。因此公司與物流合作夥伴之間的合作關係十分融洽，在實際過程中配送過程與</w:t>
      </w:r>
      <w:r w:rsidRPr="00C77E77">
        <w:rPr>
          <w:rFonts w:ascii="Times New Roman" w:eastAsia="標楷體" w:hAnsi="Times New Roman" w:cs="Times New Roman"/>
          <w:sz w:val="28"/>
          <w:szCs w:val="28"/>
        </w:rPr>
        <w:t>Zalora</w:t>
      </w:r>
      <w:r w:rsidRPr="00C77E77">
        <w:rPr>
          <w:rFonts w:ascii="Times New Roman" w:eastAsia="標楷體" w:hAnsi="Times New Roman" w:cs="Times New Roman"/>
          <w:sz w:val="28"/>
          <w:szCs w:val="28"/>
        </w:rPr>
        <w:t>的資訊系統也獲得了進一步的整合。</w:t>
      </w:r>
    </w:p>
    <w:p w:rsidR="002E0017" w:rsidRPr="00C77E77" w:rsidRDefault="002E0017" w:rsidP="002E001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我國智慧物流產業南向發展的挑戰在於，電子商務網站處理的訂單量較</w:t>
      </w:r>
      <w:r w:rsidRPr="00C77E77">
        <w:rPr>
          <w:rFonts w:ascii="Times New Roman" w:eastAsia="標楷體" w:hAnsi="Times New Roman" w:cs="Times New Roman"/>
          <w:sz w:val="28"/>
          <w:szCs w:val="28"/>
        </w:rPr>
        <w:lastRenderedPageBreak/>
        <w:t>傳統零售業者少，但許多客製化商品的交貨時間卻要更快，所以他們在庫存、倉管、訂單處理和出貨上都必需要有不同的系統。雲端平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雖然對於全球物流業有很大的幫助，但因為東南亞每個地區的網路發展並不一致，其雲端平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可能產生很多問題。為了解決網路過慢恐斷線的問題，東南亞電商公司必須將軟體設定成可以在網路斷線時繼續運作。</w:t>
      </w:r>
    </w:p>
    <w:p w:rsidR="002E0017" w:rsidRPr="00C77E77" w:rsidRDefault="002E0017" w:rsidP="002E0017">
      <w:pPr>
        <w:pStyle w:val="ab"/>
        <w:spacing w:before="50" w:after="50" w:line="500" w:lineRule="exact"/>
        <w:ind w:leftChars="0" w:left="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此外，目前還沒有公司提供外包倉儲管理的服務，未來這一塊領域將是未來東南亞物流公司的新戰場。</w:t>
      </w:r>
      <w:r w:rsidRPr="00C77E77">
        <w:rPr>
          <w:rStyle w:val="a9"/>
          <w:rFonts w:ascii="Times New Roman" w:eastAsia="標楷體" w:hAnsi="Times New Roman" w:cs="Times New Roman"/>
          <w:sz w:val="28"/>
          <w:szCs w:val="28"/>
        </w:rPr>
        <w:footnoteReference w:id="102"/>
      </w:r>
      <w:r w:rsidRPr="00C77E77">
        <w:rPr>
          <w:rFonts w:ascii="Times New Roman" w:eastAsia="標楷體" w:hAnsi="Times New Roman" w:cs="Times New Roman"/>
          <w:sz w:val="28"/>
          <w:szCs w:val="28"/>
        </w:rPr>
        <w:t>物流產業的流程，從包裹大小、派送區域、付款方式，以及速度和價格等等，都會影響到最後的實際效果。泰國</w:t>
      </w:r>
      <w:r w:rsidRPr="00C77E77">
        <w:rPr>
          <w:rFonts w:ascii="Times New Roman" w:eastAsia="標楷體" w:hAnsi="Times New Roman" w:cs="Times New Roman"/>
          <w:sz w:val="28"/>
          <w:szCs w:val="28"/>
        </w:rPr>
        <w:t xml:space="preserve">aCommerce </w:t>
      </w:r>
      <w:r w:rsidRPr="00C77E77">
        <w:rPr>
          <w:rFonts w:ascii="Times New Roman" w:eastAsia="標楷體" w:hAnsi="Times New Roman" w:cs="Times New Roman"/>
          <w:sz w:val="28"/>
          <w:szCs w:val="28"/>
        </w:rPr>
        <w:t>是直接承租倉庫來進行物流業務，新加坡</w:t>
      </w:r>
      <w:r w:rsidRPr="00C77E77">
        <w:rPr>
          <w:rFonts w:ascii="Times New Roman" w:eastAsia="標楷體" w:hAnsi="Times New Roman" w:cs="Times New Roman"/>
          <w:sz w:val="28"/>
          <w:szCs w:val="28"/>
        </w:rPr>
        <w:t xml:space="preserve">Anchanto </w:t>
      </w:r>
      <w:r w:rsidRPr="00C77E77">
        <w:rPr>
          <w:rFonts w:ascii="Times New Roman" w:eastAsia="標楷體" w:hAnsi="Times New Roman" w:cs="Times New Roman"/>
          <w:sz w:val="28"/>
          <w:szCs w:val="28"/>
        </w:rPr>
        <w:t>則採取了和傳統物流業者合作，取得傳統物流公司原本就有的倉庫等基本設施，傳統物流公司則能換取到</w:t>
      </w:r>
      <w:r w:rsidRPr="00C77E77">
        <w:rPr>
          <w:rFonts w:ascii="Times New Roman" w:eastAsia="標楷體" w:hAnsi="Times New Roman" w:cs="Times New Roman"/>
          <w:sz w:val="28"/>
          <w:szCs w:val="28"/>
        </w:rPr>
        <w:t>Anchanto</w:t>
      </w:r>
      <w:r w:rsidRPr="00C77E77">
        <w:rPr>
          <w:rFonts w:ascii="Times New Roman" w:eastAsia="標楷體" w:hAnsi="Times New Roman" w:cs="Times New Roman"/>
          <w:sz w:val="28"/>
          <w:szCs w:val="28"/>
        </w:rPr>
        <w:t>的服務。</w:t>
      </w:r>
    </w:p>
    <w:p w:rsidR="002E0017" w:rsidRPr="00C77E77" w:rsidRDefault="00FD7891" w:rsidP="002E0017">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東南亞人習慣</w:t>
      </w:r>
      <w:r w:rsidR="002E0017" w:rsidRPr="00C77E77">
        <w:rPr>
          <w:rFonts w:ascii="Times New Roman" w:eastAsia="標楷體" w:hAnsi="Times New Roman" w:cs="Times New Roman"/>
          <w:sz w:val="28"/>
          <w:szCs w:val="28"/>
        </w:rPr>
        <w:t>貨到付款是一個十分棘手的問題，必須要設法建立一個規範化</w:t>
      </w:r>
      <w:r w:rsidRPr="00C77E77">
        <w:rPr>
          <w:rFonts w:ascii="Times New Roman" w:eastAsia="標楷體" w:hAnsi="Times New Roman" w:cs="Times New Roman"/>
          <w:sz w:val="28"/>
          <w:szCs w:val="28"/>
        </w:rPr>
        <w:t>且更加專業、安全</w:t>
      </w:r>
      <w:r w:rsidR="002E0017" w:rsidRPr="00C77E77">
        <w:rPr>
          <w:rFonts w:ascii="Times New Roman" w:eastAsia="標楷體" w:hAnsi="Times New Roman" w:cs="Times New Roman"/>
          <w:sz w:val="28"/>
          <w:szCs w:val="28"/>
        </w:rPr>
        <w:t>的</w:t>
      </w:r>
      <w:r w:rsidRPr="00C77E77">
        <w:rPr>
          <w:rFonts w:ascii="Times New Roman" w:eastAsia="標楷體" w:hAnsi="Times New Roman" w:cs="Times New Roman"/>
          <w:sz w:val="28"/>
          <w:szCs w:val="28"/>
        </w:rPr>
        <w:t>付款形式</w:t>
      </w:r>
      <w:r w:rsidR="002E001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雖然消費者傾向</w:t>
      </w:r>
      <w:r w:rsidR="002E0017" w:rsidRPr="00C77E77">
        <w:rPr>
          <w:rFonts w:ascii="Times New Roman" w:eastAsia="標楷體" w:hAnsi="Times New Roman" w:cs="Times New Roman"/>
          <w:sz w:val="28"/>
          <w:szCs w:val="28"/>
        </w:rPr>
        <w:t>在看到實物滿意之後再付錢</w:t>
      </w:r>
      <w:r w:rsidRPr="00C77E77">
        <w:rPr>
          <w:rFonts w:ascii="Times New Roman" w:eastAsia="標楷體" w:hAnsi="Times New Roman" w:cs="Times New Roman"/>
          <w:sz w:val="28"/>
          <w:szCs w:val="28"/>
        </w:rPr>
        <w:t>，但對於商家來說</w:t>
      </w:r>
      <w:r w:rsidR="002E0017" w:rsidRPr="00C77E77">
        <w:rPr>
          <w:rFonts w:ascii="Times New Roman" w:eastAsia="標楷體" w:hAnsi="Times New Roman" w:cs="Times New Roman"/>
          <w:sz w:val="28"/>
          <w:szCs w:val="28"/>
        </w:rPr>
        <w:t>風險</w:t>
      </w:r>
      <w:r w:rsidRPr="00C77E77">
        <w:rPr>
          <w:rFonts w:ascii="Times New Roman" w:eastAsia="標楷體" w:hAnsi="Times New Roman" w:cs="Times New Roman"/>
          <w:sz w:val="28"/>
          <w:szCs w:val="28"/>
        </w:rPr>
        <w:t>較</w:t>
      </w:r>
      <w:r w:rsidR="002E0017" w:rsidRPr="00C77E77">
        <w:rPr>
          <w:rFonts w:ascii="Times New Roman" w:eastAsia="標楷體" w:hAnsi="Times New Roman" w:cs="Times New Roman"/>
          <w:sz w:val="28"/>
          <w:szCs w:val="28"/>
        </w:rPr>
        <w:t>大。因為</w:t>
      </w:r>
      <w:r w:rsidRPr="00C77E77">
        <w:rPr>
          <w:rFonts w:ascii="Times New Roman" w:eastAsia="標楷體" w:hAnsi="Times New Roman" w:cs="Times New Roman"/>
          <w:sz w:val="28"/>
          <w:szCs w:val="28"/>
        </w:rPr>
        <w:t>如果</w:t>
      </w:r>
      <w:r w:rsidR="002E0017" w:rsidRPr="00C77E77">
        <w:rPr>
          <w:rFonts w:ascii="Times New Roman" w:eastAsia="標楷體" w:hAnsi="Times New Roman" w:cs="Times New Roman"/>
          <w:sz w:val="28"/>
          <w:szCs w:val="28"/>
        </w:rPr>
        <w:t>送貨員接到幾筆派送高價商品的訂單，</w:t>
      </w:r>
      <w:r w:rsidRPr="00C77E77">
        <w:rPr>
          <w:rFonts w:ascii="Times New Roman" w:eastAsia="標楷體" w:hAnsi="Times New Roman" w:cs="Times New Roman"/>
          <w:sz w:val="28"/>
          <w:szCs w:val="28"/>
        </w:rPr>
        <w:t>意味著</w:t>
      </w:r>
      <w:r w:rsidR="002E0017" w:rsidRPr="00C77E77">
        <w:rPr>
          <w:rFonts w:ascii="Times New Roman" w:eastAsia="標楷體" w:hAnsi="Times New Roman" w:cs="Times New Roman"/>
          <w:sz w:val="28"/>
          <w:szCs w:val="28"/>
        </w:rPr>
        <w:t>在配送途中</w:t>
      </w:r>
      <w:r w:rsidRPr="00C77E77">
        <w:rPr>
          <w:rFonts w:ascii="Times New Roman" w:eastAsia="標楷體" w:hAnsi="Times New Roman" w:cs="Times New Roman"/>
          <w:sz w:val="28"/>
          <w:szCs w:val="28"/>
        </w:rPr>
        <w:t>隨時</w:t>
      </w:r>
      <w:r w:rsidR="002E0017" w:rsidRPr="00C77E77">
        <w:rPr>
          <w:rFonts w:ascii="Times New Roman" w:eastAsia="標楷體" w:hAnsi="Times New Roman" w:cs="Times New Roman"/>
          <w:sz w:val="28"/>
          <w:szCs w:val="28"/>
        </w:rPr>
        <w:t>身懷</w:t>
      </w:r>
      <w:r w:rsidRPr="00C77E77">
        <w:rPr>
          <w:rFonts w:ascii="Times New Roman" w:eastAsia="標楷體" w:hAnsi="Times New Roman" w:cs="Times New Roman"/>
          <w:sz w:val="28"/>
          <w:szCs w:val="28"/>
        </w:rPr>
        <w:t>高額</w:t>
      </w:r>
      <w:r w:rsidR="002E0017" w:rsidRPr="00C77E77">
        <w:rPr>
          <w:rFonts w:ascii="Times New Roman" w:eastAsia="標楷體" w:hAnsi="Times New Roman" w:cs="Times New Roman"/>
          <w:sz w:val="28"/>
          <w:szCs w:val="28"/>
        </w:rPr>
        <w:t>現金，不僅送貨員</w:t>
      </w:r>
      <w:r w:rsidRPr="00C77E77">
        <w:rPr>
          <w:rFonts w:ascii="Times New Roman" w:eastAsia="標楷體" w:hAnsi="Times New Roman" w:cs="Times New Roman"/>
          <w:sz w:val="28"/>
          <w:szCs w:val="28"/>
        </w:rPr>
        <w:t>需</w:t>
      </w:r>
      <w:r w:rsidR="002E0017" w:rsidRPr="00C77E77">
        <w:rPr>
          <w:rFonts w:ascii="Times New Roman" w:eastAsia="標楷體" w:hAnsi="Times New Roman" w:cs="Times New Roman"/>
          <w:sz w:val="28"/>
          <w:szCs w:val="28"/>
        </w:rPr>
        <w:t>承擔風險，商家和物流公司</w:t>
      </w:r>
      <w:r w:rsidRPr="00C77E77">
        <w:rPr>
          <w:rFonts w:ascii="Times New Roman" w:eastAsia="標楷體" w:hAnsi="Times New Roman" w:cs="Times New Roman"/>
          <w:sz w:val="28"/>
          <w:szCs w:val="28"/>
        </w:rPr>
        <w:t>也</w:t>
      </w:r>
      <w:r w:rsidR="002E0017" w:rsidRPr="00C77E77">
        <w:rPr>
          <w:rFonts w:ascii="Times New Roman" w:eastAsia="標楷體" w:hAnsi="Times New Roman" w:cs="Times New Roman"/>
          <w:sz w:val="28"/>
          <w:szCs w:val="28"/>
        </w:rPr>
        <w:t>對此戰戰兢兢。</w:t>
      </w:r>
    </w:p>
    <w:p w:rsidR="002E0017" w:rsidRPr="00C77E77" w:rsidRDefault="002E0017" w:rsidP="002E0017">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為了</w:t>
      </w:r>
      <w:r w:rsidR="005A1E2B" w:rsidRPr="00C77E77">
        <w:rPr>
          <w:rFonts w:ascii="Times New Roman" w:eastAsia="標楷體" w:hAnsi="Times New Roman" w:cs="Times New Roman"/>
          <w:sz w:val="28"/>
          <w:szCs w:val="28"/>
        </w:rPr>
        <w:t>降低貨到付款可能帶來的風險</w:t>
      </w:r>
      <w:r w:rsidRPr="00C77E77">
        <w:rPr>
          <w:rFonts w:ascii="Times New Roman" w:eastAsia="標楷體" w:hAnsi="Times New Roman" w:cs="Times New Roman"/>
          <w:sz w:val="28"/>
          <w:szCs w:val="28"/>
        </w:rPr>
        <w:t>，物流公司會親自挑選派送員負責訂單，</w:t>
      </w:r>
      <w:r w:rsidR="005A1E2B" w:rsidRPr="00C77E77">
        <w:rPr>
          <w:rFonts w:ascii="Times New Roman" w:eastAsia="標楷體" w:hAnsi="Times New Roman" w:cs="Times New Roman"/>
          <w:sz w:val="28"/>
          <w:szCs w:val="28"/>
        </w:rPr>
        <w:t>且大多</w:t>
      </w:r>
      <w:r w:rsidRPr="00C77E77">
        <w:rPr>
          <w:rFonts w:ascii="Times New Roman" w:eastAsia="標楷體" w:hAnsi="Times New Roman" w:cs="Times New Roman"/>
          <w:sz w:val="28"/>
          <w:szCs w:val="28"/>
        </w:rPr>
        <w:t>是公司內部職員。這就解釋了為什麼印尼的</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只在</w:t>
      </w:r>
      <w:r w:rsidRPr="00C77E77">
        <w:rPr>
          <w:rFonts w:ascii="Times New Roman" w:eastAsia="標楷體" w:hAnsi="Times New Roman" w:cs="Times New Roman"/>
          <w:sz w:val="28"/>
          <w:szCs w:val="28"/>
        </w:rPr>
        <w:t>28</w:t>
      </w:r>
      <w:r w:rsidRPr="00C77E77">
        <w:rPr>
          <w:rFonts w:ascii="Times New Roman" w:eastAsia="標楷體" w:hAnsi="Times New Roman" w:cs="Times New Roman"/>
          <w:sz w:val="28"/>
          <w:szCs w:val="28"/>
        </w:rPr>
        <w:t>個城市提供貨到付款服務。另一方面，</w:t>
      </w:r>
      <w:r w:rsidRPr="00C77E77">
        <w:rPr>
          <w:rFonts w:ascii="Times New Roman" w:eastAsia="標楷體" w:hAnsi="Times New Roman" w:cs="Times New Roman"/>
          <w:sz w:val="28"/>
          <w:szCs w:val="28"/>
        </w:rPr>
        <w:t>aCommerce</w:t>
      </w:r>
      <w:r w:rsidRPr="00C77E77">
        <w:rPr>
          <w:rFonts w:ascii="Times New Roman" w:eastAsia="標楷體" w:hAnsi="Times New Roman" w:cs="Times New Roman"/>
          <w:sz w:val="28"/>
          <w:szCs w:val="28"/>
        </w:rPr>
        <w:t>也摸索出了一條應對現金支付的</w:t>
      </w:r>
      <w:r w:rsidR="005A1E2B" w:rsidRPr="00C77E77">
        <w:rPr>
          <w:rFonts w:ascii="Times New Roman" w:eastAsia="標楷體" w:hAnsi="Times New Roman" w:cs="Times New Roman"/>
          <w:sz w:val="28"/>
          <w:szCs w:val="28"/>
        </w:rPr>
        <w:t>方式，他們的派送員用智慧手機拍下整個交易過程，包括買家的房子，然後回</w:t>
      </w:r>
      <w:r w:rsidRPr="00C77E77">
        <w:rPr>
          <w:rFonts w:ascii="Times New Roman" w:eastAsia="標楷體" w:hAnsi="Times New Roman" w:cs="Times New Roman"/>
          <w:sz w:val="28"/>
          <w:szCs w:val="28"/>
        </w:rPr>
        <w:t>傳照片作為交易完成的證據。</w:t>
      </w:r>
    </w:p>
    <w:p w:rsidR="002E0017" w:rsidRPr="00C77E77" w:rsidRDefault="002E0017" w:rsidP="002E0017">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此外，許多新興電商都把通過實體店面取件、付款和寄件視為解決之道。</w:t>
      </w:r>
      <w:r w:rsidRPr="00C77E77">
        <w:rPr>
          <w:rFonts w:ascii="Times New Roman" w:eastAsia="標楷體" w:hAnsi="Times New Roman" w:cs="Times New Roman"/>
          <w:b/>
          <w:sz w:val="28"/>
          <w:szCs w:val="28"/>
        </w:rPr>
        <w:t>2</w:t>
      </w:r>
      <w:r w:rsidRPr="00C77E77">
        <w:rPr>
          <w:rFonts w:ascii="Times New Roman" w:eastAsia="標楷體" w:hAnsi="Times New Roman" w:cs="Times New Roman"/>
          <w:sz w:val="28"/>
          <w:szCs w:val="28"/>
        </w:rPr>
        <w:t>014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與遍佈印尼的連鎖便利店</w:t>
      </w:r>
      <w:r w:rsidRPr="00C77E77">
        <w:rPr>
          <w:rFonts w:ascii="Times New Roman" w:eastAsia="標楷體" w:hAnsi="Times New Roman" w:cs="Times New Roman"/>
          <w:sz w:val="28"/>
          <w:szCs w:val="28"/>
        </w:rPr>
        <w:t>Indomaret</w:t>
      </w:r>
      <w:r w:rsidRPr="00C77E77">
        <w:rPr>
          <w:rFonts w:ascii="Times New Roman" w:eastAsia="標楷體" w:hAnsi="Times New Roman" w:cs="Times New Roman"/>
          <w:sz w:val="28"/>
          <w:szCs w:val="28"/>
        </w:rPr>
        <w:t>達成了合作協定，用戶可以把包裹交給附近的</w:t>
      </w:r>
      <w:r w:rsidRPr="00C77E77">
        <w:rPr>
          <w:rFonts w:ascii="Times New Roman" w:eastAsia="標楷體" w:hAnsi="Times New Roman" w:cs="Times New Roman"/>
          <w:sz w:val="28"/>
          <w:szCs w:val="28"/>
        </w:rPr>
        <w:t>Indomaret</w:t>
      </w:r>
      <w:r w:rsidRPr="00C77E77">
        <w:rPr>
          <w:rFonts w:ascii="Times New Roman" w:eastAsia="標楷體" w:hAnsi="Times New Roman" w:cs="Times New Roman"/>
          <w:sz w:val="28"/>
          <w:szCs w:val="28"/>
        </w:rPr>
        <w:t>連鎖店，通過</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送到任何地方。便利商店裡有收</w:t>
      </w:r>
      <w:r w:rsidR="002A0435" w:rsidRPr="00C77E77">
        <w:rPr>
          <w:rFonts w:ascii="Times New Roman" w:eastAsia="標楷體" w:hAnsi="Times New Roman" w:cs="Times New Roman"/>
          <w:sz w:val="28"/>
          <w:szCs w:val="28"/>
        </w:rPr>
        <w:t>銀</w:t>
      </w:r>
      <w:r w:rsidRPr="00C77E77">
        <w:rPr>
          <w:rFonts w:ascii="Times New Roman" w:eastAsia="標楷體" w:hAnsi="Times New Roman" w:cs="Times New Roman"/>
          <w:sz w:val="28"/>
          <w:szCs w:val="28"/>
        </w:rPr>
        <w:t>員，會比貨到付款更加安全，加上便利商店營業時間長，週末也不休</w:t>
      </w:r>
      <w:r w:rsidRPr="00C77E77">
        <w:rPr>
          <w:rFonts w:ascii="Times New Roman" w:eastAsia="標楷體" w:hAnsi="Times New Roman" w:cs="Times New Roman"/>
          <w:sz w:val="28"/>
          <w:szCs w:val="28"/>
        </w:rPr>
        <w:lastRenderedPageBreak/>
        <w:t>息，對於用戶來說十分便捷。未來打算在全印尼的</w:t>
      </w:r>
      <w:r w:rsidRPr="00C77E77">
        <w:rPr>
          <w:rFonts w:ascii="Times New Roman" w:eastAsia="標楷體" w:hAnsi="Times New Roman" w:cs="Times New Roman"/>
          <w:sz w:val="28"/>
          <w:szCs w:val="28"/>
        </w:rPr>
        <w:t>Indomaret</w:t>
      </w:r>
      <w:r w:rsidRPr="00C77E77">
        <w:rPr>
          <w:rFonts w:ascii="Times New Roman" w:eastAsia="標楷體" w:hAnsi="Times New Roman" w:cs="Times New Roman"/>
          <w:sz w:val="28"/>
          <w:szCs w:val="28"/>
        </w:rPr>
        <w:t>連鎖店裡建立取件和支付點。另一方面，</w:t>
      </w:r>
      <w:r w:rsidRPr="00C77E77">
        <w:rPr>
          <w:rFonts w:ascii="Times New Roman" w:eastAsia="標楷體" w:hAnsi="Times New Roman" w:cs="Times New Roman"/>
          <w:sz w:val="28"/>
          <w:szCs w:val="28"/>
        </w:rPr>
        <w:t>Zalora</w:t>
      </w:r>
      <w:r w:rsidRPr="00C77E77">
        <w:rPr>
          <w:rFonts w:ascii="Times New Roman" w:eastAsia="標楷體" w:hAnsi="Times New Roman" w:cs="Times New Roman"/>
          <w:sz w:val="28"/>
          <w:szCs w:val="28"/>
        </w:rPr>
        <w:t>在泰國已與</w:t>
      </w:r>
      <w:r w:rsidRPr="00C77E77">
        <w:rPr>
          <w:rFonts w:ascii="Times New Roman" w:eastAsia="標楷體" w:hAnsi="Times New Roman" w:cs="Times New Roman"/>
          <w:sz w:val="28"/>
          <w:szCs w:val="28"/>
        </w:rPr>
        <w:t>7-11</w:t>
      </w:r>
      <w:r w:rsidRPr="00C77E77">
        <w:rPr>
          <w:rFonts w:ascii="Times New Roman" w:eastAsia="標楷體" w:hAnsi="Times New Roman" w:cs="Times New Roman"/>
          <w:sz w:val="28"/>
          <w:szCs w:val="28"/>
        </w:rPr>
        <w:t>便利店合作，作為它們的指定取件點，此方法有效且十分便捷；</w:t>
      </w:r>
      <w:r w:rsidRPr="00C77E77">
        <w:rPr>
          <w:rFonts w:ascii="Times New Roman" w:eastAsia="標楷體" w:hAnsi="Times New Roman" w:cs="Times New Roman"/>
          <w:sz w:val="28"/>
          <w:szCs w:val="28"/>
        </w:rPr>
        <w:t>Zalora</w:t>
      </w:r>
      <w:r w:rsidRPr="00C77E77">
        <w:rPr>
          <w:rFonts w:ascii="Times New Roman" w:eastAsia="標楷體" w:hAnsi="Times New Roman" w:cs="Times New Roman"/>
          <w:sz w:val="28"/>
          <w:szCs w:val="28"/>
        </w:rPr>
        <w:t>也在新加坡</w:t>
      </w:r>
      <w:r w:rsidRPr="00C77E77">
        <w:rPr>
          <w:rFonts w:ascii="Times New Roman" w:eastAsia="標楷體" w:hAnsi="Times New Roman" w:cs="Times New Roman"/>
          <w:sz w:val="28"/>
          <w:szCs w:val="28"/>
        </w:rPr>
        <w:t>7-11</w:t>
      </w:r>
      <w:r w:rsidRPr="00C77E77">
        <w:rPr>
          <w:rFonts w:ascii="Times New Roman" w:eastAsia="標楷體" w:hAnsi="Times New Roman" w:cs="Times New Roman"/>
          <w:sz w:val="28"/>
          <w:szCs w:val="28"/>
        </w:rPr>
        <w:t>便利店試行了取件付款服務。</w:t>
      </w:r>
      <w:r w:rsidRPr="00C77E77">
        <w:rPr>
          <w:rFonts w:ascii="Times New Roman" w:eastAsia="標楷體" w:hAnsi="Times New Roman" w:cs="Times New Roman"/>
          <w:sz w:val="28"/>
          <w:szCs w:val="28"/>
        </w:rPr>
        <w:t>aCommerce</w:t>
      </w:r>
      <w:r w:rsidRPr="00C77E77">
        <w:rPr>
          <w:rFonts w:ascii="Times New Roman" w:eastAsia="標楷體" w:hAnsi="Times New Roman" w:cs="Times New Roman"/>
          <w:sz w:val="28"/>
          <w:szCs w:val="28"/>
        </w:rPr>
        <w:t>則正在尋找與加油站的合作，希望透過自助式的取件服務可以讓客戶更加便捷的拿到包裹。</w:t>
      </w:r>
    </w:p>
    <w:p w:rsidR="002E0017" w:rsidRPr="00C77E77" w:rsidRDefault="002E0017" w:rsidP="002E0017">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因為印尼市場是兵家必爭之地，包括印尼傳統的協力廠商物流公司如</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聯邦快遞印尼子公司也在進行轉型。過去</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一直服務於企業對企業的電商模式以及國際快遞派送，但是單個零售商能帶來的利潤有限，因此決定進行戰略轉型。</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公司決定提高對電商客戶和個體線上商戶需求的關注，提出要以國際標準和高可靠性來向這些客戶提供物流服務。再加上</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內部整合了資訊系統，用戶可以即時地在網上跟蹤他們的包裹，因為每到一個集散點，系統都會錄入資訊。配送和支付也全部進行了數位化更新。每個</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的送貨人員都配備了一個手持設備，可以在完成配送後立刻在客戶系統中更新訂單詳情。而其他地的協力廠商物流公司很難提供如此技術成熟的服務。</w:t>
      </w:r>
      <w:r w:rsidRPr="00C77E77">
        <w:rPr>
          <w:rFonts w:ascii="Times New Roman" w:eastAsia="標楷體" w:hAnsi="Times New Roman" w:cs="Times New Roman"/>
          <w:sz w:val="28"/>
          <w:szCs w:val="28"/>
        </w:rPr>
        <w:t>RPX</w:t>
      </w:r>
      <w:r w:rsidRPr="00C77E77">
        <w:rPr>
          <w:rFonts w:ascii="Times New Roman" w:eastAsia="標楷體" w:hAnsi="Times New Roman" w:cs="Times New Roman"/>
          <w:sz w:val="28"/>
          <w:szCs w:val="28"/>
        </w:rPr>
        <w:t>預測</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年每月將可以為電商客戶平均配送</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萬多個包裹。</w:t>
      </w:r>
      <w:r w:rsidRPr="00C77E77">
        <w:rPr>
          <w:rStyle w:val="a9"/>
          <w:rFonts w:ascii="Times New Roman" w:eastAsia="標楷體" w:hAnsi="Times New Roman" w:cs="Times New Roman"/>
          <w:sz w:val="28"/>
          <w:szCs w:val="28"/>
        </w:rPr>
        <w:footnoteReference w:id="103"/>
      </w:r>
    </w:p>
    <w:p w:rsidR="002E0017" w:rsidRPr="00C77E77" w:rsidRDefault="002E0017" w:rsidP="002E0017">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泰國</w:t>
      </w:r>
      <w:r w:rsidRPr="00C77E77">
        <w:rPr>
          <w:rFonts w:ascii="Times New Roman" w:eastAsia="標楷體" w:hAnsi="Times New Roman" w:cs="Times New Roman"/>
          <w:sz w:val="28"/>
          <w:szCs w:val="28"/>
        </w:rPr>
        <w:t>aCommerce</w:t>
      </w:r>
      <w:r w:rsidRPr="00C77E77">
        <w:rPr>
          <w:rFonts w:ascii="Times New Roman" w:eastAsia="標楷體" w:hAnsi="Times New Roman" w:cs="Times New Roman"/>
          <w:sz w:val="28"/>
          <w:szCs w:val="28"/>
        </w:rPr>
        <w:t>的服務也已經逐步深入到迷宮般的印尼物流市場，專門為電商客戶提供端對端的服務，包括庫存和配送、技術、市場以及客戶支援。</w:t>
      </w:r>
      <w:r w:rsidRPr="00C77E77">
        <w:rPr>
          <w:rFonts w:ascii="Times New Roman" w:eastAsia="標楷體" w:hAnsi="Times New Roman" w:cs="Times New Roman"/>
          <w:sz w:val="28"/>
          <w:szCs w:val="28"/>
        </w:rPr>
        <w:t>aCommerce</w:t>
      </w:r>
      <w:r w:rsidRPr="00C77E77">
        <w:rPr>
          <w:rFonts w:ascii="Times New Roman" w:eastAsia="標楷體" w:hAnsi="Times New Roman" w:cs="Times New Roman"/>
          <w:sz w:val="28"/>
          <w:szCs w:val="28"/>
        </w:rPr>
        <w:t>還宣佈將負責印尼最大金融控股集團</w:t>
      </w:r>
      <w:r w:rsidRPr="00C77E77">
        <w:rPr>
          <w:rFonts w:ascii="Times New Roman" w:eastAsia="標楷體" w:hAnsi="Times New Roman" w:cs="Times New Roman"/>
          <w:sz w:val="28"/>
          <w:szCs w:val="28"/>
        </w:rPr>
        <w:t>Lippo Group</w:t>
      </w:r>
      <w:r w:rsidRPr="00C77E77">
        <w:rPr>
          <w:rFonts w:ascii="Times New Roman" w:eastAsia="標楷體" w:hAnsi="Times New Roman" w:cs="Times New Roman"/>
          <w:sz w:val="28"/>
          <w:szCs w:val="28"/>
        </w:rPr>
        <w:t>投資的電商網站</w:t>
      </w:r>
      <w:r w:rsidRPr="00C77E77">
        <w:rPr>
          <w:rFonts w:ascii="Times New Roman" w:eastAsia="標楷體" w:hAnsi="Times New Roman" w:cs="Times New Roman"/>
          <w:sz w:val="28"/>
          <w:szCs w:val="28"/>
        </w:rPr>
        <w:t>MatahariMall</w:t>
      </w:r>
      <w:r w:rsidRPr="00C77E77">
        <w:rPr>
          <w:rFonts w:ascii="Times New Roman" w:eastAsia="標楷體" w:hAnsi="Times New Roman" w:cs="Times New Roman"/>
          <w:sz w:val="28"/>
          <w:szCs w:val="28"/>
        </w:rPr>
        <w:t>的端到端運營，並利用其</w:t>
      </w:r>
      <w:r w:rsidRPr="00C77E77">
        <w:rPr>
          <w:rFonts w:ascii="Times New Roman" w:eastAsia="標楷體" w:hAnsi="Times New Roman" w:cs="Times New Roman"/>
          <w:sz w:val="28"/>
          <w:szCs w:val="28"/>
        </w:rPr>
        <w:t>Matahari</w:t>
      </w:r>
      <w:r w:rsidRPr="00C77E77">
        <w:rPr>
          <w:rFonts w:ascii="Times New Roman" w:eastAsia="標楷體" w:hAnsi="Times New Roman" w:cs="Times New Roman"/>
          <w:sz w:val="28"/>
          <w:szCs w:val="28"/>
        </w:rPr>
        <w:t>零售商店的強大網路實現方便快捷的配送服務。</w:t>
      </w:r>
      <w:r w:rsidRPr="00C77E77">
        <w:rPr>
          <w:rFonts w:ascii="Times New Roman" w:eastAsia="標楷體" w:hAnsi="Times New Roman" w:cs="Times New Roman"/>
          <w:sz w:val="28"/>
          <w:szCs w:val="28"/>
        </w:rPr>
        <w:t>aCommerce</w:t>
      </w:r>
      <w:r w:rsidRPr="00C77E77">
        <w:rPr>
          <w:rFonts w:ascii="Times New Roman" w:eastAsia="標楷體" w:hAnsi="Times New Roman" w:cs="Times New Roman"/>
          <w:sz w:val="28"/>
          <w:szCs w:val="28"/>
        </w:rPr>
        <w:t>為印尼的電商創業公司提供了即時的合作系統，但是如果想要覆蓋印尼所有的地區，最後一英里的配送尤其複雜，依然依賴協力廠商物流公司（</w:t>
      </w:r>
      <w:r w:rsidRPr="00C77E77">
        <w:rPr>
          <w:rFonts w:ascii="Times New Roman" w:eastAsia="標楷體" w:hAnsi="Times New Roman" w:cs="Times New Roman"/>
          <w:sz w:val="28"/>
          <w:szCs w:val="28"/>
        </w:rPr>
        <w:t>3PL</w:t>
      </w:r>
      <w:r w:rsidRPr="00C77E77">
        <w:rPr>
          <w:rFonts w:ascii="Times New Roman" w:eastAsia="標楷體" w:hAnsi="Times New Roman" w:cs="Times New Roman"/>
          <w:sz w:val="28"/>
          <w:szCs w:val="28"/>
        </w:rPr>
        <w:t>）的協助。</w:t>
      </w:r>
    </w:p>
    <w:p w:rsidR="002E0017" w:rsidRPr="00C77E77" w:rsidRDefault="002E0017" w:rsidP="002E0017">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整體來說，因為智慧物流需要有完善基礎設施及相關資訊及電子化整合平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我國智慧物流產業適合發展在新加坡、馬來西亞、泰國、菲律賓、越南、印尼等國，其中又以國土面積廣大、群島林立的印尼為首選。</w:t>
      </w:r>
      <w:r w:rsidRPr="00C77E77">
        <w:rPr>
          <w:rFonts w:ascii="Times New Roman" w:eastAsia="標楷體" w:hAnsi="Times New Roman" w:cs="Times New Roman"/>
          <w:sz w:val="28"/>
          <w:szCs w:val="28"/>
        </w:rPr>
        <w:t>印度由於</w:t>
      </w:r>
      <w:r w:rsidRPr="00C77E77">
        <w:rPr>
          <w:rFonts w:ascii="Times New Roman" w:eastAsia="標楷體" w:hAnsi="Times New Roman" w:cs="Times New Roman"/>
          <w:sz w:val="28"/>
          <w:szCs w:val="28"/>
        </w:rPr>
        <w:lastRenderedPageBreak/>
        <w:t>運輸建設、倉儲等不夠完善，使得智慧物流發展較為緩慢，印度政府計畫在新的財政年度投入</w:t>
      </w:r>
      <w:r w:rsidRPr="00C77E77">
        <w:rPr>
          <w:rFonts w:ascii="Times New Roman" w:eastAsia="標楷體" w:hAnsi="Times New Roman" w:cs="Times New Roman"/>
          <w:sz w:val="28"/>
          <w:szCs w:val="28"/>
        </w:rPr>
        <w:t>2.21</w:t>
      </w:r>
      <w:r w:rsidRPr="00C77E77">
        <w:rPr>
          <w:rFonts w:ascii="Times New Roman" w:eastAsia="標楷體" w:hAnsi="Times New Roman" w:cs="Times New Roman"/>
          <w:sz w:val="28"/>
          <w:szCs w:val="28"/>
        </w:rPr>
        <w:t>兆盧比（約</w:t>
      </w:r>
      <w:r w:rsidRPr="00C77E77">
        <w:rPr>
          <w:rFonts w:ascii="Times New Roman" w:eastAsia="標楷體" w:hAnsi="Times New Roman" w:cs="Times New Roman"/>
          <w:sz w:val="28"/>
          <w:szCs w:val="28"/>
        </w:rPr>
        <w:t>1.105</w:t>
      </w:r>
      <w:r w:rsidRPr="00C77E77">
        <w:rPr>
          <w:rFonts w:ascii="Times New Roman" w:eastAsia="標楷體" w:hAnsi="Times New Roman" w:cs="Times New Roman"/>
          <w:sz w:val="28"/>
          <w:szCs w:val="28"/>
        </w:rPr>
        <w:t>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幣）興建道路、高速公路與鐵路等基礎建設，以提升人員及貨運流轉效率；電子商務外商如亞馬遜</w:t>
      </w:r>
      <w:r w:rsidR="00BD1306" w:rsidRPr="00C77E77">
        <w:rPr>
          <w:rFonts w:ascii="Times New Roman" w:eastAsia="標楷體" w:hAnsi="Times New Roman" w:cs="Times New Roman"/>
          <w:sz w:val="28"/>
          <w:szCs w:val="28"/>
        </w:rPr>
        <w:t>（</w:t>
      </w:r>
      <w:r w:rsidR="00BD1306" w:rsidRPr="00C77E77">
        <w:rPr>
          <w:rFonts w:ascii="Times New Roman" w:eastAsia="標楷體" w:hAnsi="Times New Roman" w:cs="Times New Roman"/>
          <w:sz w:val="28"/>
          <w:szCs w:val="28"/>
        </w:rPr>
        <w:t>Amazon</w:t>
      </w:r>
      <w:r w:rsidR="00BD1306"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也積極建設在印度的物流中心。</w:t>
      </w:r>
    </w:p>
    <w:p w:rsidR="002E0017" w:rsidRPr="00C77E77" w:rsidRDefault="002E0017" w:rsidP="002E0017">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物流系統的建置與通訊網絡聯繫的便利性在亞洲名列前茅，加上作為國際重要轉運港與金融中心，是電商業者進軍亞太市場的理想入口，也是臺灣學習的對象。新加坡國際化程度高、熱愛購物血拼、平均個人可支配收入是東南亞地區最高的國家。根據市調公司</w:t>
      </w:r>
      <w:r w:rsidRPr="00C77E77">
        <w:rPr>
          <w:rFonts w:ascii="Times New Roman" w:eastAsia="標楷體" w:hAnsi="Times New Roman" w:cs="Times New Roman"/>
          <w:sz w:val="28"/>
          <w:szCs w:val="28"/>
        </w:rPr>
        <w:t>Forrester Research</w:t>
      </w:r>
      <w:r w:rsidRPr="00C77E77">
        <w:rPr>
          <w:rFonts w:ascii="Times New Roman" w:eastAsia="標楷體" w:hAnsi="Times New Roman" w:cs="Times New Roman"/>
          <w:sz w:val="28"/>
          <w:szCs w:val="28"/>
        </w:rPr>
        <w:t>的調查，新加坡電商銷售額</w:t>
      </w:r>
      <w:r w:rsidRPr="00C77E77">
        <w:rPr>
          <w:rFonts w:ascii="Times New Roman" w:eastAsia="標楷體" w:hAnsi="Times New Roman" w:cs="Times New Roman"/>
          <w:sz w:val="28"/>
          <w:szCs w:val="28"/>
        </w:rPr>
        <w:t>60%</w:t>
      </w:r>
      <w:r w:rsidRPr="00C77E77">
        <w:rPr>
          <w:rFonts w:ascii="Times New Roman" w:eastAsia="標楷體" w:hAnsi="Times New Roman" w:cs="Times New Roman"/>
          <w:sz w:val="28"/>
          <w:szCs w:val="28"/>
        </w:rPr>
        <w:t>來自跨境訂單，遠高於馬來西亞的</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、日本的</w:t>
      </w:r>
      <w:r w:rsidRPr="00C77E77">
        <w:rPr>
          <w:rFonts w:ascii="Times New Roman" w:eastAsia="標楷體" w:hAnsi="Times New Roman" w:cs="Times New Roman"/>
          <w:sz w:val="28"/>
          <w:szCs w:val="28"/>
        </w:rPr>
        <w:t>18%</w:t>
      </w:r>
      <w:r w:rsidRPr="00C77E77">
        <w:rPr>
          <w:rFonts w:ascii="Times New Roman" w:eastAsia="標楷體" w:hAnsi="Times New Roman" w:cs="Times New Roman"/>
          <w:sz w:val="28"/>
          <w:szCs w:val="28"/>
        </w:rPr>
        <w:t>以及南韓的</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104"/>
      </w:r>
      <w:r w:rsidRPr="00C77E77">
        <w:rPr>
          <w:rFonts w:ascii="Times New Roman" w:eastAsia="標楷體" w:hAnsi="Times New Roman" w:cs="Times New Roman"/>
          <w:sz w:val="28"/>
          <w:szCs w:val="28"/>
        </w:rPr>
        <w:t>此外，新加坡國家郵政服務</w:t>
      </w:r>
      <w:r w:rsidRPr="00C77E77">
        <w:rPr>
          <w:rFonts w:ascii="Times New Roman" w:eastAsia="標楷體" w:hAnsi="Times New Roman" w:cs="Times New Roman"/>
          <w:sz w:val="28"/>
          <w:szCs w:val="28"/>
        </w:rPr>
        <w:t>SingPost</w:t>
      </w:r>
      <w:r w:rsidRPr="00C77E77">
        <w:rPr>
          <w:rFonts w:ascii="Times New Roman" w:eastAsia="標楷體" w:hAnsi="Times New Roman" w:cs="Times New Roman"/>
          <w:sz w:val="28"/>
          <w:szCs w:val="28"/>
        </w:rPr>
        <w:t>斥鉅資投資</w:t>
      </w:r>
      <w:r w:rsidRPr="00C77E77">
        <w:rPr>
          <w:rFonts w:ascii="Times New Roman" w:eastAsia="標楷體" w:hAnsi="Times New Roman" w:cs="Times New Roman"/>
          <w:sz w:val="28"/>
          <w:szCs w:val="28"/>
        </w:rPr>
        <w:t>aCommerce</w:t>
      </w:r>
      <w:r w:rsidRPr="00C77E77">
        <w:rPr>
          <w:rFonts w:ascii="Times New Roman" w:eastAsia="標楷體" w:hAnsi="Times New Roman" w:cs="Times New Roman"/>
          <w:sz w:val="28"/>
          <w:szCs w:val="28"/>
        </w:rPr>
        <w:t>的物流集散中心，並經營線上零售商</w:t>
      </w:r>
      <w:r w:rsidRPr="00C77E77">
        <w:rPr>
          <w:rFonts w:ascii="Times New Roman" w:eastAsia="標楷體" w:hAnsi="Times New Roman" w:cs="Times New Roman"/>
          <w:sz w:val="28"/>
          <w:szCs w:val="28"/>
        </w:rPr>
        <w:t>eCommerce</w:t>
      </w:r>
      <w:r w:rsidRPr="00C77E77">
        <w:rPr>
          <w:rFonts w:ascii="Times New Roman" w:eastAsia="標楷體" w:hAnsi="Times New Roman" w:cs="Times New Roman"/>
          <w:sz w:val="28"/>
          <w:szCs w:val="28"/>
        </w:rPr>
        <w:t>，還和印尼最大的手機零售商</w:t>
      </w:r>
      <w:r w:rsidRPr="00C77E77">
        <w:rPr>
          <w:rFonts w:ascii="Times New Roman" w:eastAsia="標楷體" w:hAnsi="Times New Roman" w:cs="Times New Roman"/>
          <w:sz w:val="28"/>
          <w:szCs w:val="28"/>
        </w:rPr>
        <w:t>Trikomsel</w:t>
      </w:r>
      <w:r w:rsidRPr="00C77E77">
        <w:rPr>
          <w:rFonts w:ascii="Times New Roman" w:eastAsia="標楷體" w:hAnsi="Times New Roman" w:cs="Times New Roman"/>
          <w:sz w:val="28"/>
          <w:szCs w:val="28"/>
        </w:rPr>
        <w:t>籌畫建立印尼的另外一個電商服務公司。</w:t>
      </w:r>
    </w:p>
    <w:p w:rsidR="002E0017" w:rsidRPr="00C77E77" w:rsidRDefault="002E0017" w:rsidP="00764ED7">
      <w:pPr>
        <w:pStyle w:val="ab"/>
        <w:numPr>
          <w:ilvl w:val="0"/>
          <w:numId w:val="30"/>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雲端系統</w:t>
      </w:r>
    </w:p>
    <w:p w:rsidR="002E0017" w:rsidRPr="00C77E77" w:rsidRDefault="002E0017" w:rsidP="002E001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我國雲端系統產業往南發展的機會在於全球發展電子化政府的聲浪中，東協</w:t>
      </w:r>
      <w:r w:rsidRPr="00C77E77">
        <w:rPr>
          <w:rFonts w:ascii="Times New Roman" w:eastAsia="標楷體" w:hAnsi="Times New Roman" w:cs="Times New Roman"/>
          <w:sz w:val="28"/>
          <w:szCs w:val="28"/>
        </w:rPr>
        <w:t xml:space="preserve"> 10</w:t>
      </w:r>
      <w:r w:rsidRPr="00C77E77">
        <w:rPr>
          <w:rFonts w:ascii="Times New Roman" w:eastAsia="標楷體" w:hAnsi="Times New Roman" w:cs="Times New Roman"/>
          <w:sz w:val="28"/>
          <w:szCs w:val="28"/>
        </w:rPr>
        <w:t>國於</w:t>
      </w:r>
      <w:r w:rsidRPr="00C77E77">
        <w:rPr>
          <w:rFonts w:ascii="Times New Roman" w:eastAsia="標楷體" w:hAnsi="Times New Roman" w:cs="Times New Roman"/>
          <w:sz w:val="28"/>
          <w:szCs w:val="28"/>
        </w:rPr>
        <w:t xml:space="preserve"> 2000 </w:t>
      </w:r>
      <w:r w:rsidRPr="00C77E77">
        <w:rPr>
          <w:rFonts w:ascii="Times New Roman" w:eastAsia="標楷體" w:hAnsi="Times New Roman" w:cs="Times New Roman"/>
          <w:sz w:val="28"/>
          <w:szCs w:val="28"/>
        </w:rPr>
        <w:t>年即簽署電子化東協架構協定（</w:t>
      </w:r>
      <w:r w:rsidRPr="00C77E77">
        <w:rPr>
          <w:rFonts w:ascii="Times New Roman" w:eastAsia="標楷體" w:hAnsi="Times New Roman" w:cs="Times New Roman"/>
          <w:sz w:val="28"/>
          <w:szCs w:val="28"/>
        </w:rPr>
        <w:t>e-ASEAN Framework Agreement</w:t>
      </w:r>
      <w:r w:rsidRPr="00C77E77">
        <w:rPr>
          <w:rFonts w:ascii="Times New Roman" w:eastAsia="標楷體" w:hAnsi="Times New Roman" w:cs="Times New Roman"/>
          <w:sz w:val="28"/>
          <w:szCs w:val="28"/>
        </w:rPr>
        <w:t>），強調區域內各國合作與建立軟硬體之基礎建設，為完成區域內及全球資通訊鏈結而努力。期望透過加強資訊基礎建設與電子化東南亞國協</w:t>
      </w:r>
      <w:r w:rsidRPr="00C77E77">
        <w:rPr>
          <w:rFonts w:ascii="Times New Roman" w:eastAsia="標楷體" w:hAnsi="Times New Roman" w:cs="Times New Roman"/>
          <w:sz w:val="28"/>
          <w:szCs w:val="28"/>
        </w:rPr>
        <w:t>(e-ASEAN)</w:t>
      </w:r>
      <w:r w:rsidRPr="00C77E77">
        <w:rPr>
          <w:rFonts w:ascii="Times New Roman" w:eastAsia="標楷體" w:hAnsi="Times New Roman" w:cs="Times New Roman"/>
          <w:sz w:val="28"/>
          <w:szCs w:val="28"/>
        </w:rPr>
        <w:t>之電子商務任務，達成加速政府升級、企業創新、民間參與以及全球整合的目標。</w:t>
      </w:r>
    </w:p>
    <w:p w:rsidR="002E0017" w:rsidRPr="00C77E77" w:rsidRDefault="002E0017" w:rsidP="002E0017">
      <w:pPr>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我國和沛科技、迎廣科技、英業達、無限軟體等業者，皆已進行雲端系統海外拓銷。</w:t>
      </w:r>
      <w:r w:rsidR="004E5A2B" w:rsidRPr="00C77E77">
        <w:rPr>
          <w:rFonts w:ascii="Times New Roman" w:eastAsia="標楷體" w:hAnsi="Times New Roman" w:cs="Times New Roman"/>
          <w:sz w:val="28"/>
          <w:szCs w:val="28"/>
        </w:rPr>
        <w:t>2011</w:t>
      </w:r>
      <w:r w:rsidR="004E5A2B" w:rsidRPr="00C77E77">
        <w:rPr>
          <w:rFonts w:ascii="Times New Roman" w:eastAsia="標楷體" w:hAnsi="Times New Roman" w:cs="Times New Roman"/>
          <w:sz w:val="28"/>
          <w:szCs w:val="28"/>
        </w:rPr>
        <w:t>年我國與美國共同協調於泰國曼谷辦理「</w:t>
      </w:r>
      <w:r w:rsidR="004E5A2B" w:rsidRPr="00C77E77">
        <w:rPr>
          <w:rFonts w:ascii="Times New Roman" w:eastAsia="標楷體" w:hAnsi="Times New Roman" w:cs="Times New Roman"/>
          <w:sz w:val="28"/>
          <w:szCs w:val="28"/>
        </w:rPr>
        <w:t>APEC</w:t>
      </w:r>
      <w:r w:rsidR="004E5A2B" w:rsidRPr="00C77E77">
        <w:rPr>
          <w:rFonts w:ascii="Times New Roman" w:eastAsia="標楷體" w:hAnsi="Times New Roman" w:cs="Times New Roman"/>
          <w:sz w:val="28"/>
          <w:szCs w:val="28"/>
        </w:rPr>
        <w:t>中小企業創新、企業家精神與雲端運算研討會」，來自我國、美國、泰國、越南、馬來西亞、菲律賓、瑞典等國共同</w:t>
      </w:r>
      <w:r w:rsidRPr="00C77E77">
        <w:rPr>
          <w:rFonts w:ascii="Times New Roman" w:eastAsia="標楷體" w:hAnsi="Times New Roman" w:cs="Times New Roman"/>
          <w:sz w:val="28"/>
          <w:szCs w:val="28"/>
        </w:rPr>
        <w:t>討論雲端運算應用與企業機會等議題。</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年我國舉辦雲端產業國際招商，集結國內雲端運算的軟硬體廠商參與亞洲最</w:t>
      </w:r>
      <w:r w:rsidRPr="00C77E77">
        <w:rPr>
          <w:rFonts w:ascii="Times New Roman" w:eastAsia="標楷體" w:hAnsi="Times New Roman" w:cs="Times New Roman"/>
          <w:sz w:val="28"/>
          <w:szCs w:val="28"/>
        </w:rPr>
        <w:lastRenderedPageBreak/>
        <w:t>大的「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北國際電腦展（</w:t>
      </w:r>
      <w:r w:rsidRPr="00C77E77">
        <w:rPr>
          <w:rFonts w:ascii="Times New Roman" w:eastAsia="標楷體" w:hAnsi="Times New Roman" w:cs="Times New Roman"/>
          <w:sz w:val="28"/>
          <w:szCs w:val="28"/>
        </w:rPr>
        <w:t>Computex</w:t>
      </w:r>
      <w:r w:rsidRPr="00C77E77">
        <w:rPr>
          <w:rFonts w:ascii="Times New Roman" w:eastAsia="標楷體" w:hAnsi="Times New Roman" w:cs="Times New Roman"/>
          <w:sz w:val="28"/>
          <w:szCs w:val="28"/>
        </w:rPr>
        <w:t>展）」設立雲端專區，展示國產化雲端技術能量與系統軟硬體解決方案，推動雲端企業雲端產品國際拓銷。</w:t>
      </w:r>
    </w:p>
    <w:p w:rsidR="002E0017" w:rsidRPr="00C77E77" w:rsidRDefault="002E0017" w:rsidP="002E0017">
      <w:pPr>
        <w:spacing w:beforeLines="50" w:before="180" w:afterLines="50" w:after="180" w:line="500" w:lineRule="exact"/>
        <w:ind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英業達也針對雲端產業進行新布局，在現有的墨西哥、捷克據點外，新增第</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、第</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個伺服器組裝產線，目前初步選擇地點為日本、東南亞，而近年軟硬體發展皆快速的印度市場，也是可能選項之一。以硬體開發暨生產為主的英業達，借重「臺灣雲端協會」平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，整合臺灣的系統整合商（</w:t>
      </w:r>
      <w:r w:rsidRPr="00C77E77">
        <w:rPr>
          <w:rFonts w:ascii="Times New Roman" w:eastAsia="標楷體" w:hAnsi="Times New Roman" w:cs="Times New Roman"/>
          <w:sz w:val="28"/>
          <w:szCs w:val="28"/>
        </w:rPr>
        <w:t>SI</w:t>
      </w:r>
      <w:r w:rsidRPr="00C77E77">
        <w:rPr>
          <w:rFonts w:ascii="Times New Roman" w:eastAsia="標楷體" w:hAnsi="Times New Roman" w:cs="Times New Roman"/>
          <w:sz w:val="28"/>
          <w:szCs w:val="28"/>
        </w:rPr>
        <w:t>）、軟體開發商，發揮我國科技業垂直分工，並以團體作戰的方式到東協國家和印度共覓商機。並期待政府及相關單位營造快速創新（</w:t>
      </w:r>
      <w:r w:rsidRPr="00C77E77">
        <w:rPr>
          <w:rFonts w:ascii="Times New Roman" w:eastAsia="標楷體" w:hAnsi="Times New Roman" w:cs="Times New Roman"/>
          <w:sz w:val="28"/>
          <w:szCs w:val="28"/>
        </w:rPr>
        <w:t>rapid innovation</w:t>
      </w:r>
      <w:r w:rsidRPr="00C77E77">
        <w:rPr>
          <w:rFonts w:ascii="Times New Roman" w:eastAsia="標楷體" w:hAnsi="Times New Roman" w:cs="Times New Roman"/>
          <w:sz w:val="28"/>
          <w:szCs w:val="28"/>
        </w:rPr>
        <w:t>）、快速資源整合（</w:t>
      </w:r>
      <w:r w:rsidRPr="00C77E77">
        <w:rPr>
          <w:rFonts w:ascii="Times New Roman" w:eastAsia="標楷體" w:hAnsi="Times New Roman" w:cs="Times New Roman"/>
          <w:sz w:val="28"/>
          <w:szCs w:val="28"/>
        </w:rPr>
        <w:t>rapid sourcing</w:t>
      </w:r>
      <w:r w:rsidRPr="00C77E77">
        <w:rPr>
          <w:rFonts w:ascii="Times New Roman" w:eastAsia="標楷體" w:hAnsi="Times New Roman" w:cs="Times New Roman"/>
          <w:sz w:val="28"/>
          <w:szCs w:val="28"/>
        </w:rPr>
        <w:t>）的環境，讓年輕創業者能帶動臺灣產業轉型。</w:t>
      </w:r>
      <w:r w:rsidRPr="00C77E77">
        <w:rPr>
          <w:rStyle w:val="a9"/>
          <w:rFonts w:ascii="Times New Roman" w:eastAsia="標楷體" w:hAnsi="Times New Roman" w:cs="Times New Roman"/>
          <w:sz w:val="28"/>
          <w:szCs w:val="28"/>
        </w:rPr>
        <w:footnoteReference w:id="105"/>
      </w:r>
    </w:p>
    <w:p w:rsidR="002E0017" w:rsidRPr="00C77E77" w:rsidRDefault="002E0017" w:rsidP="002E0017">
      <w:pPr>
        <w:spacing w:beforeLines="50" w:before="180" w:afterLines="50" w:after="180" w:line="500" w:lineRule="exact"/>
        <w:ind w:firstLineChars="150" w:firstLine="4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依據印度央行（</w:t>
      </w:r>
      <w:r w:rsidRPr="00C77E77">
        <w:rPr>
          <w:rFonts w:ascii="Times New Roman" w:eastAsia="標楷體" w:hAnsi="Times New Roman" w:cs="Times New Roman"/>
          <w:sz w:val="28"/>
          <w:szCs w:val="28"/>
        </w:rPr>
        <w:t>RBI</w:t>
      </w:r>
      <w:r w:rsidRPr="00C77E77">
        <w:rPr>
          <w:rFonts w:ascii="Times New Roman" w:eastAsia="標楷體" w:hAnsi="Times New Roman" w:cs="Times New Roman"/>
          <w:sz w:val="28"/>
          <w:szCs w:val="28"/>
        </w:rPr>
        <w:t>）規定，銀行禁止將資料存放在印度本土以外的位置，加上</w:t>
      </w:r>
      <w:r w:rsidRPr="00C77E77">
        <w:rPr>
          <w:rFonts w:ascii="Times New Roman" w:eastAsia="標楷體" w:hAnsi="Times New Roman" w:cs="Times New Roman"/>
          <w:sz w:val="28"/>
          <w:szCs w:val="28"/>
        </w:rPr>
        <w:t>Google</w:t>
      </w:r>
      <w:r w:rsidRPr="00C77E77">
        <w:rPr>
          <w:rFonts w:ascii="Times New Roman" w:eastAsia="標楷體" w:hAnsi="Times New Roman" w:cs="Times New Roman"/>
          <w:sz w:val="28"/>
          <w:szCs w:val="28"/>
        </w:rPr>
        <w:t>、亞馬遜或</w:t>
      </w:r>
      <w:r w:rsidRPr="00C77E77">
        <w:rPr>
          <w:rFonts w:ascii="Times New Roman" w:eastAsia="標楷體" w:hAnsi="Times New Roman" w:cs="Times New Roman"/>
          <w:sz w:val="28"/>
          <w:szCs w:val="28"/>
        </w:rPr>
        <w:t xml:space="preserve"> IBM </w:t>
      </w:r>
      <w:r w:rsidRPr="00C77E77">
        <w:rPr>
          <w:rFonts w:ascii="Times New Roman" w:eastAsia="標楷體" w:hAnsi="Times New Roman" w:cs="Times New Roman"/>
          <w:sz w:val="28"/>
          <w:szCs w:val="28"/>
        </w:rPr>
        <w:t>目前均未在印度設立資料中心，使得印度金融業服務雲端化受到極大限制。但同時也代表潛在商機，</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年印度的公共雲端服務市場在成長</w:t>
      </w:r>
      <w:r w:rsidRPr="00C77E77">
        <w:rPr>
          <w:rFonts w:ascii="Times New Roman" w:eastAsia="標楷體" w:hAnsi="Times New Roman" w:cs="Times New Roman"/>
          <w:sz w:val="28"/>
          <w:szCs w:val="28"/>
        </w:rPr>
        <w:t>30.4%</w:t>
      </w:r>
      <w:r w:rsidRPr="00C77E77">
        <w:rPr>
          <w:rFonts w:ascii="Times New Roman" w:eastAsia="標楷體" w:hAnsi="Times New Roman" w:cs="Times New Roman"/>
          <w:sz w:val="28"/>
          <w:szCs w:val="28"/>
        </w:rPr>
        <w:t>，達到</w:t>
      </w:r>
      <w:r w:rsidRPr="00C77E77">
        <w:rPr>
          <w:rFonts w:ascii="Times New Roman" w:eastAsia="標楷體" w:hAnsi="Times New Roman" w:cs="Times New Roman"/>
          <w:sz w:val="28"/>
          <w:szCs w:val="28"/>
        </w:rPr>
        <w:t>126</w:t>
      </w:r>
      <w:r w:rsidRPr="00C77E77">
        <w:rPr>
          <w:rFonts w:ascii="Times New Roman" w:eastAsia="標楷體" w:hAnsi="Times New Roman" w:cs="Times New Roman"/>
          <w:sz w:val="28"/>
          <w:szCs w:val="28"/>
        </w:rPr>
        <w:t>億美元，其中「雲端系統基礎建設服務」成長</w:t>
      </w:r>
      <w:r w:rsidRPr="00C77E77">
        <w:rPr>
          <w:rFonts w:ascii="Times New Roman" w:eastAsia="標楷體" w:hAnsi="Times New Roman" w:cs="Times New Roman"/>
          <w:sz w:val="28"/>
          <w:szCs w:val="28"/>
        </w:rPr>
        <w:t>32.%</w:t>
      </w:r>
      <w:r w:rsidRPr="00C77E77">
        <w:rPr>
          <w:rFonts w:ascii="Times New Roman" w:eastAsia="標楷體" w:hAnsi="Times New Roman" w:cs="Times New Roman"/>
          <w:sz w:val="28"/>
          <w:szCs w:val="28"/>
        </w:rPr>
        <w:t>；「平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服務」則成長</w:t>
      </w:r>
      <w:r w:rsidRPr="00C77E77">
        <w:rPr>
          <w:rFonts w:ascii="Times New Roman" w:eastAsia="標楷體" w:hAnsi="Times New Roman" w:cs="Times New Roman"/>
          <w:sz w:val="28"/>
          <w:szCs w:val="28"/>
        </w:rPr>
        <w:t>31.7%</w:t>
      </w:r>
      <w:r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106"/>
      </w:r>
      <w:r w:rsidRPr="00C77E77">
        <w:rPr>
          <w:rFonts w:ascii="Times New Roman" w:eastAsia="標楷體" w:hAnsi="Times New Roman" w:cs="Times New Roman"/>
          <w:sz w:val="28"/>
          <w:szCs w:val="28"/>
        </w:rPr>
        <w:t>印度則是阻礙印度雲端市場發展的最大障礙，電力供應不穩定，各地區連網品質不一及頻寬不足等也是影響雲端發展的因素。</w:t>
      </w:r>
      <w:r w:rsidRPr="00C77E77">
        <w:rPr>
          <w:rStyle w:val="a9"/>
          <w:rFonts w:ascii="Times New Roman" w:eastAsia="標楷體" w:hAnsi="Times New Roman" w:cs="Times New Roman"/>
          <w:sz w:val="28"/>
          <w:szCs w:val="28"/>
        </w:rPr>
        <w:footnoteReference w:id="107"/>
      </w:r>
    </w:p>
    <w:p w:rsidR="002E0017" w:rsidRPr="00C77E77" w:rsidRDefault="002E0017" w:rsidP="002E0017">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印度莫迪總理上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以來，加速</w:t>
      </w:r>
      <w:smartTag w:uri="urn:schemas-microsoft-com:office:smarttags" w:element="chmetcnv">
        <w:smartTagPr>
          <w:attr w:name="UnitName" w:val="g"/>
          <w:attr w:name="SourceValue" w:val="4"/>
          <w:attr w:name="HasSpace" w:val="False"/>
          <w:attr w:name="Negative" w:val="False"/>
          <w:attr w:name="NumberType" w:val="1"/>
          <w:attr w:name="TCSC" w:val="0"/>
        </w:smartTagPr>
        <w:r w:rsidRPr="00C77E77">
          <w:rPr>
            <w:rFonts w:ascii="Times New Roman" w:eastAsia="標楷體" w:hAnsi="Times New Roman" w:cs="Times New Roman"/>
            <w:sz w:val="28"/>
            <w:szCs w:val="28"/>
          </w:rPr>
          <w:t>4G</w:t>
        </w:r>
      </w:smartTag>
      <w:r w:rsidRPr="00C77E77">
        <w:rPr>
          <w:rFonts w:ascii="Times New Roman" w:eastAsia="標楷體" w:hAnsi="Times New Roman" w:cs="Times New Roman"/>
          <w:sz w:val="28"/>
          <w:szCs w:val="28"/>
        </w:rPr>
        <w:t>建設雲端化。</w:t>
      </w:r>
      <w:r w:rsidRPr="00C77E77">
        <w:rPr>
          <w:rFonts w:ascii="Times New Roman" w:eastAsia="標楷體" w:hAnsi="Times New Roman" w:cs="Times New Roman"/>
          <w:sz w:val="28"/>
          <w:szCs w:val="28"/>
        </w:rPr>
        <w:t>Google</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Facebook</w:t>
      </w:r>
      <w:r w:rsidRPr="00C77E77">
        <w:rPr>
          <w:rFonts w:ascii="Times New Roman" w:eastAsia="標楷體" w:hAnsi="Times New Roman" w:cs="Times New Roman"/>
          <w:sz w:val="28"/>
          <w:szCs w:val="28"/>
        </w:rPr>
        <w:t>等外商也積極遊說印度公部門推動雲端上網服務，對於當地電信服務商形成壓力並加速</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外包轉型。印度最大的電信業者</w:t>
      </w:r>
      <w:r w:rsidRPr="00C77E77">
        <w:rPr>
          <w:rFonts w:ascii="Times New Roman" w:eastAsia="標楷體" w:hAnsi="Times New Roman" w:cs="Times New Roman"/>
          <w:sz w:val="28"/>
          <w:szCs w:val="28"/>
        </w:rPr>
        <w:t>Airtel</w:t>
      </w:r>
      <w:r w:rsidRPr="00C77E77">
        <w:rPr>
          <w:rFonts w:ascii="Times New Roman" w:eastAsia="標楷體" w:hAnsi="Times New Roman" w:cs="Times New Roman"/>
          <w:sz w:val="28"/>
          <w:szCs w:val="28"/>
        </w:rPr>
        <w:t>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年第三季率先啟動</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外包上雲端的策略；第二大通信商</w:t>
      </w:r>
      <w:r w:rsidRPr="00C77E77">
        <w:rPr>
          <w:rFonts w:ascii="Times New Roman" w:eastAsia="標楷體" w:hAnsi="Times New Roman" w:cs="Times New Roman"/>
          <w:sz w:val="28"/>
          <w:szCs w:val="28"/>
        </w:rPr>
        <w:t>Vodafone</w:t>
      </w:r>
      <w:r w:rsidRPr="00C77E77">
        <w:rPr>
          <w:rFonts w:ascii="Times New Roman" w:eastAsia="標楷體" w:hAnsi="Times New Roman" w:cs="Times New Roman"/>
          <w:sz w:val="28"/>
          <w:szCs w:val="28"/>
        </w:rPr>
        <w:t>與</w:t>
      </w:r>
      <w:r w:rsidRPr="00C77E77">
        <w:rPr>
          <w:rFonts w:ascii="Times New Roman" w:eastAsia="標楷體" w:hAnsi="Times New Roman" w:cs="Times New Roman"/>
          <w:sz w:val="28"/>
          <w:szCs w:val="28"/>
        </w:rPr>
        <w:t>IBM</w:t>
      </w:r>
      <w:r w:rsidRPr="00C77E77">
        <w:rPr>
          <w:rFonts w:ascii="Times New Roman" w:eastAsia="標楷體" w:hAnsi="Times New Roman" w:cs="Times New Roman"/>
          <w:sz w:val="28"/>
          <w:szCs w:val="28"/>
        </w:rPr>
        <w:t>的合約在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年中到期，可能將</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億美元的合約給予其他新的</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服務供應商。鴻海、廣達、緯創、宏碁、金像電、神達、新驊等相關供應鏈廠商都有商機。</w:t>
      </w:r>
      <w:r w:rsidRPr="00C77E77">
        <w:rPr>
          <w:rStyle w:val="a9"/>
          <w:rFonts w:ascii="Times New Roman" w:eastAsia="標楷體" w:hAnsi="Times New Roman" w:cs="Times New Roman"/>
          <w:sz w:val="28"/>
          <w:szCs w:val="28"/>
        </w:rPr>
        <w:footnoteReference w:id="108"/>
      </w:r>
      <w:r w:rsidRPr="00C77E77">
        <w:rPr>
          <w:rFonts w:ascii="Times New Roman" w:eastAsia="標楷體" w:hAnsi="Times New Roman" w:cs="Times New Roman"/>
          <w:sz w:val="28"/>
          <w:szCs w:val="28"/>
        </w:rPr>
        <w:t>此外，鴻海</w:t>
      </w:r>
      <w:r w:rsidRPr="00C77E77">
        <w:rPr>
          <w:rFonts w:ascii="Times New Roman" w:eastAsia="標楷體" w:hAnsi="Times New Roman" w:cs="Times New Roman"/>
          <w:sz w:val="28"/>
          <w:szCs w:val="28"/>
        </w:rPr>
        <w:lastRenderedPageBreak/>
        <w:t>正考慮在孟買等一線城市建立數據中心。宏碁則針對新式</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外包成立專門部門，希望利用個人電腦品牌優勢，加上既有雲端服務成功案例，開拓印度雲服務市場。</w:t>
      </w:r>
    </w:p>
    <w:p w:rsidR="002E0017" w:rsidRPr="00C77E77" w:rsidRDefault="002E0017" w:rsidP="002E0017">
      <w:pPr>
        <w:spacing w:beforeLines="50" w:before="180" w:afterLines="50" w:after="180" w:line="500" w:lineRule="exact"/>
        <w:ind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來說，臺灣輸出雲端系統產業需考量到當地國家推動電子化政府的政策，並高度依賴於基礎建設、供電穩定、法治建設等之健全性。新加坡的電子化政府發展在全球名列前茅，其它泰國、菲律賓、印度、汶萊，已將建設電子化政府列為長期政策目標，是我國可以考慮合作的對象。</w:t>
      </w:r>
    </w:p>
    <w:p w:rsidR="002E0017" w:rsidRPr="00C77E77" w:rsidRDefault="002E0017" w:rsidP="002E0017">
      <w:pPr>
        <w:spacing w:beforeLines="50" w:before="180" w:afterLines="50" w:after="180" w:line="500" w:lineRule="exact"/>
        <w:ind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我國雲端系統產業南向發展的挑戰，在於雲端系統產業與電子化政府息息相關，鑒於東南亞國協國家除新加坡的電子化政府發展在全球名列前茅外，</w:t>
      </w:r>
      <w:r w:rsidRPr="00C77E77">
        <w:rPr>
          <w:rStyle w:val="a9"/>
          <w:rFonts w:ascii="Times New Roman" w:eastAsia="標楷體" w:hAnsi="Times New Roman" w:cs="Times New Roman"/>
          <w:sz w:val="28"/>
          <w:szCs w:val="28"/>
        </w:rPr>
        <w:footnoteReference w:id="109"/>
      </w:r>
      <w:r w:rsidRPr="00C77E77">
        <w:rPr>
          <w:rFonts w:ascii="Times New Roman" w:eastAsia="標楷體" w:hAnsi="Times New Roman" w:cs="Times New Roman"/>
          <w:sz w:val="28"/>
          <w:szCs w:val="28"/>
        </w:rPr>
        <w:t>目前已開始推動電子化政府的國家包括：泰國</w:t>
      </w:r>
      <w:r w:rsidRPr="00C77E77">
        <w:rPr>
          <w:rStyle w:val="a9"/>
          <w:rFonts w:ascii="Times New Roman" w:eastAsia="標楷體" w:hAnsi="Times New Roman" w:cs="Times New Roman"/>
          <w:sz w:val="28"/>
          <w:szCs w:val="28"/>
        </w:rPr>
        <w:footnoteReference w:id="110"/>
      </w:r>
      <w:r w:rsidRPr="00C77E77">
        <w:rPr>
          <w:rFonts w:ascii="Times New Roman" w:eastAsia="標楷體" w:hAnsi="Times New Roman" w:cs="Times New Roman"/>
          <w:sz w:val="28"/>
          <w:szCs w:val="28"/>
        </w:rPr>
        <w:t>、菲律賓</w:t>
      </w:r>
      <w:r w:rsidRPr="00C77E77">
        <w:rPr>
          <w:rStyle w:val="a9"/>
          <w:rFonts w:ascii="Times New Roman" w:eastAsia="標楷體" w:hAnsi="Times New Roman" w:cs="Times New Roman"/>
          <w:sz w:val="28"/>
          <w:szCs w:val="28"/>
        </w:rPr>
        <w:footnoteReference w:id="111"/>
      </w:r>
      <w:r w:rsidRPr="00C77E77">
        <w:rPr>
          <w:rFonts w:ascii="Times New Roman" w:eastAsia="標楷體" w:hAnsi="Times New Roman" w:cs="Times New Roman"/>
          <w:sz w:val="28"/>
          <w:szCs w:val="28"/>
        </w:rPr>
        <w:t>；至於其它國家，普遍存在整備度與基礎建設不足、法規不健全、人才缺乏、教育認知落差等現象。例如寮國政府就承認面臨架構發展與規範困難、缺乏資通運雲端運算人才資源、缺乏雲端運算標準，因此該國急需他國、區域或國際合作的合作與支持。</w:t>
      </w:r>
    </w:p>
    <w:p w:rsidR="002E0017" w:rsidRPr="00C77E77" w:rsidRDefault="002E0017" w:rsidP="002E0017">
      <w:pPr>
        <w:spacing w:beforeLines="50" w:before="180" w:afterLines="50" w:after="180" w:line="500" w:lineRule="exact"/>
        <w:ind w:firstLine="482"/>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一項挑戰在於，受限於國際政治情勢，我國參與國際合作活動以及雲端整備度之國際評比、國際能見度與雲端發展形象仍有待加強。面對雲端產業軟硬整合趨勢，長期以來，臺灣偏重硬體發展，軟體方面相對較弱，人才也少，甚至連軟體人才都跑去做硬體。部分從事雲端產業的外國廠商，之所以不願在臺灣投資，就是覺得臺灣人才不夠，如果臺灣可透過產學合作方式，培養更多人才，就能帶動良性循環，藉由人才吸引資金挹注，促進產業發展。此外，「網際安全」</w:t>
      </w:r>
      <w:r w:rsidR="00BD1306"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Cyber Securi</w:t>
      </w:r>
      <w:r w:rsidR="00BD1306" w:rsidRPr="00C77E77">
        <w:rPr>
          <w:rFonts w:ascii="Times New Roman" w:eastAsia="標楷體" w:hAnsi="Times New Roman" w:cs="Times New Roman"/>
          <w:sz w:val="28"/>
          <w:szCs w:val="28"/>
        </w:rPr>
        <w:t>ty</w:t>
      </w:r>
      <w:r w:rsidR="00BD1306"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已經成為雲端系統的必備條件，因為開放系統，相對曝險性也升高，因此對於資料之安全考量需更加謹慎。</w:t>
      </w:r>
    </w:p>
    <w:p w:rsidR="00240B65" w:rsidRPr="00C77E77" w:rsidRDefault="002E0017" w:rsidP="002E0017">
      <w:pPr>
        <w:spacing w:before="50" w:after="5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歸納我國電子商務、智慧物流、雲端系統輸出東協國家與印度的機會與挑戰。電子商務產業牽涉到該國之經濟發展程度、網路覆蓋率、智慧型手機普及率高等條件，以馬來西亞、泰國、印尼、菲律賓、越南、新加坡、汶萊、印度較為適合。智慧物流產業需要有相應的電子化整合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提供相關資訊，並且具備相當的基礎設施，</w:t>
      </w:r>
      <w:r w:rsidRPr="00C77E77">
        <w:rPr>
          <w:rFonts w:ascii="Times New Roman" w:eastAsia="標楷體" w:hAnsi="Times New Roman" w:cs="Times New Roman"/>
          <w:color w:val="000000" w:themeColor="text1"/>
          <w:sz w:val="28"/>
          <w:szCs w:val="28"/>
        </w:rPr>
        <w:t>適合在馬來西亞、泰國、菲律賓、越南、印尼、新加坡等國推展。而</w:t>
      </w:r>
      <w:r w:rsidRPr="00C77E77">
        <w:rPr>
          <w:rFonts w:ascii="Times New Roman" w:eastAsia="標楷體" w:hAnsi="Times New Roman" w:cs="Times New Roman"/>
          <w:sz w:val="28"/>
          <w:szCs w:val="28"/>
        </w:rPr>
        <w:t>雲端系統產業的發展則高度依賴於當地國家的基礎建設、供電穩定度、法治建設、電子化政府的政策等，以泰國、菲律賓、印度、汶萊、新加坡等國較為適合。</w:t>
      </w:r>
    </w:p>
    <w:p w:rsidR="00A331F7" w:rsidRPr="00C77E77" w:rsidRDefault="00A331F7">
      <w:pPr>
        <w:widowControl/>
        <w:rPr>
          <w:rFonts w:ascii="Times New Roman" w:eastAsia="標楷體" w:hAnsi="Times New Roman" w:cs="Times New Roman"/>
          <w:sz w:val="28"/>
          <w:szCs w:val="28"/>
        </w:rPr>
      </w:pPr>
    </w:p>
    <w:p w:rsidR="00897640" w:rsidRPr="00C77E77" w:rsidRDefault="00897640" w:rsidP="00764ED7">
      <w:pPr>
        <w:pStyle w:val="ab"/>
        <w:numPr>
          <w:ilvl w:val="0"/>
          <w:numId w:val="21"/>
        </w:numPr>
        <w:spacing w:beforeLines="50" w:before="180" w:afterLines="50" w:after="180" w:line="500" w:lineRule="exact"/>
        <w:ind w:leftChars="0"/>
        <w:outlineLvl w:val="1"/>
        <w:rPr>
          <w:rFonts w:ascii="Times New Roman" w:eastAsia="標楷體" w:hAnsi="Times New Roman" w:cs="Times New Roman"/>
          <w:b/>
          <w:sz w:val="31"/>
          <w:szCs w:val="31"/>
        </w:rPr>
      </w:pPr>
      <w:bookmarkStart w:id="126" w:name="_Toc470676321"/>
      <w:r w:rsidRPr="00C77E77">
        <w:rPr>
          <w:rFonts w:ascii="Times New Roman" w:eastAsia="標楷體" w:hAnsi="Times New Roman" w:cs="Times New Roman"/>
          <w:b/>
          <w:sz w:val="31"/>
          <w:szCs w:val="31"/>
        </w:rPr>
        <w:t>太陽能、</w:t>
      </w:r>
      <w:r w:rsidRPr="00C77E77">
        <w:rPr>
          <w:rFonts w:ascii="Times New Roman" w:eastAsia="標楷體" w:hAnsi="Times New Roman" w:cs="Times New Roman"/>
          <w:b/>
          <w:sz w:val="31"/>
          <w:szCs w:val="31"/>
        </w:rPr>
        <w:t>LED</w:t>
      </w:r>
      <w:r w:rsidRPr="00C77E77">
        <w:rPr>
          <w:rFonts w:ascii="Times New Roman" w:eastAsia="標楷體" w:hAnsi="Times New Roman" w:cs="Times New Roman"/>
          <w:b/>
          <w:sz w:val="31"/>
          <w:szCs w:val="31"/>
        </w:rPr>
        <w:t>照明、綠色運輸產業南向發展之機會與挑戰</w:t>
      </w:r>
      <w:bookmarkEnd w:id="126"/>
    </w:p>
    <w:p w:rsidR="00967390" w:rsidRPr="00C77E77" w:rsidRDefault="00967390" w:rsidP="00967390">
      <w:pPr>
        <w:pStyle w:val="ab"/>
        <w:spacing w:beforeLines="50" w:before="180" w:afterLines="50" w:after="180" w:line="500" w:lineRule="exact"/>
        <w:ind w:leftChars="0" w:left="0" w:firstLineChars="171" w:firstLine="479"/>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節能減碳的綠色革命是全球近幾年來的共識，但是，由於東南亞及南亞地區各國發展不盡相同，並不是每個國家都有條件發展綠色經濟。如寮國、緬甸、柬埔寨等國，基本上還在工業發展的初期階段，不僅人民的經濟能力無法支撐綠能產業，政府也無力推廣相關政策。因此，本節主要將聚焦於東南亞及南亞地區中有能力發展綠色經濟之國家，分別說明我國之太陽光電產業、</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光電產業與綠色運輸產業可能的新南向發展潛力。</w:t>
      </w:r>
    </w:p>
    <w:p w:rsidR="00967390" w:rsidRPr="00C77E77" w:rsidRDefault="00967390" w:rsidP="00967390">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一、太陽能產業</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根據</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年太陽光電市場評估，區域市場中，亞太區域（不含中國大陸）躍居為全球最大市場，預估有</w:t>
      </w:r>
      <w:r w:rsidRPr="00C77E77">
        <w:rPr>
          <w:rFonts w:ascii="Times New Roman" w:eastAsia="標楷體" w:hAnsi="Times New Roman" w:cs="Times New Roman"/>
          <w:sz w:val="28"/>
          <w:szCs w:val="28"/>
        </w:rPr>
        <w:t>17.3GW</w:t>
      </w:r>
      <w:r w:rsidRPr="00C77E77">
        <w:rPr>
          <w:rFonts w:ascii="Times New Roman" w:eastAsia="標楷體" w:hAnsi="Times New Roman" w:cs="Times New Roman"/>
          <w:sz w:val="28"/>
          <w:szCs w:val="28"/>
        </w:rPr>
        <w:t>的市場，成長率（</w:t>
      </w:r>
      <w:r w:rsidRPr="00C77E77">
        <w:rPr>
          <w:rFonts w:ascii="Times New Roman" w:eastAsia="標楷體" w:hAnsi="Times New Roman" w:cs="Times New Roman"/>
          <w:sz w:val="28"/>
          <w:szCs w:val="28"/>
        </w:rPr>
        <w:t>Compound Annual Growth Rate</w:t>
      </w:r>
      <w:r w:rsidRPr="00C77E77">
        <w:rPr>
          <w:rFonts w:ascii="Times New Roman" w:eastAsia="標楷體" w:hAnsi="Times New Roman" w:cs="Times New Roman"/>
          <w:sz w:val="28"/>
          <w:szCs w:val="28"/>
        </w:rPr>
        <w:t>，簡稱</w:t>
      </w:r>
      <w:r w:rsidRPr="00C77E77">
        <w:rPr>
          <w:rFonts w:ascii="Times New Roman" w:eastAsia="標楷體" w:hAnsi="Times New Roman" w:cs="Times New Roman"/>
          <w:sz w:val="28"/>
          <w:szCs w:val="28"/>
        </w:rPr>
        <w:t>CAGR</w:t>
      </w:r>
      <w:r w:rsidRPr="00C77E77">
        <w:rPr>
          <w:rFonts w:ascii="Times New Roman" w:eastAsia="標楷體" w:hAnsi="Times New Roman" w:cs="Times New Roman"/>
          <w:sz w:val="28"/>
          <w:szCs w:val="28"/>
        </w:rPr>
        <w:t>）約</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％；中國大陸地區為第二大市場，預估為</w:t>
      </w:r>
      <w:r w:rsidRPr="00C77E77">
        <w:rPr>
          <w:rFonts w:ascii="Times New Roman" w:eastAsia="標楷體" w:hAnsi="Times New Roman" w:cs="Times New Roman"/>
          <w:sz w:val="28"/>
          <w:szCs w:val="28"/>
        </w:rPr>
        <w:t>16.8GW</w:t>
      </w:r>
      <w:r w:rsidRPr="00C77E77">
        <w:rPr>
          <w:rFonts w:ascii="Times New Roman" w:eastAsia="標楷體" w:hAnsi="Times New Roman" w:cs="Times New Roman"/>
          <w:sz w:val="28"/>
          <w:szCs w:val="28"/>
        </w:rPr>
        <w:t>，成長率</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％；美洲地區為第三大市場，預估為</w:t>
      </w:r>
      <w:r w:rsidRPr="00C77E77">
        <w:rPr>
          <w:rFonts w:ascii="Times New Roman" w:eastAsia="標楷體" w:hAnsi="Times New Roman" w:cs="Times New Roman"/>
          <w:sz w:val="28"/>
          <w:szCs w:val="28"/>
        </w:rPr>
        <w:t>14.6GW</w:t>
      </w:r>
      <w:r w:rsidRPr="00C77E77">
        <w:rPr>
          <w:rFonts w:ascii="Times New Roman" w:eastAsia="標楷體" w:hAnsi="Times New Roman" w:cs="Times New Roman"/>
          <w:sz w:val="28"/>
          <w:szCs w:val="28"/>
        </w:rPr>
        <w:t>，成長率</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而且，由於美國對中國大陸進行的二次「雙反」波及到臺灣的太陽能電池出口，因此，許多以美國訂單為主的臺廠也紛紛移往東南亞以規避關稅。東南亞地區不但是重點貿易市場，更是投資設廠的熱門地點。</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p>
    <w:p w:rsidR="00967390" w:rsidRPr="00C77E77" w:rsidRDefault="00967390" w:rsidP="00967390">
      <w:pPr>
        <w:spacing w:before="240" w:after="240"/>
        <w:jc w:val="center"/>
        <w:rPr>
          <w:rFonts w:ascii="Times New Roman" w:hAnsi="Times New Roman" w:cs="Times New Roman"/>
        </w:rPr>
      </w:pPr>
      <w:r w:rsidRPr="00C77E77">
        <w:rPr>
          <w:rFonts w:ascii="Times New Roman" w:hAnsi="Times New Roman" w:cs="Times New Roman"/>
          <w:noProof/>
        </w:rPr>
        <w:drawing>
          <wp:inline distT="0" distB="0" distL="0" distR="0" wp14:anchorId="704A487E" wp14:editId="6CCBF166">
            <wp:extent cx="5267325" cy="3295650"/>
            <wp:effectExtent l="0" t="0" r="952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67325" cy="3295650"/>
                    </a:xfrm>
                    <a:prstGeom prst="rect">
                      <a:avLst/>
                    </a:prstGeom>
                    <a:noFill/>
                    <a:ln>
                      <a:noFill/>
                    </a:ln>
                  </pic:spPr>
                </pic:pic>
              </a:graphicData>
            </a:graphic>
          </wp:inline>
        </w:drawing>
      </w:r>
    </w:p>
    <w:p w:rsidR="00967390" w:rsidRPr="00C77E77" w:rsidRDefault="00967390" w:rsidP="00967390">
      <w:pPr>
        <w:pStyle w:val="af7"/>
        <w:spacing w:line="500" w:lineRule="exact"/>
      </w:pPr>
      <w:bookmarkStart w:id="127" w:name="_Toc458185161"/>
      <w:bookmarkStart w:id="128" w:name="_Toc470676647"/>
      <w:r w:rsidRPr="00C77E77">
        <w:t>圖</w:t>
      </w:r>
      <w:r w:rsidRPr="00C77E77">
        <w:t xml:space="preserve">4-3-1 </w:t>
      </w:r>
      <w:r w:rsidRPr="00C77E77">
        <w:t>全球太陽光電市場預估</w:t>
      </w:r>
      <w:bookmarkEnd w:id="127"/>
      <w:bookmarkEnd w:id="128"/>
    </w:p>
    <w:p w:rsidR="00967390" w:rsidRPr="00C77E77" w:rsidRDefault="00967390" w:rsidP="0036641A">
      <w:pPr>
        <w:spacing w:line="500" w:lineRule="exact"/>
        <w:ind w:left="1417" w:hangingChars="506" w:hanging="1417"/>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資料來源：工業技術研究院產業經濟與趨勢</w:t>
      </w:r>
      <w:r w:rsidR="00F47E2F" w:rsidRPr="00C77E77">
        <w:rPr>
          <w:rFonts w:ascii="Times New Roman" w:eastAsia="標楷體" w:hAnsi="Times New Roman" w:cs="Times New Roman"/>
          <w:sz w:val="28"/>
          <w:szCs w:val="28"/>
        </w:rPr>
        <w:t>研究</w:t>
      </w:r>
      <w:r w:rsidRPr="00C77E77">
        <w:rPr>
          <w:rFonts w:ascii="Times New Roman" w:eastAsia="標楷體" w:hAnsi="Times New Roman" w:cs="Times New Roman"/>
          <w:sz w:val="28"/>
          <w:szCs w:val="28"/>
        </w:rPr>
        <w:t>中心</w:t>
      </w:r>
      <w:r w:rsidR="007B507B" w:rsidRPr="00C77E77">
        <w:rPr>
          <w:rFonts w:ascii="Times New Roman" w:eastAsia="標楷體" w:hAnsi="Times New Roman" w:cs="Times New Roman"/>
          <w:sz w:val="28"/>
          <w:szCs w:val="28"/>
        </w:rPr>
        <w:t>，〈重點及新</w:t>
      </w:r>
      <w:r w:rsidR="0036641A" w:rsidRPr="00C77E77">
        <w:rPr>
          <w:rFonts w:ascii="Times New Roman" w:eastAsia="標楷體" w:hAnsi="Times New Roman" w:cs="Times New Roman"/>
          <w:sz w:val="28"/>
          <w:szCs w:val="28"/>
        </w:rPr>
        <w:t>興</w:t>
      </w:r>
      <w:r w:rsidR="007B507B" w:rsidRPr="00C77E77">
        <w:rPr>
          <w:rFonts w:ascii="Times New Roman" w:eastAsia="標楷體" w:hAnsi="Times New Roman" w:cs="Times New Roman"/>
          <w:sz w:val="28"/>
          <w:szCs w:val="28"/>
        </w:rPr>
        <w:t>太陽光電</w:t>
      </w:r>
      <w:r w:rsidR="0036641A" w:rsidRPr="00C77E77">
        <w:rPr>
          <w:rFonts w:ascii="Times New Roman" w:eastAsia="標楷體" w:hAnsi="Times New Roman" w:cs="Times New Roman"/>
          <w:sz w:val="28"/>
          <w:szCs w:val="28"/>
        </w:rPr>
        <w:t>市場政策與需求分析</w:t>
      </w:r>
      <w:r w:rsidR="007B507B" w:rsidRPr="00C77E77">
        <w:rPr>
          <w:rFonts w:ascii="Times New Roman" w:eastAsia="標楷體" w:hAnsi="Times New Roman" w:cs="Times New Roman"/>
          <w:sz w:val="28"/>
          <w:szCs w:val="28"/>
        </w:rPr>
        <w:t>〉</w:t>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印度，是新南向政策目標中，最具太陽光電產業潛力的國家。印度電力供給尚未普及，迄今仍有</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億人口無電可用</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加上印度極端仰賴石油進口，故積極發展替代能源。根據印度中央電力局發佈的資料，截至今（</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月，在印度的能源結構中，可再生能源份額（水電除外）已經達到</w:t>
      </w:r>
      <w:r w:rsidRPr="00C77E77">
        <w:rPr>
          <w:rFonts w:ascii="Times New Roman" w:eastAsia="標楷體" w:hAnsi="Times New Roman" w:cs="Times New Roman"/>
          <w:sz w:val="28"/>
          <w:szCs w:val="28"/>
        </w:rPr>
        <w:t>5.7</w:t>
      </w:r>
      <w:r w:rsidRPr="00C77E77">
        <w:rPr>
          <w:rFonts w:ascii="Times New Roman" w:eastAsia="標楷體" w:hAnsi="Times New Roman" w:cs="Times New Roman"/>
          <w:sz w:val="28"/>
          <w:szCs w:val="28"/>
        </w:rPr>
        <w:t>％，較</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年的</w:t>
      </w:r>
      <w:r w:rsidRPr="00C77E77">
        <w:rPr>
          <w:rFonts w:ascii="Times New Roman" w:eastAsia="標楷體" w:hAnsi="Times New Roman" w:cs="Times New Roman"/>
          <w:sz w:val="28"/>
          <w:szCs w:val="28"/>
        </w:rPr>
        <w:t>4.97</w:t>
      </w:r>
      <w:r w:rsidRPr="00C77E77">
        <w:rPr>
          <w:rFonts w:ascii="Times New Roman" w:eastAsia="標楷體" w:hAnsi="Times New Roman" w:cs="Times New Roman"/>
          <w:sz w:val="28"/>
          <w:szCs w:val="28"/>
        </w:rPr>
        <w:t>％有所提高。印度平均每年有</w:t>
      </w:r>
      <w:r w:rsidRPr="00C77E77">
        <w:rPr>
          <w:rFonts w:ascii="Times New Roman" w:eastAsia="標楷體" w:hAnsi="Times New Roman" w:cs="Times New Roman"/>
          <w:sz w:val="28"/>
          <w:szCs w:val="28"/>
        </w:rPr>
        <w:t>300</w:t>
      </w:r>
      <w:r w:rsidRPr="00C77E77">
        <w:rPr>
          <w:rFonts w:ascii="Times New Roman" w:eastAsia="標楷體" w:hAnsi="Times New Roman" w:cs="Times New Roman"/>
          <w:sz w:val="28"/>
          <w:szCs w:val="28"/>
        </w:rPr>
        <w:t>日照，超過</w:t>
      </w:r>
      <w:r w:rsidRPr="00C77E77">
        <w:rPr>
          <w:rFonts w:ascii="Times New Roman" w:eastAsia="標楷體" w:hAnsi="Times New Roman" w:cs="Times New Roman"/>
          <w:sz w:val="28"/>
          <w:szCs w:val="28"/>
        </w:rPr>
        <w:t>1,500</w:t>
      </w:r>
      <w:r w:rsidRPr="00C77E77">
        <w:rPr>
          <w:rFonts w:ascii="Times New Roman" w:eastAsia="標楷體" w:hAnsi="Times New Roman" w:cs="Times New Roman"/>
          <w:sz w:val="28"/>
          <w:szCs w:val="28"/>
        </w:rPr>
        <w:t>小時，且日照輻射量高，陽光資源相當豐沛。但印度目前的太陽能僅</w:t>
      </w:r>
      <w:r w:rsidRPr="00C77E77">
        <w:rPr>
          <w:rFonts w:ascii="Times New Roman" w:eastAsia="標楷體" w:hAnsi="Times New Roman" w:cs="Times New Roman"/>
          <w:sz w:val="28"/>
          <w:szCs w:val="28"/>
        </w:rPr>
        <w:t>5GW</w:t>
      </w:r>
      <w:r w:rsidRPr="00C77E77">
        <w:rPr>
          <w:rFonts w:ascii="Times New Roman" w:eastAsia="標楷體" w:hAnsi="Times New Roman" w:cs="Times New Roman"/>
          <w:sz w:val="28"/>
          <w:szCs w:val="28"/>
        </w:rPr>
        <w:t>，計劃在</w:t>
      </w:r>
      <w:r w:rsidRPr="00C77E77">
        <w:rPr>
          <w:rFonts w:ascii="Times New Roman" w:eastAsia="標楷體" w:hAnsi="Times New Roman" w:cs="Times New Roman"/>
          <w:sz w:val="28"/>
          <w:szCs w:val="28"/>
        </w:rPr>
        <w:t>2022</w:t>
      </w:r>
      <w:r w:rsidRPr="00C77E77">
        <w:rPr>
          <w:rFonts w:ascii="Times New Roman" w:eastAsia="標楷體" w:hAnsi="Times New Roman" w:cs="Times New Roman"/>
          <w:sz w:val="28"/>
          <w:szCs w:val="28"/>
        </w:rPr>
        <w:t>年時提高國內太陽能安裝量到</w:t>
      </w:r>
      <w:r w:rsidRPr="00C77E77">
        <w:rPr>
          <w:rFonts w:ascii="Times New Roman" w:eastAsia="標楷體" w:hAnsi="Times New Roman" w:cs="Times New Roman"/>
          <w:sz w:val="28"/>
          <w:szCs w:val="28"/>
        </w:rPr>
        <w:t>100GW</w:t>
      </w:r>
      <w:r w:rsidRPr="00C77E77">
        <w:rPr>
          <w:rFonts w:ascii="Times New Roman" w:eastAsia="標楷體" w:hAnsi="Times New Roman" w:cs="Times New Roman"/>
          <w:sz w:val="28"/>
          <w:szCs w:val="28"/>
        </w:rPr>
        <w:t>，彼時能源結構（水電除外）的</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％將來自可再生能源。根據印度自然資源保護委員會（</w:t>
      </w:r>
      <w:r w:rsidRPr="00C77E77">
        <w:rPr>
          <w:rFonts w:ascii="Times New Roman" w:eastAsia="標楷體" w:hAnsi="Times New Roman" w:cs="Times New Roman"/>
          <w:sz w:val="28"/>
          <w:szCs w:val="28"/>
        </w:rPr>
        <w:t>NRDC</w:t>
      </w:r>
      <w:r w:rsidRPr="00C77E77">
        <w:rPr>
          <w:rFonts w:ascii="Times New Roman" w:eastAsia="標楷體" w:hAnsi="Times New Roman" w:cs="Times New Roman"/>
          <w:sz w:val="28"/>
          <w:szCs w:val="28"/>
        </w:rPr>
        <w:t>）的一份新公告稱，未來六年需要逾</w:t>
      </w:r>
      <w:r w:rsidRPr="00C77E77">
        <w:rPr>
          <w:rFonts w:ascii="Times New Roman" w:eastAsia="標楷體" w:hAnsi="Times New Roman" w:cs="Times New Roman"/>
          <w:sz w:val="28"/>
          <w:szCs w:val="28"/>
        </w:rPr>
        <w:t>1,400</w:t>
      </w:r>
      <w:r w:rsidRPr="00C77E77">
        <w:rPr>
          <w:rFonts w:ascii="Times New Roman" w:eastAsia="標楷體" w:hAnsi="Times New Roman" w:cs="Times New Roman"/>
          <w:sz w:val="28"/>
          <w:szCs w:val="28"/>
        </w:rPr>
        <w:t>億美元的投資來實現印度太陽能、風能和效率目標，提高清潔能源獲取。</w:t>
      </w:r>
      <w:r w:rsidRPr="00C77E77">
        <w:rPr>
          <w:rStyle w:val="a9"/>
          <w:rFonts w:ascii="Times New Roman" w:eastAsia="標楷體" w:hAnsi="Times New Roman" w:cs="Times New Roman"/>
          <w:sz w:val="28"/>
          <w:szCs w:val="28"/>
        </w:rPr>
        <w:footnoteReference w:id="112"/>
      </w:r>
      <w:r w:rsidRPr="00C77E77">
        <w:rPr>
          <w:rFonts w:ascii="Times New Roman" w:eastAsia="標楷體" w:hAnsi="Times New Roman" w:cs="Times New Roman"/>
          <w:sz w:val="28"/>
          <w:szCs w:val="28"/>
        </w:rPr>
        <w:t>印度政府已在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年獲得世界銀行</w:t>
      </w:r>
      <w:r w:rsidRPr="00C77E77">
        <w:rPr>
          <w:rFonts w:ascii="Times New Roman" w:eastAsia="標楷體" w:hAnsi="Times New Roman" w:cs="Times New Roman"/>
          <w:sz w:val="28"/>
          <w:szCs w:val="28"/>
        </w:rPr>
        <w:lastRenderedPageBreak/>
        <w:t xml:space="preserve">10 </w:t>
      </w:r>
      <w:r w:rsidRPr="00C77E77">
        <w:rPr>
          <w:rFonts w:ascii="Times New Roman" w:eastAsia="標楷體" w:hAnsi="Times New Roman" w:cs="Times New Roman"/>
          <w:sz w:val="28"/>
          <w:szCs w:val="28"/>
        </w:rPr>
        <w:t>億美元貸款，用以發展屋頂型太陽能、大型太陽能園區、太陽能應用、電網傳輸等技術。同時，印度目前現在已經是全球太陽光電安裝國的第五名，而且很快就可以超過英國成為第四名，整個太陽光電的市場前景可期。</w:t>
      </w:r>
    </w:p>
    <w:p w:rsidR="00967390" w:rsidRPr="00C77E77" w:rsidRDefault="00967390" w:rsidP="00967390">
      <w:pPr>
        <w:jc w:val="center"/>
        <w:rPr>
          <w:rFonts w:ascii="Times New Roman" w:hAnsi="Times New Roman" w:cs="Times New Roman"/>
        </w:rPr>
      </w:pPr>
      <w:r w:rsidRPr="00C77E77">
        <w:rPr>
          <w:rFonts w:ascii="Times New Roman" w:hAnsi="Times New Roman" w:cs="Times New Roman"/>
          <w:noProof/>
        </w:rPr>
        <w:drawing>
          <wp:inline distT="0" distB="0" distL="0" distR="0" wp14:anchorId="66F8B7FC" wp14:editId="6EB727F8">
            <wp:extent cx="5267325" cy="5276850"/>
            <wp:effectExtent l="0" t="0" r="952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7325" cy="5276850"/>
                    </a:xfrm>
                    <a:prstGeom prst="rect">
                      <a:avLst/>
                    </a:prstGeom>
                    <a:noFill/>
                    <a:ln>
                      <a:noFill/>
                    </a:ln>
                  </pic:spPr>
                </pic:pic>
              </a:graphicData>
            </a:graphic>
          </wp:inline>
        </w:drawing>
      </w:r>
    </w:p>
    <w:p w:rsidR="00967390" w:rsidRPr="00C77E77" w:rsidRDefault="00967390" w:rsidP="00967390">
      <w:pPr>
        <w:pStyle w:val="af7"/>
        <w:spacing w:line="500" w:lineRule="exact"/>
      </w:pPr>
      <w:bookmarkStart w:id="129" w:name="_Toc458185162"/>
      <w:bookmarkStart w:id="130" w:name="_Toc470676648"/>
      <w:r w:rsidRPr="00C77E77">
        <w:t>圖</w:t>
      </w:r>
      <w:r w:rsidRPr="00C77E77">
        <w:t xml:space="preserve">4-3-2 </w:t>
      </w:r>
      <w:r w:rsidRPr="00C77E77">
        <w:t>全球太陽光電前十大安裝國</w:t>
      </w:r>
      <w:bookmarkEnd w:id="129"/>
      <w:bookmarkEnd w:id="130"/>
    </w:p>
    <w:p w:rsidR="00967390" w:rsidRPr="00C77E77" w:rsidRDefault="00967390" w:rsidP="00967390">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資料來源：工業技術研究院產業經濟與趨勢中心</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目前已有</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商陸續進入印度太陽能市場。</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達電的太陽能電源轉換器、通訊電源系</w:t>
      </w:r>
      <w:r w:rsidR="007E5894" w:rsidRPr="00C77E77">
        <w:rPr>
          <w:rFonts w:ascii="Times New Roman" w:eastAsia="標楷體" w:hAnsi="Times New Roman" w:cs="Times New Roman"/>
          <w:sz w:val="28"/>
          <w:szCs w:val="28"/>
        </w:rPr>
        <w:t>統產品在印度市占率都為第一，成為印度通信及能源系統主要供</w:t>
      </w:r>
      <w:r w:rsidR="007E5894" w:rsidRPr="00C77E77">
        <w:rPr>
          <w:rFonts w:ascii="Times New Roman" w:eastAsia="標楷體" w:hAnsi="Times New Roman" w:cs="Times New Roman"/>
          <w:sz w:val="28"/>
          <w:szCs w:val="28"/>
        </w:rPr>
        <w:lastRenderedPageBreak/>
        <w:t>應商，</w:t>
      </w:r>
      <w:r w:rsidR="007E5894"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年營收達到</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千萬美元</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印度北部諾伊達（</w:t>
      </w:r>
      <w:r w:rsidRPr="00C77E77">
        <w:rPr>
          <w:rFonts w:ascii="Times New Roman" w:eastAsia="標楷體" w:hAnsi="Times New Roman" w:cs="Times New Roman"/>
          <w:sz w:val="28"/>
          <w:szCs w:val="28"/>
        </w:rPr>
        <w:t>Noida</w:t>
      </w:r>
      <w:r w:rsidRPr="00C77E77">
        <w:rPr>
          <w:rFonts w:ascii="Times New Roman" w:eastAsia="標楷體" w:hAnsi="Times New Roman" w:cs="Times New Roman"/>
          <w:sz w:val="28"/>
          <w:szCs w:val="28"/>
        </w:rPr>
        <w:t>）太陽能電廠、</w:t>
      </w:r>
      <w:r w:rsidR="00457B17" w:rsidRPr="00C77E77">
        <w:rPr>
          <w:rFonts w:ascii="Times New Roman" w:eastAsia="標楷體" w:hAnsi="Times New Roman" w:cs="Times New Roman"/>
          <w:sz w:val="28"/>
          <w:szCs w:val="28"/>
        </w:rPr>
        <w:t>柯欽（</w:t>
      </w:r>
      <w:r w:rsidR="00457B17" w:rsidRPr="00C77E77">
        <w:rPr>
          <w:rFonts w:ascii="Times New Roman" w:eastAsia="標楷體" w:hAnsi="Times New Roman" w:cs="Times New Roman"/>
          <w:sz w:val="28"/>
          <w:szCs w:val="28"/>
        </w:rPr>
        <w:t>Kochi</w:t>
      </w:r>
      <w:r w:rsidR="00457B17" w:rsidRPr="00C77E77">
        <w:rPr>
          <w:rFonts w:ascii="Times New Roman" w:eastAsia="標楷體" w:hAnsi="Times New Roman" w:cs="Times New Roman"/>
          <w:sz w:val="28"/>
          <w:szCs w:val="28"/>
        </w:rPr>
        <w:t>，舊稱</w:t>
      </w:r>
      <w:r w:rsidR="00457B17" w:rsidRPr="00C77E77">
        <w:rPr>
          <w:rFonts w:ascii="Times New Roman" w:eastAsia="標楷體" w:hAnsi="Times New Roman" w:cs="Times New Roman"/>
          <w:sz w:val="28"/>
          <w:szCs w:val="28"/>
        </w:rPr>
        <w:t>Cochin</w:t>
      </w:r>
      <w:r w:rsidR="00457B1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機場等也都採用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達電的太陽能電源轉換器</w:t>
      </w:r>
      <w:r w:rsidR="00A331F7"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達電已宣布將在印度設立第三個廠區及研發中心，並雇用</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萬名工人和</w:t>
      </w:r>
      <w:r w:rsidRPr="00C77E77">
        <w:rPr>
          <w:rFonts w:ascii="Times New Roman" w:eastAsia="標楷體" w:hAnsi="Times New Roman" w:cs="Times New Roman"/>
          <w:sz w:val="28"/>
          <w:szCs w:val="28"/>
        </w:rPr>
        <w:t>500</w:t>
      </w:r>
      <w:r w:rsidRPr="00C77E77">
        <w:rPr>
          <w:rFonts w:ascii="Times New Roman" w:eastAsia="標楷體" w:hAnsi="Times New Roman" w:cs="Times New Roman"/>
          <w:sz w:val="28"/>
          <w:szCs w:val="28"/>
        </w:rPr>
        <w:t>名工程師。另外，鴻海則與日本軟體銀行（</w:t>
      </w:r>
      <w:r w:rsidRPr="00C77E77">
        <w:rPr>
          <w:rFonts w:ascii="Times New Roman" w:eastAsia="標楷體" w:hAnsi="Times New Roman" w:cs="Times New Roman"/>
          <w:sz w:val="28"/>
          <w:szCs w:val="28"/>
        </w:rPr>
        <w:t>SoftBank</w:t>
      </w:r>
      <w:r w:rsidRPr="00C77E77">
        <w:rPr>
          <w:rFonts w:ascii="Times New Roman" w:eastAsia="標楷體" w:hAnsi="Times New Roman" w:cs="Times New Roman"/>
          <w:sz w:val="28"/>
          <w:szCs w:val="28"/>
        </w:rPr>
        <w:t>）、印度巴提集團（</w:t>
      </w:r>
      <w:r w:rsidRPr="00C77E77">
        <w:rPr>
          <w:rFonts w:ascii="Times New Roman" w:eastAsia="標楷體" w:hAnsi="Times New Roman" w:cs="Times New Roman"/>
          <w:sz w:val="28"/>
          <w:szCs w:val="28"/>
        </w:rPr>
        <w:t>Bharti</w:t>
      </w:r>
      <w:r w:rsidRPr="00C77E77">
        <w:rPr>
          <w:rFonts w:ascii="Times New Roman" w:eastAsia="標楷體" w:hAnsi="Times New Roman" w:cs="Times New Roman"/>
          <w:sz w:val="28"/>
          <w:szCs w:val="28"/>
        </w:rPr>
        <w:t>）合資成立</w:t>
      </w:r>
      <w:r w:rsidRPr="00C77E77">
        <w:rPr>
          <w:rFonts w:ascii="Times New Roman" w:eastAsia="標楷體" w:hAnsi="Times New Roman" w:cs="Times New Roman"/>
          <w:sz w:val="28"/>
          <w:szCs w:val="28"/>
        </w:rPr>
        <w:t>SBG</w:t>
      </w:r>
      <w:r w:rsidRPr="00C77E77">
        <w:rPr>
          <w:rFonts w:ascii="Times New Roman" w:eastAsia="標楷體" w:hAnsi="Times New Roman" w:cs="Times New Roman"/>
          <w:sz w:val="28"/>
          <w:szCs w:val="28"/>
        </w:rPr>
        <w:t>潔淨能源科技公司（</w:t>
      </w:r>
      <w:r w:rsidRPr="00C77E77">
        <w:rPr>
          <w:rFonts w:ascii="Times New Roman" w:eastAsia="標楷體" w:hAnsi="Times New Roman" w:cs="Times New Roman"/>
          <w:sz w:val="28"/>
          <w:szCs w:val="28"/>
        </w:rPr>
        <w:t>SBG Cleantech</w:t>
      </w:r>
      <w:r w:rsidRPr="00C77E77">
        <w:rPr>
          <w:rFonts w:ascii="Times New Roman" w:eastAsia="標楷體" w:hAnsi="Times New Roman" w:cs="Times New Roman"/>
          <w:sz w:val="28"/>
          <w:szCs w:val="28"/>
        </w:rPr>
        <w:t>），在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年取得座落在印度南部安德拉省（</w:t>
      </w:r>
      <w:r w:rsidRPr="00C77E77">
        <w:rPr>
          <w:rFonts w:ascii="Times New Roman" w:eastAsia="標楷體" w:hAnsi="Times New Roman" w:cs="Times New Roman"/>
          <w:sz w:val="28"/>
          <w:szCs w:val="28"/>
        </w:rPr>
        <w:t>Andhra Pradesh</w:t>
      </w:r>
      <w:r w:rsidRPr="00C77E77">
        <w:rPr>
          <w:rFonts w:ascii="Times New Roman" w:eastAsia="標楷體" w:hAnsi="Times New Roman" w:cs="Times New Roman"/>
          <w:sz w:val="28"/>
          <w:szCs w:val="28"/>
        </w:rPr>
        <w:t>）甘尼（</w:t>
      </w:r>
      <w:r w:rsidRPr="00C77E77">
        <w:rPr>
          <w:rFonts w:ascii="Times New Roman" w:eastAsia="標楷體" w:hAnsi="Times New Roman" w:cs="Times New Roman"/>
          <w:sz w:val="28"/>
          <w:szCs w:val="28"/>
        </w:rPr>
        <w:t>Ghani</w:t>
      </w:r>
      <w:r w:rsidRPr="00C77E77">
        <w:rPr>
          <w:rFonts w:ascii="Times New Roman" w:eastAsia="標楷體" w:hAnsi="Times New Roman" w:cs="Times New Roman"/>
          <w:sz w:val="28"/>
          <w:szCs w:val="28"/>
        </w:rPr>
        <w:t>）太陽能園區的</w:t>
      </w:r>
      <w:r w:rsidRPr="00C77E77">
        <w:rPr>
          <w:rFonts w:ascii="Times New Roman" w:eastAsia="標楷體" w:hAnsi="Times New Roman" w:cs="Times New Roman"/>
          <w:sz w:val="28"/>
          <w:szCs w:val="28"/>
        </w:rPr>
        <w:t>350</w:t>
      </w:r>
      <w:r w:rsidRPr="00C77E77">
        <w:rPr>
          <w:rFonts w:ascii="Times New Roman" w:eastAsia="標楷體" w:hAnsi="Times New Roman" w:cs="Times New Roman"/>
          <w:sz w:val="28"/>
          <w:szCs w:val="28"/>
        </w:rPr>
        <w:t>百萬瓦太陽能專案。</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印度的市場需求雖然高，但限制也多。由於印度太陽光電政策肩負促進經濟使命，因此對競標機制主管單位和流程複雜，且須提供保證金，近年來印度更加上本地條款（</w:t>
      </w:r>
      <w:r w:rsidRPr="00C77E77">
        <w:rPr>
          <w:rFonts w:ascii="Times New Roman" w:eastAsia="標楷體" w:hAnsi="Times New Roman" w:cs="Times New Roman"/>
          <w:sz w:val="28"/>
          <w:szCs w:val="28"/>
        </w:rPr>
        <w:t>Domestic Content Requirement, DCR</w:t>
      </w:r>
      <w:r w:rsidRPr="00C77E77">
        <w:rPr>
          <w:rFonts w:ascii="Times New Roman" w:eastAsia="標楷體" w:hAnsi="Times New Roman" w:cs="Times New Roman"/>
          <w:sz w:val="28"/>
          <w:szCs w:val="28"/>
        </w:rPr>
        <w:t>）限制，針對太陽光電購電要求採用在地化產品，規定太陽光電系統內組件必須達到一定比例屬當地製造，壓縮廠商獲利和提高外商進入門檻。印度也在</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對我國的太陽光電產品進行反傾銷調查，提高關稅稅率。但由於看好印度市場的未來成長，許多外商仍積極前往印度設廠，以中國大陸廠商最積極。我國如果要前往印度設廠，也必須考慮與大陸廠商競爭的情況。</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泰國則是東協最大的太陽光電安裝國，正好擠進全球前十名。國際能源機構（</w:t>
      </w:r>
      <w:r w:rsidRPr="00C77E77">
        <w:rPr>
          <w:rFonts w:ascii="Times New Roman" w:eastAsia="標楷體" w:hAnsi="Times New Roman" w:cs="Times New Roman"/>
          <w:sz w:val="28"/>
          <w:szCs w:val="28"/>
        </w:rPr>
        <w:t>IEA</w:t>
      </w:r>
      <w:r w:rsidRPr="00C77E77">
        <w:rPr>
          <w:rFonts w:ascii="Times New Roman" w:eastAsia="標楷體" w:hAnsi="Times New Roman" w:cs="Times New Roman"/>
          <w:sz w:val="28"/>
          <w:szCs w:val="28"/>
        </w:rPr>
        <w:t>）預估，東南亞整體太陽能發電產量將在</w:t>
      </w:r>
      <w:r w:rsidRPr="00C77E77">
        <w:rPr>
          <w:rFonts w:ascii="Times New Roman" w:eastAsia="標楷體" w:hAnsi="Times New Roman" w:cs="Times New Roman"/>
          <w:sz w:val="28"/>
          <w:szCs w:val="28"/>
        </w:rPr>
        <w:t>2040</w:t>
      </w:r>
      <w:r w:rsidRPr="00C77E77">
        <w:rPr>
          <w:rFonts w:ascii="Times New Roman" w:eastAsia="標楷體" w:hAnsi="Times New Roman" w:cs="Times New Roman"/>
          <w:sz w:val="28"/>
          <w:szCs w:val="28"/>
        </w:rPr>
        <w:t>年達到</w:t>
      </w:r>
      <w:r w:rsidRPr="00C77E77">
        <w:rPr>
          <w:rFonts w:ascii="Times New Roman" w:eastAsia="標楷體" w:hAnsi="Times New Roman" w:cs="Times New Roman"/>
          <w:sz w:val="28"/>
          <w:szCs w:val="28"/>
        </w:rPr>
        <w:t>3,300</w:t>
      </w:r>
      <w:r w:rsidRPr="00C77E77">
        <w:rPr>
          <w:rFonts w:ascii="Times New Roman" w:eastAsia="標楷體" w:hAnsi="Times New Roman" w:cs="Times New Roman"/>
          <w:sz w:val="28"/>
          <w:szCs w:val="28"/>
        </w:rPr>
        <w:t>萬</w:t>
      </w:r>
      <w:r w:rsidRPr="00C77E77">
        <w:rPr>
          <w:rFonts w:ascii="Times New Roman" w:eastAsia="標楷體" w:hAnsi="Times New Roman" w:cs="Times New Roman"/>
          <w:sz w:val="28"/>
          <w:szCs w:val="28"/>
        </w:rPr>
        <w:t>kW</w:t>
      </w:r>
      <w:r w:rsidRPr="00C77E77">
        <w:rPr>
          <w:rFonts w:ascii="Times New Roman" w:eastAsia="標楷體" w:hAnsi="Times New Roman" w:cs="Times New Roman"/>
          <w:sz w:val="28"/>
          <w:szCs w:val="28"/>
        </w:rPr>
        <w:t>，未來</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年太陽能發電投資額將高達</w:t>
      </w:r>
      <w:r w:rsidRPr="00C77E77">
        <w:rPr>
          <w:rFonts w:ascii="Times New Roman" w:eastAsia="標楷體" w:hAnsi="Times New Roman" w:cs="Times New Roman"/>
          <w:sz w:val="28"/>
          <w:szCs w:val="28"/>
        </w:rPr>
        <w:t>900</w:t>
      </w:r>
      <w:r w:rsidRPr="00C77E77">
        <w:rPr>
          <w:rFonts w:ascii="Times New Roman" w:eastAsia="標楷體" w:hAnsi="Times New Roman" w:cs="Times New Roman"/>
          <w:sz w:val="28"/>
          <w:szCs w:val="28"/>
        </w:rPr>
        <w:t>億美元。泰國政府在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年制定新再生能源使用計畫，投入逾</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億美元資金，擬改變七成仰賴石油能源的使用現狀，太陽能發電量能擴增至</w:t>
      </w:r>
      <w:r w:rsidRPr="00C77E77">
        <w:rPr>
          <w:rFonts w:ascii="Times New Roman" w:eastAsia="標楷體" w:hAnsi="Times New Roman" w:cs="Times New Roman"/>
          <w:sz w:val="28"/>
          <w:szCs w:val="28"/>
        </w:rPr>
        <w:t>6,000MW</w:t>
      </w:r>
      <w:r w:rsidRPr="00C77E77">
        <w:rPr>
          <w:rFonts w:ascii="Times New Roman" w:eastAsia="標楷體" w:hAnsi="Times New Roman" w:cs="Times New Roman"/>
          <w:sz w:val="28"/>
          <w:szCs w:val="28"/>
        </w:rPr>
        <w:t>，占總發電量的比率上升至</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％，讓太陽能發電量一舉超越東南亞各國總和，泰國並計劃在</w:t>
      </w:r>
      <w:r w:rsidRPr="00C77E77">
        <w:rPr>
          <w:rFonts w:ascii="Times New Roman" w:eastAsia="標楷體" w:hAnsi="Times New Roman" w:cs="Times New Roman"/>
          <w:sz w:val="28"/>
          <w:szCs w:val="28"/>
        </w:rPr>
        <w:t>2036</w:t>
      </w:r>
      <w:r w:rsidRPr="00C77E77">
        <w:rPr>
          <w:rFonts w:ascii="Times New Roman" w:eastAsia="標楷體" w:hAnsi="Times New Roman" w:cs="Times New Roman"/>
          <w:sz w:val="28"/>
          <w:szCs w:val="28"/>
        </w:rPr>
        <w:t>年前生產</w:t>
      </w:r>
      <w:r w:rsidRPr="00C77E77">
        <w:rPr>
          <w:rFonts w:ascii="Times New Roman" w:eastAsia="標楷體" w:hAnsi="Times New Roman" w:cs="Times New Roman"/>
          <w:sz w:val="28"/>
          <w:szCs w:val="28"/>
        </w:rPr>
        <w:t>2,000</w:t>
      </w:r>
      <w:r w:rsidRPr="00C77E77">
        <w:rPr>
          <w:rFonts w:ascii="Times New Roman" w:eastAsia="標楷體" w:hAnsi="Times New Roman" w:cs="Times New Roman"/>
          <w:sz w:val="28"/>
          <w:szCs w:val="28"/>
        </w:rPr>
        <w:t>萬</w:t>
      </w:r>
      <w:r w:rsidRPr="00C77E77">
        <w:rPr>
          <w:rFonts w:ascii="Times New Roman" w:eastAsia="標楷體" w:hAnsi="Times New Roman" w:cs="Times New Roman"/>
          <w:sz w:val="28"/>
          <w:szCs w:val="28"/>
        </w:rPr>
        <w:t>kW</w:t>
      </w:r>
      <w:r w:rsidRPr="00C77E77">
        <w:rPr>
          <w:rFonts w:ascii="Times New Roman" w:eastAsia="標楷體" w:hAnsi="Times New Roman" w:cs="Times New Roman"/>
          <w:sz w:val="28"/>
          <w:szCs w:val="28"/>
        </w:rPr>
        <w:t>再生能源，其中太陽能預計</w:t>
      </w:r>
      <w:r w:rsidRPr="00C77E77">
        <w:rPr>
          <w:rFonts w:ascii="Times New Roman" w:eastAsia="標楷體" w:hAnsi="Times New Roman" w:cs="Times New Roman"/>
          <w:sz w:val="28"/>
          <w:szCs w:val="28"/>
        </w:rPr>
        <w:t>600</w:t>
      </w:r>
      <w:r w:rsidRPr="00C77E77">
        <w:rPr>
          <w:rFonts w:ascii="Times New Roman" w:eastAsia="標楷體" w:hAnsi="Times New Roman" w:cs="Times New Roman"/>
          <w:sz w:val="28"/>
          <w:szCs w:val="28"/>
        </w:rPr>
        <w:t>萬</w:t>
      </w:r>
      <w:r w:rsidRPr="00C77E77">
        <w:rPr>
          <w:rFonts w:ascii="Times New Roman" w:eastAsia="標楷體" w:hAnsi="Times New Roman" w:cs="Times New Roman"/>
          <w:sz w:val="28"/>
          <w:szCs w:val="28"/>
        </w:rPr>
        <w:t>kW</w:t>
      </w:r>
      <w:r w:rsidRPr="00C77E77">
        <w:rPr>
          <w:rFonts w:ascii="Times New Roman" w:eastAsia="標楷體" w:hAnsi="Times New Roman" w:cs="Times New Roman"/>
          <w:sz w:val="28"/>
          <w:szCs w:val="28"/>
        </w:rPr>
        <w:t>，佔再生能源比例</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％，同時實施再生能源固定價格收購制度，此政策已帶動企業成長並吸引海外廠商進駐。</w:t>
      </w:r>
      <w:r w:rsidRPr="00C77E77">
        <w:rPr>
          <w:rStyle w:val="a9"/>
          <w:rFonts w:ascii="Times New Roman" w:eastAsia="標楷體" w:hAnsi="Times New Roman" w:cs="Times New Roman"/>
          <w:sz w:val="28"/>
          <w:szCs w:val="28"/>
        </w:rPr>
        <w:footnoteReference w:id="113"/>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事實上，泰國太陽能發電量在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年已經擴大至</w:t>
      </w:r>
      <w:r w:rsidRPr="00C77E77">
        <w:rPr>
          <w:rFonts w:ascii="Times New Roman" w:eastAsia="標楷體" w:hAnsi="Times New Roman" w:cs="Times New Roman"/>
          <w:sz w:val="28"/>
          <w:szCs w:val="28"/>
        </w:rPr>
        <w:t>2,800MW</w:t>
      </w:r>
      <w:r w:rsidRPr="00C77E77">
        <w:rPr>
          <w:rFonts w:ascii="Times New Roman" w:eastAsia="標楷體" w:hAnsi="Times New Roman" w:cs="Times New Roman"/>
          <w:sz w:val="28"/>
          <w:szCs w:val="28"/>
        </w:rPr>
        <w:t>，讓泰國躍居東南亞太陽能第一大國。泰國一度擁有充沛天然氣蘊藏，但專家預測將在</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年內耗盡，迫使泰國依賴進口燃料的程度高於其他東南亞國家（新加坡除外）。</w:t>
      </w:r>
      <w:r w:rsidRPr="00C77E77">
        <w:rPr>
          <w:rStyle w:val="a9"/>
          <w:rFonts w:ascii="Times New Roman" w:eastAsia="標楷體" w:hAnsi="Times New Roman" w:cs="Times New Roman"/>
          <w:sz w:val="28"/>
          <w:szCs w:val="28"/>
        </w:rPr>
        <w:footnoteReference w:id="114"/>
      </w:r>
      <w:r w:rsidRPr="00C77E77">
        <w:rPr>
          <w:rFonts w:ascii="Times New Roman" w:eastAsia="標楷體" w:hAnsi="Times New Roman" w:cs="Times New Roman"/>
          <w:sz w:val="28"/>
          <w:szCs w:val="28"/>
        </w:rPr>
        <w:t>以此觀之，未來十年，泰國將成為新南向政策在太陽光電產業的重點市場。</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除泰國之外，菲律賓與新加坡也可望達成太陽能發電普及。新加坡建屋發展局（</w:t>
      </w:r>
      <w:r w:rsidRPr="00C77E77">
        <w:rPr>
          <w:rFonts w:ascii="Times New Roman" w:eastAsia="標楷體" w:hAnsi="Times New Roman" w:cs="Times New Roman"/>
          <w:sz w:val="28"/>
          <w:szCs w:val="28"/>
        </w:rPr>
        <w:t>HDB</w:t>
      </w:r>
      <w:r w:rsidRPr="00C77E77">
        <w:rPr>
          <w:rFonts w:ascii="Times New Roman" w:eastAsia="標楷體" w:hAnsi="Times New Roman" w:cs="Times New Roman"/>
          <w:sz w:val="28"/>
          <w:szCs w:val="28"/>
        </w:rPr>
        <w:t>）與其他政府部門合作展開太陽能板招標工程，在國宅、公共設施屋頂架設太陽能面板，未來新加坡國防部及教育部屬下的軍營及學校有望裝置太陽能板，進而發展新加坡綠色能源產業。新加坡於</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起實施太陽能板外包租賃模式，由私人企業負責在組屋（國宅）上設計、安裝、經營及保養太陽能板，並支付相關費用，政府則承擔小部分前期推動成本。一旦太陽能板投入運作，所產生電力可提供組屋公共設施（電梯及走廊等）照明使用，新加坡市鎮理事會會（組屋管理委員會）再據以向太陽能板承包商支付電費。</w:t>
      </w:r>
      <w:r w:rsidRPr="00C77E77">
        <w:rPr>
          <w:rStyle w:val="a9"/>
          <w:rFonts w:ascii="Times New Roman" w:eastAsia="標楷體" w:hAnsi="Times New Roman" w:cs="Times New Roman"/>
          <w:sz w:val="28"/>
          <w:szCs w:val="28"/>
        </w:rPr>
        <w:footnoteReference w:id="115"/>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月新加坡政府推動</w:t>
      </w:r>
      <w:r w:rsidRPr="00C77E77">
        <w:rPr>
          <w:rFonts w:ascii="Times New Roman" w:eastAsia="標楷體" w:hAnsi="Times New Roman" w:cs="Times New Roman"/>
          <w:sz w:val="28"/>
          <w:szCs w:val="28"/>
        </w:rPr>
        <w:t>SolarNova</w:t>
      </w:r>
      <w:r w:rsidRPr="00C77E77">
        <w:rPr>
          <w:rFonts w:ascii="Times New Roman" w:eastAsia="標楷體" w:hAnsi="Times New Roman" w:cs="Times New Roman"/>
          <w:sz w:val="28"/>
          <w:szCs w:val="28"/>
        </w:rPr>
        <w:t>計劃，展開首個太陽能板批量招標活動，推動太陽能在政府建築和空間的使用。</w:t>
      </w:r>
      <w:r w:rsidRPr="00C77E77">
        <w:rPr>
          <w:rFonts w:ascii="Times New Roman" w:eastAsia="標楷體" w:hAnsi="Times New Roman" w:cs="Times New Roman"/>
          <w:sz w:val="28"/>
          <w:szCs w:val="28"/>
        </w:rPr>
        <w:t>SolarNova</w:t>
      </w:r>
      <w:r w:rsidRPr="00C77E77">
        <w:rPr>
          <w:rFonts w:ascii="Times New Roman" w:eastAsia="標楷體" w:hAnsi="Times New Roman" w:cs="Times New Roman"/>
          <w:sz w:val="28"/>
          <w:szCs w:val="28"/>
        </w:rPr>
        <w:t>計劃的目標，是到</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年新加坡公共領域的太陽能板發電量須達到</w:t>
      </w:r>
      <w:r w:rsidRPr="00C77E77">
        <w:rPr>
          <w:rFonts w:ascii="Times New Roman" w:eastAsia="標楷體" w:hAnsi="Times New Roman" w:cs="Times New Roman"/>
          <w:sz w:val="28"/>
          <w:szCs w:val="28"/>
        </w:rPr>
        <w:t>350MW</w:t>
      </w:r>
      <w:r w:rsidRPr="00C77E77">
        <w:rPr>
          <w:rFonts w:ascii="Times New Roman" w:eastAsia="標楷體" w:hAnsi="Times New Roman" w:cs="Times New Roman"/>
          <w:sz w:val="28"/>
          <w:szCs w:val="28"/>
        </w:rPr>
        <w:t>。</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不過，由於新加坡太陽能市場的競爭激烈，因此市場吸引力恐怕還不如菲律賓。</w:t>
      </w:r>
      <w:r w:rsidRPr="00C77E77">
        <w:rPr>
          <w:rStyle w:val="a9"/>
          <w:rFonts w:ascii="Times New Roman" w:eastAsia="標楷體" w:hAnsi="Times New Roman" w:cs="Times New Roman"/>
          <w:sz w:val="28"/>
          <w:szCs w:val="28"/>
        </w:rPr>
        <w:footnoteReference w:id="116"/>
      </w:r>
      <w:r w:rsidRPr="00C77E77">
        <w:rPr>
          <w:rFonts w:ascii="Times New Roman" w:eastAsia="標楷體" w:hAnsi="Times New Roman" w:cs="Times New Roman"/>
          <w:sz w:val="28"/>
          <w:szCs w:val="28"/>
        </w:rPr>
        <w:t>與新加坡專注於屋頂併網應用不同，菲律賓的地面電廠併網有較高的市場需求。菲律賓目前的電力覆蓋率不高，而且菲律賓的日照強度為東南亞第二，平均每日有</w:t>
      </w:r>
      <w:r w:rsidRPr="00C77E77">
        <w:rPr>
          <w:rFonts w:ascii="Times New Roman" w:eastAsia="標楷體" w:hAnsi="Times New Roman" w:cs="Times New Roman"/>
          <w:sz w:val="28"/>
          <w:szCs w:val="28"/>
        </w:rPr>
        <w:t>4.5</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小時的日照，適合太陽能發電</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而且菲律賓</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度電價格可達</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元（臺灣</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度電約</w:t>
      </w:r>
      <w:r w:rsidRPr="00C77E77">
        <w:rPr>
          <w:rFonts w:ascii="Times New Roman" w:eastAsia="標楷體" w:hAnsi="Times New Roman" w:cs="Times New Roman"/>
          <w:sz w:val="28"/>
          <w:szCs w:val="28"/>
        </w:rPr>
        <w:t>4.5</w:t>
      </w:r>
      <w:r w:rsidRPr="00C77E77">
        <w:rPr>
          <w:rFonts w:ascii="Times New Roman" w:eastAsia="標楷體" w:hAnsi="Times New Roman" w:cs="Times New Roman"/>
          <w:sz w:val="28"/>
          <w:szCs w:val="28"/>
        </w:rPr>
        <w:t>元），政府還提供</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年免稅優惠，營收比在臺灣建廠多</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w:t>
      </w:r>
      <w:r w:rsidR="00A331F7" w:rsidRPr="00C77E77">
        <w:rPr>
          <w:rFonts w:ascii="Times New Roman" w:eastAsia="標楷體" w:hAnsi="Times New Roman" w:cs="Times New Roman"/>
          <w:sz w:val="28"/>
          <w:szCs w:val="28"/>
        </w:rPr>
        <w:t>，</w:t>
      </w:r>
      <w:r w:rsidRPr="00C77E77">
        <w:rPr>
          <w:rStyle w:val="a9"/>
          <w:rFonts w:ascii="Times New Roman" w:eastAsia="標楷體" w:hAnsi="Times New Roman" w:cs="Times New Roman"/>
          <w:sz w:val="28"/>
          <w:szCs w:val="28"/>
        </w:rPr>
        <w:footnoteReference w:id="117"/>
      </w:r>
      <w:r w:rsidRPr="00C77E77">
        <w:rPr>
          <w:rFonts w:ascii="Times New Roman" w:eastAsia="標楷體" w:hAnsi="Times New Roman" w:cs="Times New Roman"/>
          <w:sz w:val="28"/>
          <w:szCs w:val="28"/>
        </w:rPr>
        <w:t>在小型太陽能系統方面的市場前景樂觀。但菲律</w:t>
      </w:r>
      <w:r w:rsidRPr="00C77E77">
        <w:rPr>
          <w:rFonts w:ascii="Times New Roman" w:eastAsia="標楷體" w:hAnsi="Times New Roman" w:cs="Times New Roman"/>
          <w:sz w:val="28"/>
          <w:szCs w:val="28"/>
        </w:rPr>
        <w:lastRenderedPageBreak/>
        <w:t>賓新任總統上任後，菲律賓的政治與社會進入動盪期，連帶影響投資風險升高，這亦是臺商前往菲律賓投資時必須考量的因素。</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相較於泰國與菲律賓的政治環境不穩定，馬來西亞的政經穩定度高，廠商交易相對其他東南亞市場透明，是相對友善的投資環境。但馬來西亞本身就是太陽能面板的出口國，是全球太陽能面板第三大生產商，僅次於中國大陸與歐盟。</w:t>
      </w:r>
      <w:r w:rsidRPr="00C77E77">
        <w:rPr>
          <w:rStyle w:val="a9"/>
          <w:rFonts w:ascii="Times New Roman" w:eastAsia="標楷體" w:hAnsi="Times New Roman" w:cs="Times New Roman"/>
          <w:sz w:val="28"/>
          <w:szCs w:val="28"/>
        </w:rPr>
        <w:footnoteReference w:id="118"/>
      </w:r>
      <w:r w:rsidRPr="00C77E77">
        <w:rPr>
          <w:rFonts w:ascii="Times New Roman" w:eastAsia="標楷體" w:hAnsi="Times New Roman" w:cs="Times New Roman"/>
          <w:sz w:val="28"/>
          <w:szCs w:val="28"/>
        </w:rPr>
        <w:t>美國「雙反」與歐盟配額制，影響中國大陸太陽能面板出口表現，馬來西亞趁勢崛起為全球太陽能貿易戰最大贏家。事實上，我國已有許多臺商布局投資馬來西亞，友達光電便於</w:t>
      </w:r>
      <w:r w:rsidRPr="00C77E77">
        <w:rPr>
          <w:rFonts w:ascii="Times New Roman" w:eastAsia="標楷體" w:hAnsi="Times New Roman" w:cs="Times New Roman"/>
          <w:sz w:val="28"/>
          <w:szCs w:val="28"/>
        </w:rPr>
        <w:t>2010</w:t>
      </w:r>
      <w:r w:rsidRPr="00C77E77">
        <w:rPr>
          <w:rFonts w:ascii="Times New Roman" w:eastAsia="標楷體" w:hAnsi="Times New Roman" w:cs="Times New Roman"/>
          <w:sz w:val="28"/>
          <w:szCs w:val="28"/>
        </w:rPr>
        <w:t>年與美商</w:t>
      </w:r>
      <w:r w:rsidRPr="00C77E77">
        <w:rPr>
          <w:rFonts w:ascii="Times New Roman" w:eastAsia="標楷體" w:hAnsi="Times New Roman" w:cs="Times New Roman"/>
          <w:sz w:val="28"/>
          <w:szCs w:val="28"/>
        </w:rPr>
        <w:t>SunPower</w:t>
      </w:r>
      <w:r w:rsidRPr="00C77E77">
        <w:rPr>
          <w:rFonts w:ascii="Times New Roman" w:eastAsia="標楷體" w:hAnsi="Times New Roman" w:cs="Times New Roman"/>
          <w:sz w:val="28"/>
          <w:szCs w:val="28"/>
        </w:rPr>
        <w:t>合作馬來西亞建了一座太陽能電池廠，並於</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年開始營運。</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越南則已訂定《國家能源到</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年展望</w:t>
      </w:r>
      <w:r w:rsidRPr="00C77E77">
        <w:rPr>
          <w:rFonts w:ascii="Times New Roman" w:eastAsia="標楷體" w:hAnsi="Times New Roman" w:cs="Times New Roman"/>
          <w:sz w:val="28"/>
          <w:szCs w:val="28"/>
        </w:rPr>
        <w:t>2050</w:t>
      </w:r>
      <w:r w:rsidRPr="00C77E77">
        <w:rPr>
          <w:rFonts w:ascii="Times New Roman" w:eastAsia="標楷體" w:hAnsi="Times New Roman" w:cs="Times New Roman"/>
          <w:sz w:val="28"/>
          <w:szCs w:val="28"/>
        </w:rPr>
        <w:t>年發展規劃》，到</w:t>
      </w:r>
      <w:r w:rsidRPr="00C77E77">
        <w:rPr>
          <w:rFonts w:ascii="Times New Roman" w:eastAsia="標楷體" w:hAnsi="Times New Roman" w:cs="Times New Roman"/>
          <w:sz w:val="28"/>
          <w:szCs w:val="28"/>
        </w:rPr>
        <w:t>2030</w:t>
      </w:r>
      <w:r w:rsidRPr="00C77E77">
        <w:rPr>
          <w:rFonts w:ascii="Times New Roman" w:eastAsia="標楷體" w:hAnsi="Times New Roman" w:cs="Times New Roman"/>
          <w:sz w:val="28"/>
          <w:szCs w:val="28"/>
        </w:rPr>
        <w:t>年，太陽能發電量將占其再生能源發電量的</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％，以減少對火電廠的依賴，控制溫室氣體排放，促進綠色能源工業發展。</w:t>
      </w:r>
      <w:r w:rsidRPr="00C77E77">
        <w:rPr>
          <w:rStyle w:val="a9"/>
          <w:rFonts w:ascii="Times New Roman" w:eastAsia="標楷體" w:hAnsi="Times New Roman" w:cs="Times New Roman"/>
          <w:sz w:val="28"/>
          <w:szCs w:val="28"/>
        </w:rPr>
        <w:footnoteReference w:id="119"/>
      </w:r>
      <w:r w:rsidRPr="00C77E77">
        <w:rPr>
          <w:rFonts w:ascii="Times New Roman" w:eastAsia="標楷體" w:hAnsi="Times New Roman" w:cs="Times New Roman"/>
          <w:sz w:val="28"/>
          <w:szCs w:val="28"/>
        </w:rPr>
        <w:t>就目前而言，越南的太陽光電產業尚在起步階段，後勢可期。</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總體而言，印度、泰國、馬來西亞、新加坡、菲律賓、越南，這六個國家將是新南向政策下，太陽光電產業貿易或投資的主要市場。</w:t>
      </w:r>
    </w:p>
    <w:p w:rsidR="00967390" w:rsidRPr="00C77E77" w:rsidRDefault="00967390" w:rsidP="00967390">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二、</w:t>
      </w:r>
      <w:r w:rsidRPr="00C77E77">
        <w:rPr>
          <w:rFonts w:ascii="Times New Roman" w:eastAsia="標楷體" w:hAnsi="Times New Roman" w:cs="Times New Roman"/>
          <w:b/>
          <w:sz w:val="28"/>
          <w:szCs w:val="28"/>
        </w:rPr>
        <w:t>LED</w:t>
      </w:r>
      <w:r w:rsidRPr="00C77E77">
        <w:rPr>
          <w:rFonts w:ascii="Times New Roman" w:eastAsia="標楷體" w:hAnsi="Times New Roman" w:cs="Times New Roman"/>
          <w:b/>
          <w:sz w:val="28"/>
          <w:szCs w:val="28"/>
        </w:rPr>
        <w:t>照明產業</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過去我國的</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出口貿易以中國大陸為主，但隨著歐、美、日本等地區的</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照明產業逐漸成熟，中國大陸本土的市場的競爭也趨於白熱化，進入拼規模、拼價格的時代。東協共同體的成立，更讓</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廠商對新興東南亞國家市場的關注度逐年增高。根據</w:t>
      </w:r>
      <w:r w:rsidRPr="00C77E77">
        <w:rPr>
          <w:rFonts w:ascii="Times New Roman" w:eastAsia="標楷體" w:hAnsi="Times New Roman" w:cs="Times New Roman"/>
          <w:sz w:val="28"/>
          <w:szCs w:val="28"/>
        </w:rPr>
        <w:t>LEDinside</w:t>
      </w:r>
      <w:r w:rsidRPr="00C77E77">
        <w:rPr>
          <w:rFonts w:ascii="Times New Roman" w:eastAsia="標楷體" w:hAnsi="Times New Roman" w:cs="Times New Roman"/>
          <w:sz w:val="28"/>
          <w:szCs w:val="28"/>
        </w:rPr>
        <w:t>最新報告指出，以東南亞六大主要國家（泰國、新加坡、馬來西亞、越南、印尼、菲律賓）推估</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lastRenderedPageBreak/>
        <w:t>年東南亞總體照明市場規模約</w:t>
      </w:r>
      <w:r w:rsidRPr="00C77E77">
        <w:rPr>
          <w:rFonts w:ascii="Times New Roman" w:eastAsia="標楷體" w:hAnsi="Times New Roman" w:cs="Times New Roman"/>
          <w:sz w:val="28"/>
          <w:szCs w:val="28"/>
        </w:rPr>
        <w:t>48</w:t>
      </w:r>
      <w:r w:rsidRPr="00C77E77">
        <w:rPr>
          <w:rFonts w:ascii="Times New Roman" w:eastAsia="標楷體" w:hAnsi="Times New Roman" w:cs="Times New Roman"/>
          <w:sz w:val="28"/>
          <w:szCs w:val="28"/>
        </w:rPr>
        <w:t>億美金，其中</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照明規模為</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億美金左右。至</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照明規模預計成長至</w:t>
      </w:r>
      <w:r w:rsidRPr="00C77E77">
        <w:rPr>
          <w:rFonts w:ascii="Times New Roman" w:eastAsia="標楷體" w:hAnsi="Times New Roman" w:cs="Times New Roman"/>
          <w:sz w:val="28"/>
          <w:szCs w:val="28"/>
        </w:rPr>
        <w:t>19</w:t>
      </w:r>
      <w:r w:rsidRPr="00C77E77">
        <w:rPr>
          <w:rFonts w:ascii="Times New Roman" w:eastAsia="標楷體" w:hAnsi="Times New Roman" w:cs="Times New Roman"/>
          <w:sz w:val="28"/>
          <w:szCs w:val="28"/>
        </w:rPr>
        <w:t>億美金。</w:t>
      </w:r>
      <w:r w:rsidRPr="00C77E77">
        <w:rPr>
          <w:rStyle w:val="a9"/>
          <w:rFonts w:ascii="Times New Roman" w:eastAsia="標楷體" w:hAnsi="Times New Roman" w:cs="Times New Roman"/>
          <w:sz w:val="28"/>
          <w:szCs w:val="28"/>
        </w:rPr>
        <w:footnoteReference w:id="120"/>
      </w:r>
      <w:r w:rsidRPr="00C77E77">
        <w:rPr>
          <w:rFonts w:ascii="Times New Roman" w:eastAsia="標楷體" w:hAnsi="Times New Roman" w:cs="Times New Roman"/>
          <w:sz w:val="28"/>
          <w:szCs w:val="28"/>
        </w:rPr>
        <w:t>其主因是因為東南亞整體電價偏高，高昂的電費也就帶來節能之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燈具的市場需求。而且隨著近起年來國際大廠紛紛前往東南亞設廠，在</w:t>
      </w:r>
      <w:r w:rsidRPr="00C77E77">
        <w:rPr>
          <w:rFonts w:ascii="Times New Roman" w:eastAsia="標楷體" w:hAnsi="Times New Roman" w:cs="Times New Roman"/>
          <w:sz w:val="28"/>
          <w:szCs w:val="28"/>
        </w:rPr>
        <w:t>24</w:t>
      </w:r>
      <w:r w:rsidRPr="00C77E77">
        <w:rPr>
          <w:rFonts w:ascii="Times New Roman" w:eastAsia="標楷體" w:hAnsi="Times New Roman" w:cs="Times New Roman"/>
          <w:sz w:val="28"/>
          <w:szCs w:val="28"/>
        </w:rPr>
        <w:t>小時生產線不停的情況下，工廠基於省電而採用</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照明的比例也逐漸提升。由於</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照明的價格較高，因此過去東南亞對於一般民用</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照明的接受程度並不高，但隨著東南亞幾個主要國家經濟水準的提高，人均照明需求也相應提升，因此成為國內廠商關注的新興市場。目前看來，東南亞正逐漸成為中國大陸</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廠商照明產品的主要出口市場，尤其是越南，為東南亞</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照明需求成長最快的國家。</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馬來西亞不但是在太陽能電池上是臺灣的主要貿易對象，在</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光電照明上也是重要的區域合作夥伴。</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年臺灣與馬來西亞雙邊貿易金額為</w:t>
      </w:r>
      <w:r w:rsidRPr="00C77E77">
        <w:rPr>
          <w:rFonts w:ascii="Times New Roman" w:eastAsia="標楷體" w:hAnsi="Times New Roman" w:cs="Times New Roman"/>
          <w:sz w:val="28"/>
          <w:szCs w:val="28"/>
        </w:rPr>
        <w:t>144.47</w:t>
      </w:r>
      <w:r w:rsidRPr="00C77E77">
        <w:rPr>
          <w:rFonts w:ascii="Times New Roman" w:eastAsia="標楷體" w:hAnsi="Times New Roman" w:cs="Times New Roman"/>
          <w:sz w:val="28"/>
          <w:szCs w:val="28"/>
        </w:rPr>
        <w:t>億美元；其中太陽能電池貿易金額為</w:t>
      </w:r>
      <w:r w:rsidRPr="00C77E77">
        <w:rPr>
          <w:rFonts w:ascii="Times New Roman" w:eastAsia="標楷體" w:hAnsi="Times New Roman" w:cs="Times New Roman"/>
          <w:sz w:val="28"/>
          <w:szCs w:val="28"/>
        </w:rPr>
        <w:t>3.2</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光電照明燈之貿易金額則為</w:t>
      </w:r>
      <w:r w:rsidRPr="00C77E77">
        <w:rPr>
          <w:rFonts w:ascii="Times New Roman" w:eastAsia="標楷體" w:hAnsi="Times New Roman" w:cs="Times New Roman"/>
          <w:sz w:val="28"/>
          <w:szCs w:val="28"/>
        </w:rPr>
        <w:t>200</w:t>
      </w:r>
      <w:r w:rsidRPr="00C77E77">
        <w:rPr>
          <w:rFonts w:ascii="Times New Roman" w:eastAsia="標楷體" w:hAnsi="Times New Roman" w:cs="Times New Roman"/>
          <w:sz w:val="28"/>
          <w:szCs w:val="28"/>
        </w:rPr>
        <w:t>萬美元，顯見臺灣視馬來西亞為開發綠色產業之重要區域夥伴之一。臺灣</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產品產量為全球第</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位，其中</w:t>
      </w:r>
      <w:r w:rsidRPr="00C77E77">
        <w:rPr>
          <w:rFonts w:ascii="Times New Roman" w:eastAsia="標楷體" w:hAnsi="Times New Roman" w:cs="Times New Roman"/>
          <w:sz w:val="28"/>
          <w:szCs w:val="28"/>
        </w:rPr>
        <w:t>72</w:t>
      </w:r>
      <w:r w:rsidRPr="00C77E77">
        <w:rPr>
          <w:rFonts w:ascii="Times New Roman" w:eastAsia="標楷體" w:hAnsi="Times New Roman" w:cs="Times New Roman"/>
          <w:sz w:val="28"/>
          <w:szCs w:val="28"/>
        </w:rPr>
        <w:t>％外銷，主要出口市場為美國、日本、中國大陸、荷蘭及德國，馬來西亞僅為臺灣外銷</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燈產品市場第</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位，主因為臺灣被排除在東協國家自由貿易協定外，因此臺灣</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照明燈出口至大馬之進口關稅高達</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％，導致無法與他國競爭。</w:t>
      </w:r>
      <w:r w:rsidRPr="00C77E77">
        <w:rPr>
          <w:rStyle w:val="a9"/>
          <w:rFonts w:ascii="Times New Roman" w:eastAsia="標楷體" w:hAnsi="Times New Roman" w:cs="Times New Roman"/>
          <w:sz w:val="28"/>
          <w:szCs w:val="28"/>
        </w:rPr>
        <w:footnoteReference w:id="121"/>
      </w:r>
      <w:r w:rsidRPr="00C77E77">
        <w:rPr>
          <w:rFonts w:ascii="Times New Roman" w:eastAsia="標楷體" w:hAnsi="Times New Roman" w:cs="Times New Roman"/>
          <w:sz w:val="28"/>
          <w:szCs w:val="28"/>
        </w:rPr>
        <w:t>尤其在面對中國大陸具有「東協</w:t>
      </w:r>
      <w:r w:rsidRPr="00C77E77">
        <w:rPr>
          <w:rFonts w:ascii="Times New Roman" w:eastAsia="標楷體" w:hAnsi="Times New Roman" w:cs="Times New Roman"/>
          <w:sz w:val="28"/>
          <w:szCs w:val="28"/>
        </w:rPr>
        <w:t>10+1</w:t>
      </w:r>
      <w:r w:rsidRPr="00C77E77">
        <w:rPr>
          <w:rFonts w:ascii="Times New Roman" w:eastAsia="標楷體" w:hAnsi="Times New Roman" w:cs="Times New Roman"/>
          <w:sz w:val="28"/>
          <w:szCs w:val="28"/>
        </w:rPr>
        <w:t>」的優勢上，臺灣要搶攻東協市場，首先面對的阻撓就是關稅的壓力。</w:t>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照明市場也正迅速成長，由於供電不足，印度政府積極推動使用</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照明，以節省能源。預估</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年市場規模將達</w:t>
      </w:r>
      <w:r w:rsidRPr="00C77E77">
        <w:rPr>
          <w:rFonts w:ascii="Times New Roman" w:eastAsia="標楷體" w:hAnsi="Times New Roman" w:cs="Times New Roman"/>
          <w:sz w:val="28"/>
          <w:szCs w:val="28"/>
        </w:rPr>
        <w:t>11.4</w:t>
      </w:r>
      <w:r w:rsidRPr="00C77E77">
        <w:rPr>
          <w:rFonts w:ascii="Times New Roman" w:eastAsia="標楷體" w:hAnsi="Times New Roman" w:cs="Times New Roman"/>
          <w:sz w:val="28"/>
          <w:szCs w:val="28"/>
        </w:rPr>
        <w:t>億美元，年增</w:t>
      </w:r>
      <w:r w:rsidRPr="00C77E77">
        <w:rPr>
          <w:rFonts w:ascii="Times New Roman" w:eastAsia="標楷體" w:hAnsi="Times New Roman" w:cs="Times New Roman"/>
          <w:sz w:val="28"/>
          <w:szCs w:val="28"/>
        </w:rPr>
        <w:t>47.1</w:t>
      </w:r>
      <w:r w:rsidRPr="00C77E77">
        <w:rPr>
          <w:rFonts w:ascii="Times New Roman" w:eastAsia="標楷體" w:hAnsi="Times New Roman" w:cs="Times New Roman"/>
          <w:sz w:val="28"/>
          <w:szCs w:val="28"/>
        </w:rPr>
        <w:t>％，估</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年將攀升至</w:t>
      </w:r>
      <w:r w:rsidRPr="00C77E77">
        <w:rPr>
          <w:rFonts w:ascii="Times New Roman" w:eastAsia="標楷體" w:hAnsi="Times New Roman" w:cs="Times New Roman"/>
          <w:sz w:val="28"/>
          <w:szCs w:val="28"/>
        </w:rPr>
        <w:t>17.15</w:t>
      </w:r>
      <w:r w:rsidRPr="00C77E77">
        <w:rPr>
          <w:rFonts w:ascii="Times New Roman" w:eastAsia="標楷體" w:hAnsi="Times New Roman" w:cs="Times New Roman"/>
          <w:sz w:val="28"/>
          <w:szCs w:val="28"/>
        </w:rPr>
        <w:t>億美元。而且印度政府有意成為東亞照明產品的出口樞紐，積極招攬國際大廠進駐印度設立全球生產基地。值得注意</w:t>
      </w:r>
      <w:r w:rsidRPr="00C77E77">
        <w:rPr>
          <w:rFonts w:ascii="Times New Roman" w:eastAsia="標楷體" w:hAnsi="Times New Roman" w:cs="Times New Roman"/>
          <w:sz w:val="28"/>
          <w:szCs w:val="28"/>
        </w:rPr>
        <w:lastRenderedPageBreak/>
        <w:t>的是，印度雖然具有龐大的</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照明市場，但也同樣具有成為</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照明出口大國的潛力，尤其是印度政府有意識發展</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照明產業，無論是提供內需或與中國大陸爭食東南亞的外銷市場，須留意印度未來可能成為我國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產業繼中國大陸之後的強勁對手。不過，目前印度</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照明市場仍處於早期成長階段，本土的產業供應鏈並不完整，印度本土</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照明廠商雖然擅於組裝、設計和製造，但其</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晶片和</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封裝全部依賴進口，臺廠可以</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元件與模組供應市場，隨著東亞與東南亞</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照明市場滲透率逐漸增長，臺廠仍有商機。</w:t>
      </w:r>
      <w:r w:rsidRPr="00C77E77">
        <w:rPr>
          <w:rStyle w:val="a9"/>
          <w:rFonts w:ascii="Times New Roman" w:eastAsia="標楷體" w:hAnsi="Times New Roman" w:cs="Times New Roman"/>
          <w:sz w:val="28"/>
          <w:szCs w:val="28"/>
        </w:rPr>
        <w:footnoteReference w:id="122"/>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印度政府已在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月推出</w:t>
      </w:r>
      <w:r w:rsidRPr="00C77E77">
        <w:rPr>
          <w:rFonts w:ascii="Times New Roman" w:eastAsia="標楷體" w:hAnsi="Times New Roman" w:cs="Times New Roman"/>
          <w:sz w:val="28"/>
          <w:szCs w:val="28"/>
        </w:rPr>
        <w:t>UJALA</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Unnat Jyoti by Affordable LEDs for All</w:t>
      </w:r>
      <w:r w:rsidRPr="00C77E77">
        <w:rPr>
          <w:rFonts w:ascii="Times New Roman" w:eastAsia="標楷體" w:hAnsi="Times New Roman" w:cs="Times New Roman"/>
          <w:sz w:val="28"/>
          <w:szCs w:val="28"/>
        </w:rPr>
        <w:t>）計畫，希望在</w:t>
      </w:r>
      <w:r w:rsidRPr="00C77E77">
        <w:rPr>
          <w:rFonts w:ascii="Times New Roman" w:eastAsia="標楷體" w:hAnsi="Times New Roman" w:cs="Times New Roman"/>
          <w:sz w:val="28"/>
          <w:szCs w:val="28"/>
        </w:rPr>
        <w:t>2019</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月前，鼓勵家戶改用</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燈具，取代</w:t>
      </w:r>
      <w:r w:rsidRPr="00C77E77">
        <w:rPr>
          <w:rFonts w:ascii="Times New Roman" w:eastAsia="標楷體" w:hAnsi="Times New Roman" w:cs="Times New Roman"/>
          <w:sz w:val="28"/>
          <w:szCs w:val="28"/>
        </w:rPr>
        <w:t>7.7</w:t>
      </w:r>
      <w:r w:rsidRPr="00C77E77">
        <w:rPr>
          <w:rFonts w:ascii="Times New Roman" w:eastAsia="標楷體" w:hAnsi="Times New Roman" w:cs="Times New Roman"/>
          <w:sz w:val="28"/>
          <w:szCs w:val="28"/>
        </w:rPr>
        <w:t>億個效能較差的傳統燈泡。這項計畫由</w:t>
      </w:r>
      <w:r w:rsidRPr="00C77E77">
        <w:rPr>
          <w:rFonts w:ascii="Times New Roman" w:eastAsia="標楷體" w:hAnsi="Times New Roman" w:cs="Times New Roman"/>
          <w:sz w:val="28"/>
          <w:szCs w:val="28"/>
        </w:rPr>
        <w:t xml:space="preserve">Energy Efficiency Services Limited </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EESL</w:t>
      </w:r>
      <w:r w:rsidRPr="00C77E77">
        <w:rPr>
          <w:rFonts w:ascii="Times New Roman" w:eastAsia="標楷體" w:hAnsi="Times New Roman" w:cs="Times New Roman"/>
          <w:sz w:val="28"/>
          <w:szCs w:val="28"/>
        </w:rPr>
        <w:t>）國營公司執行，主要是以低於市場價格提供家戶使用</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燈泡。目前每個燈泡的售價約為</w:t>
      </w:r>
      <w:r w:rsidRPr="00C77E77">
        <w:rPr>
          <w:rFonts w:ascii="Times New Roman" w:eastAsia="標楷體" w:hAnsi="Times New Roman" w:cs="Times New Roman"/>
          <w:sz w:val="28"/>
          <w:szCs w:val="28"/>
        </w:rPr>
        <w:t>75</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95</w:t>
      </w:r>
      <w:r w:rsidRPr="00C77E77">
        <w:rPr>
          <w:rFonts w:ascii="Times New Roman" w:eastAsia="標楷體" w:hAnsi="Times New Roman" w:cs="Times New Roman"/>
          <w:sz w:val="28"/>
          <w:szCs w:val="28"/>
        </w:rPr>
        <w:t>盧比，低於市場行情的</w:t>
      </w:r>
      <w:r w:rsidRPr="00C77E77">
        <w:rPr>
          <w:rFonts w:ascii="Times New Roman" w:eastAsia="標楷體" w:hAnsi="Times New Roman" w:cs="Times New Roman"/>
          <w:sz w:val="28"/>
          <w:szCs w:val="28"/>
        </w:rPr>
        <w:t>350</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450</w:t>
      </w:r>
      <w:r w:rsidRPr="00C77E77">
        <w:rPr>
          <w:rFonts w:ascii="Times New Roman" w:eastAsia="標楷體" w:hAnsi="Times New Roman" w:cs="Times New Roman"/>
          <w:sz w:val="28"/>
          <w:szCs w:val="28"/>
        </w:rPr>
        <w:t>盧比。已經在全印度</w:t>
      </w:r>
      <w:r w:rsidRPr="00C77E77">
        <w:rPr>
          <w:rFonts w:ascii="Times New Roman" w:eastAsia="標楷體" w:hAnsi="Times New Roman" w:cs="Times New Roman"/>
          <w:sz w:val="28"/>
          <w:szCs w:val="28"/>
        </w:rPr>
        <w:t>17</w:t>
      </w:r>
      <w:r w:rsidRPr="00C77E77">
        <w:rPr>
          <w:rFonts w:ascii="Times New Roman" w:eastAsia="標楷體" w:hAnsi="Times New Roman" w:cs="Times New Roman"/>
          <w:sz w:val="28"/>
          <w:szCs w:val="28"/>
        </w:rPr>
        <w:t>個邦進行此項計畫。另外，印度</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照明產業處於早期發展階段，上中游產業鏈缺失，故外商若進入此部分產業，沒有本土廠商與之競爭，還會受到政府的政策扶持。本土</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照明廠商雖然擅於組裝、設計和製造，但其</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晶片和</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封裝全部依賴進口，</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商可以選擇</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元件與模組供應市場。但印度市場對價格敏感，所以適合規模大，具有成本優勢的企業進入。在下游照明部分，印度當地已有一定規模的照明廠商，並受到印度政府的扶持。目前在印度設立生產基地的國際廠商包括飛利浦（</w:t>
      </w:r>
      <w:r w:rsidRPr="00C77E77">
        <w:rPr>
          <w:rFonts w:ascii="Times New Roman" w:eastAsia="標楷體" w:hAnsi="Times New Roman" w:cs="Times New Roman"/>
          <w:sz w:val="28"/>
          <w:szCs w:val="28"/>
        </w:rPr>
        <w:t>Philips</w:t>
      </w:r>
      <w:r w:rsidRPr="00C77E77">
        <w:rPr>
          <w:rFonts w:ascii="Times New Roman" w:eastAsia="標楷體" w:hAnsi="Times New Roman" w:cs="Times New Roman"/>
          <w:sz w:val="28"/>
          <w:szCs w:val="28"/>
        </w:rPr>
        <w:t>）、歐司朗（</w:t>
      </w:r>
      <w:r w:rsidRPr="00C77E77">
        <w:rPr>
          <w:rFonts w:ascii="Times New Roman" w:eastAsia="標楷體" w:hAnsi="Times New Roman" w:cs="Times New Roman"/>
          <w:sz w:val="28"/>
          <w:szCs w:val="28"/>
        </w:rPr>
        <w:t>Osram</w:t>
      </w:r>
      <w:r w:rsidRPr="00C77E77">
        <w:rPr>
          <w:rFonts w:ascii="Times New Roman" w:eastAsia="標楷體" w:hAnsi="Times New Roman" w:cs="Times New Roman"/>
          <w:sz w:val="28"/>
          <w:szCs w:val="28"/>
        </w:rPr>
        <w:t>）、松下、東芝，印度本土大廠則有</w:t>
      </w:r>
      <w:r w:rsidRPr="00C77E77">
        <w:rPr>
          <w:rFonts w:ascii="Times New Roman" w:eastAsia="標楷體" w:hAnsi="Times New Roman" w:cs="Times New Roman"/>
          <w:sz w:val="28"/>
          <w:szCs w:val="28"/>
        </w:rPr>
        <w:t>Havells</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Surya</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其他廠商主要是從中國大陸等地進口產品。印度的燈具市場以政府標案為大宗，其次是燈飾市場。通常需要有一定政商關係較有機會取得政府標案</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而且政府標案的產品售價較低、性能要求則較高，壓縮獲利空間。印度政府在選擇供應商時，也常偏向本土企業，使得外商進入的難度較大</w:t>
      </w:r>
      <w:r w:rsidR="00A331F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故建議與印度廠商</w:t>
      </w:r>
      <w:r w:rsidRPr="00C77E77">
        <w:rPr>
          <w:rFonts w:ascii="Times New Roman" w:eastAsia="標楷體" w:hAnsi="Times New Roman" w:cs="Times New Roman"/>
          <w:sz w:val="28"/>
          <w:szCs w:val="28"/>
        </w:rPr>
        <w:lastRenderedPageBreak/>
        <w:t>合作競標。</w:t>
      </w:r>
      <w:r w:rsidRPr="00C77E77">
        <w:rPr>
          <w:rStyle w:val="a9"/>
          <w:rFonts w:ascii="Times New Roman" w:eastAsia="標楷體" w:hAnsi="Times New Roman" w:cs="Times New Roman"/>
          <w:sz w:val="28"/>
          <w:szCs w:val="28"/>
        </w:rPr>
        <w:footnoteReference w:id="123"/>
      </w:r>
    </w:p>
    <w:p w:rsidR="00967390"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最後，東南亞及印度在兩個部分仍有相當大的市場潛力，一是路燈市場，如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達電便積極尋求東南亞國家如菲律賓、泰國等國的</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路燈標案，但因尚無法得知當地政府採購預算的編列方式，故無法評估融資需求。事實上目前在東南亞的</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路燈需求還在萌芽期，試點和小規模的標案比較多，未來的成長潛力仍高，只是政府應協助廠商取得東協國家當地政府編列預算、執行時程等資料，以利我國廠商拓展東南亞市場。另一個是</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車用照明的部分，如印度鐵路單位正積極汰換車站、車輛的照明光源，以及更換</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指示燈，由於印度的鐵路長度總和驚人，故切入鐵路相關的照明光源市場便有巨大的商機，我國廠商億光便是積極攻佔這塊市場的臺商之一。除了印度以外，印尼、越南、泰國等國的巴士市場也有待開發，這些交通運輸的相關</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照明，會是未來新南向政策的龐大市場。</w:t>
      </w:r>
    </w:p>
    <w:p w:rsidR="00967390" w:rsidRPr="00C77E77" w:rsidRDefault="00967390" w:rsidP="00967390">
      <w:pPr>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三、綠色運輸</w:t>
      </w:r>
    </w:p>
    <w:p w:rsidR="003479BC" w:rsidRPr="00C77E77" w:rsidRDefault="00967390" w:rsidP="00967390">
      <w:pPr>
        <w:spacing w:beforeLines="50" w:before="180" w:afterLines="50" w:after="180" w:line="500" w:lineRule="exact"/>
        <w:ind w:firstLine="485"/>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東協的主要汽車生產國為泰國、印尼及馬來西亞等國，由於近幾年全世界的汽車大廠都開始注意到在節能減碳趨勢下電動車的潛在市場，這幾個東協汽車生產國家，皆以政策爭取國際車廠在當地投入更多的資源生產節能小車，目標成為小型節能平價車的生產基地。</w:t>
      </w:r>
    </w:p>
    <w:p w:rsidR="003479BC" w:rsidRPr="00C77E77" w:rsidRDefault="003479BC">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967390" w:rsidRPr="00C77E77" w:rsidRDefault="00967390" w:rsidP="00967390">
      <w:pPr>
        <w:spacing w:before="240" w:after="240"/>
        <w:jc w:val="center"/>
        <w:rPr>
          <w:rFonts w:ascii="Times New Roman" w:hAnsi="Times New Roman" w:cs="Times New Roman"/>
        </w:rPr>
      </w:pPr>
      <w:r w:rsidRPr="00C77E77">
        <w:rPr>
          <w:rFonts w:ascii="Times New Roman" w:hAnsi="Times New Roman" w:cs="Times New Roman"/>
          <w:noProof/>
        </w:rPr>
        <w:lastRenderedPageBreak/>
        <w:drawing>
          <wp:inline distT="0" distB="0" distL="0" distR="0" wp14:anchorId="038544BE" wp14:editId="2AAAD304">
            <wp:extent cx="5267325" cy="2667000"/>
            <wp:effectExtent l="0" t="0" r="9525"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67325" cy="2667000"/>
                    </a:xfrm>
                    <a:prstGeom prst="rect">
                      <a:avLst/>
                    </a:prstGeom>
                    <a:noFill/>
                    <a:ln>
                      <a:noFill/>
                    </a:ln>
                  </pic:spPr>
                </pic:pic>
              </a:graphicData>
            </a:graphic>
          </wp:inline>
        </w:drawing>
      </w:r>
    </w:p>
    <w:p w:rsidR="00967390" w:rsidRPr="00C77E77" w:rsidRDefault="00967390" w:rsidP="00967390">
      <w:pPr>
        <w:pStyle w:val="af7"/>
        <w:spacing w:line="500" w:lineRule="exact"/>
      </w:pPr>
      <w:bookmarkStart w:id="131" w:name="_Toc458185163"/>
      <w:bookmarkStart w:id="132" w:name="_Toc470676649"/>
      <w:r w:rsidRPr="00C77E77">
        <w:t>圖</w:t>
      </w:r>
      <w:r w:rsidRPr="00C77E77">
        <w:t xml:space="preserve">4-3-3 </w:t>
      </w:r>
      <w:r w:rsidRPr="00C77E77">
        <w:t>東協汽車大國之相關節能政策</w:t>
      </w:r>
      <w:bookmarkEnd w:id="131"/>
      <w:bookmarkEnd w:id="132"/>
    </w:p>
    <w:p w:rsidR="00967390" w:rsidRPr="00C77E77" w:rsidRDefault="00967390" w:rsidP="00967390">
      <w:pPr>
        <w:spacing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資料來源：車輛研究測試中心</w:t>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泰國過去一直積極發展汽車產業，目標是要成為亞洲的底特律，並在</w:t>
      </w:r>
      <w:r w:rsidRPr="00C77E77">
        <w:rPr>
          <w:rFonts w:ascii="Times New Roman" w:eastAsia="標楷體" w:hAnsi="Times New Roman" w:cs="Times New Roman"/>
          <w:sz w:val="28"/>
          <w:szCs w:val="28"/>
        </w:rPr>
        <w:t>2007</w:t>
      </w:r>
      <w:r w:rsidRPr="00C77E77">
        <w:rPr>
          <w:rFonts w:ascii="Times New Roman" w:eastAsia="標楷體" w:hAnsi="Times New Roman" w:cs="Times New Roman"/>
          <w:sz w:val="28"/>
          <w:szCs w:val="28"/>
        </w:rPr>
        <w:t>年推出</w:t>
      </w:r>
      <w:r w:rsidRPr="00C77E77">
        <w:rPr>
          <w:rFonts w:ascii="Times New Roman" w:eastAsia="標楷體" w:hAnsi="Times New Roman" w:cs="Times New Roman"/>
          <w:sz w:val="28"/>
          <w:szCs w:val="28"/>
        </w:rPr>
        <w:t>Eco car</w:t>
      </w:r>
      <w:r w:rsidRPr="00C77E77">
        <w:rPr>
          <w:rFonts w:ascii="Times New Roman" w:eastAsia="標楷體" w:hAnsi="Times New Roman" w:cs="Times New Roman"/>
          <w:sz w:val="28"/>
          <w:szCs w:val="28"/>
        </w:rPr>
        <w:t>節能車發展計畫，鼓勵車廠生產並出口節能小車，根據泰國汽車協會預估，於當地生產之節能車款將有近</w:t>
      </w:r>
      <w:r w:rsidRPr="00C77E77">
        <w:rPr>
          <w:rFonts w:ascii="Times New Roman" w:eastAsia="標楷體" w:hAnsi="Times New Roman" w:cs="Times New Roman"/>
          <w:sz w:val="28"/>
          <w:szCs w:val="28"/>
        </w:rPr>
        <w:t>75</w:t>
      </w:r>
      <w:r w:rsidRPr="00C77E77">
        <w:rPr>
          <w:rFonts w:ascii="Times New Roman" w:eastAsia="標楷體" w:hAnsi="Times New Roman" w:cs="Times New Roman"/>
          <w:sz w:val="28"/>
          <w:szCs w:val="28"/>
        </w:rPr>
        <w:t>％之產量銷往海外市場，泰國已成為日本車廠生產節能小車之重要基地。印尼在</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推動低成本綠色節能車計畫，主打內需市場並吸引國際大廠的投資，主要車種將以低成本及環保綠色車款為主。馬來西亞則透過更開放之產業環境及獎勵措施，吸引車廠投入節能汽車之開發並帶動當地汽車零組件產業。</w:t>
      </w:r>
      <w:r w:rsidRPr="00C77E77">
        <w:rPr>
          <w:rStyle w:val="a9"/>
          <w:rFonts w:ascii="Times New Roman" w:eastAsia="標楷體" w:hAnsi="Times New Roman" w:cs="Times New Roman"/>
          <w:sz w:val="28"/>
          <w:szCs w:val="28"/>
        </w:rPr>
        <w:footnoteReference w:id="124"/>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值得注意的是，由於泰國、印尼、馬來西亞皆為汽車生產大國，而且近年來因應綠色運輸而發展節能車，因此臺灣電動車想要打入這些國家的市場，本身就有一定難度。並不僅是因為電動車比節能車、一般汽車的價格更高，更涉及到關鍵的充電站以及後續維修保養的問題。</w:t>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如馬來西亞在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年通過「綠色科技計畫」，為提升電動車之發展，鼓勵公共交通電子化作業，撥款</w:t>
      </w:r>
      <w:r w:rsidRPr="00C77E77">
        <w:rPr>
          <w:rFonts w:ascii="Times New Roman" w:eastAsia="標楷體" w:hAnsi="Times New Roman" w:cs="Times New Roman"/>
          <w:sz w:val="28"/>
          <w:szCs w:val="28"/>
        </w:rPr>
        <w:t>500</w:t>
      </w:r>
      <w:r w:rsidRPr="00C77E77">
        <w:rPr>
          <w:rFonts w:ascii="Times New Roman" w:eastAsia="標楷體" w:hAnsi="Times New Roman" w:cs="Times New Roman"/>
          <w:sz w:val="28"/>
          <w:szCs w:val="28"/>
        </w:rPr>
        <w:t>萬馬幣，興建</w:t>
      </w:r>
      <w:r w:rsidRPr="00C77E77">
        <w:rPr>
          <w:rFonts w:ascii="Times New Roman" w:eastAsia="標楷體" w:hAnsi="Times New Roman" w:cs="Times New Roman"/>
          <w:sz w:val="28"/>
          <w:szCs w:val="28"/>
        </w:rPr>
        <w:t>300</w:t>
      </w:r>
      <w:r w:rsidRPr="00C77E77">
        <w:rPr>
          <w:rFonts w:ascii="Times New Roman" w:eastAsia="標楷體" w:hAnsi="Times New Roman" w:cs="Times New Roman"/>
          <w:sz w:val="28"/>
          <w:szCs w:val="28"/>
        </w:rPr>
        <w:t>個電子充電站。</w:t>
      </w:r>
      <w:r w:rsidRPr="00C77E77">
        <w:rPr>
          <w:rStyle w:val="a9"/>
          <w:rFonts w:ascii="Times New Roman" w:eastAsia="標楷體" w:hAnsi="Times New Roman" w:cs="Times New Roman"/>
          <w:sz w:val="28"/>
          <w:szCs w:val="28"/>
        </w:rPr>
        <w:footnoteReference w:id="125"/>
      </w:r>
      <w:r w:rsidRPr="00C77E77">
        <w:rPr>
          <w:rFonts w:ascii="Times New Roman" w:eastAsia="標楷體" w:hAnsi="Times New Roman" w:cs="Times New Roman"/>
          <w:sz w:val="28"/>
          <w:szCs w:val="28"/>
        </w:rPr>
        <w:t>所有</w:t>
      </w:r>
      <w:r w:rsidRPr="00C77E77">
        <w:rPr>
          <w:rFonts w:ascii="Times New Roman" w:eastAsia="標楷體" w:hAnsi="Times New Roman" w:cs="Times New Roman"/>
          <w:sz w:val="28"/>
          <w:szCs w:val="28"/>
        </w:rPr>
        <w:lastRenderedPageBreak/>
        <w:t>的電動車都面臨到充電的問題，而這個困境在外銷到新興市場時便更加棘手。正如同傳統汽車離不開加油站，電動車的充電站遠不如加油站普及，因此，電動車外銷並不僅是電動車本身的品質與售價問題，更涉及到當地是否有足夠的充電站，電動車銷售到當地後是否能夠做好在地的售後服務。為了使電動車在當地有足夠的充電站，除了必須考量當地政府的政策外，更可以考慮與當地的連鎖體系業者合作，這部分單一品牌的業者恐怕力有未逮，需要政府進行協助。</w:t>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而且，臺灣的電動車要進軍東南亞市場，更需考量本身具有龐大實力的中國大陸之競爭，如在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年，北京汽車集團與馬來西亞的</w:t>
      </w:r>
      <w:r w:rsidRPr="00C77E77">
        <w:rPr>
          <w:rFonts w:ascii="Times New Roman" w:eastAsia="標楷體" w:hAnsi="Times New Roman" w:cs="Times New Roman"/>
          <w:sz w:val="28"/>
          <w:szCs w:val="28"/>
        </w:rPr>
        <w:t>Amber Dual</w:t>
      </w:r>
      <w:r w:rsidRPr="00C77E77">
        <w:rPr>
          <w:rFonts w:ascii="Times New Roman" w:eastAsia="標楷體" w:hAnsi="Times New Roman" w:cs="Times New Roman"/>
          <w:sz w:val="28"/>
          <w:szCs w:val="28"/>
        </w:rPr>
        <w:t>公司合作，在馬來西亞設廠作為北汽在東南亞地區的電動車生產中心。</w:t>
      </w:r>
      <w:r w:rsidRPr="00C77E77">
        <w:rPr>
          <w:rStyle w:val="a9"/>
          <w:rFonts w:ascii="Times New Roman" w:eastAsia="標楷體" w:hAnsi="Times New Roman" w:cs="Times New Roman"/>
          <w:sz w:val="28"/>
          <w:szCs w:val="28"/>
        </w:rPr>
        <w:footnoteReference w:id="126"/>
      </w:r>
      <w:r w:rsidRPr="00C77E77">
        <w:rPr>
          <w:rFonts w:ascii="Times New Roman" w:eastAsia="標楷體" w:hAnsi="Times New Roman" w:cs="Times New Roman"/>
          <w:sz w:val="28"/>
          <w:szCs w:val="28"/>
        </w:rPr>
        <w:t>相較於中國大陸的電動車廠商，臺灣廠商在東南亞的布局進度略嫌緩慢。</w:t>
      </w:r>
    </w:p>
    <w:p w:rsidR="00967390"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在南亞方面，印度政府推動的智慧城市（</w:t>
      </w:r>
      <w:r w:rsidRPr="00C77E77">
        <w:rPr>
          <w:rFonts w:ascii="Times New Roman" w:eastAsia="標楷體" w:hAnsi="Times New Roman" w:cs="Times New Roman"/>
          <w:sz w:val="28"/>
          <w:szCs w:val="28"/>
        </w:rPr>
        <w:t>Smart Cities</w:t>
      </w:r>
      <w:r w:rsidRPr="00C77E77">
        <w:rPr>
          <w:rFonts w:ascii="Times New Roman" w:eastAsia="標楷體" w:hAnsi="Times New Roman" w:cs="Times New Roman"/>
          <w:sz w:val="28"/>
          <w:szCs w:val="28"/>
        </w:rPr>
        <w:t>）計畫中，並未特別強調綠色運輸。但該計畫列舉的十項核心基礎建設中，「有效率的都市移動及公共運輸」、「永續環境」兩項都與綠色運輸相關。印度政府目前推動中的智慧運輸計畫包括：核准</w:t>
      </w:r>
      <w:r w:rsidRPr="00C77E77">
        <w:rPr>
          <w:rFonts w:ascii="Times New Roman" w:eastAsia="標楷體" w:hAnsi="Times New Roman" w:cs="Times New Roman"/>
          <w:sz w:val="28"/>
          <w:szCs w:val="28"/>
        </w:rPr>
        <w:t>413</w:t>
      </w:r>
      <w:r w:rsidRPr="00C77E77">
        <w:rPr>
          <w:rFonts w:ascii="Times New Roman" w:eastAsia="標楷體" w:hAnsi="Times New Roman" w:cs="Times New Roman"/>
          <w:sz w:val="28"/>
          <w:szCs w:val="28"/>
        </w:rPr>
        <w:t>億美金計畫鼓勵電動及油電混合動力車輛生產，預計在</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年達到</w:t>
      </w:r>
      <w:r w:rsidRPr="00C77E77">
        <w:rPr>
          <w:rFonts w:ascii="Times New Roman" w:eastAsia="標楷體" w:hAnsi="Times New Roman" w:cs="Times New Roman"/>
          <w:sz w:val="28"/>
          <w:szCs w:val="28"/>
        </w:rPr>
        <w:t>600</w:t>
      </w:r>
      <w:r w:rsidRPr="00C77E77">
        <w:rPr>
          <w:rFonts w:ascii="Times New Roman" w:eastAsia="標楷體" w:hAnsi="Times New Roman" w:cs="Times New Roman"/>
          <w:sz w:val="28"/>
          <w:szCs w:val="28"/>
        </w:rPr>
        <w:t>萬輛；在</w:t>
      </w:r>
      <w:r w:rsidRPr="00C77E77">
        <w:rPr>
          <w:rFonts w:ascii="Times New Roman" w:eastAsia="標楷體" w:hAnsi="Times New Roman" w:cs="Times New Roman"/>
          <w:sz w:val="28"/>
          <w:szCs w:val="28"/>
        </w:rPr>
        <w:t>2027</w:t>
      </w:r>
      <w:r w:rsidRPr="00C77E77">
        <w:rPr>
          <w:rFonts w:ascii="Times New Roman" w:eastAsia="標楷體" w:hAnsi="Times New Roman" w:cs="Times New Roman"/>
          <w:sz w:val="28"/>
          <w:szCs w:val="28"/>
        </w:rPr>
        <w:t>年前於所有城市地區、國道及省道沿線，設置電動車充電站。由於智慧城市專案多由政府所主導，</w:t>
      </w:r>
      <w:r w:rsidR="007F08FC"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的業者可以透過參加「印度國際智慧城市展」等方式找尋印度合作廠商。另外，資策會目前正進行印度智慧城市專案，也在協助</w:t>
      </w:r>
      <w:r w:rsidR="007F08FC" w:rsidRPr="00C77E77">
        <w:rPr>
          <w:rFonts w:ascii="Times New Roman" w:eastAsia="標楷體" w:hAnsi="Times New Roman" w:cs="Times New Roman"/>
          <w:sz w:val="28"/>
          <w:szCs w:val="28"/>
        </w:rPr>
        <w:t>臺灣</w:t>
      </w:r>
      <w:r w:rsidRPr="00C77E77">
        <w:rPr>
          <w:rFonts w:ascii="Times New Roman" w:eastAsia="標楷體" w:hAnsi="Times New Roman" w:cs="Times New Roman"/>
          <w:sz w:val="28"/>
          <w:szCs w:val="28"/>
        </w:rPr>
        <w:t>廠商尋找相關商機。</w:t>
      </w:r>
    </w:p>
    <w:p w:rsidR="003479BC" w:rsidRPr="00C77E77" w:rsidRDefault="00967390" w:rsidP="00967390">
      <w:pPr>
        <w:spacing w:beforeLines="50" w:before="180" w:afterLines="50" w:after="180" w:line="500" w:lineRule="exact"/>
        <w:ind w:firstLine="488"/>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整體而言，電動車產業由於我國產業規模不足，加上相關配套政策或產業合作較為複雜，在新南向政策中，其市場潛力恐怕不如太陽光電產業與</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照明光電產業。</w:t>
      </w:r>
      <w:r w:rsidR="00A331F7" w:rsidRPr="00C77E77">
        <w:rPr>
          <w:rFonts w:ascii="Times New Roman" w:eastAsia="標楷體" w:hAnsi="Times New Roman" w:cs="Times New Roman"/>
          <w:sz w:val="28"/>
          <w:szCs w:val="28"/>
        </w:rPr>
        <w:t>本研究整理太陽光電、</w:t>
      </w:r>
      <w:r w:rsidR="00A331F7" w:rsidRPr="00C77E77">
        <w:rPr>
          <w:rFonts w:ascii="Times New Roman" w:eastAsia="標楷體" w:hAnsi="Times New Roman" w:cs="Times New Roman"/>
          <w:sz w:val="28"/>
          <w:szCs w:val="28"/>
        </w:rPr>
        <w:t>LED</w:t>
      </w:r>
      <w:r w:rsidR="00A331F7" w:rsidRPr="00C77E77">
        <w:rPr>
          <w:rFonts w:ascii="Times New Roman" w:eastAsia="標楷體" w:hAnsi="Times New Roman" w:cs="Times New Roman"/>
          <w:sz w:val="28"/>
          <w:szCs w:val="28"/>
        </w:rPr>
        <w:t>照明光電及綠色運輸產業發展條件比較見</w:t>
      </w:r>
      <w:r w:rsidRPr="00C77E77">
        <w:rPr>
          <w:rFonts w:ascii="Times New Roman" w:eastAsia="標楷體" w:hAnsi="Times New Roman" w:cs="Times New Roman"/>
          <w:sz w:val="28"/>
          <w:szCs w:val="28"/>
        </w:rPr>
        <w:t>下表</w:t>
      </w:r>
      <w:r w:rsidRPr="00C77E77">
        <w:rPr>
          <w:rFonts w:ascii="Times New Roman" w:eastAsia="標楷體" w:hAnsi="Times New Roman" w:cs="Times New Roman"/>
          <w:sz w:val="28"/>
          <w:szCs w:val="28"/>
        </w:rPr>
        <w:t>4-3-1</w:t>
      </w:r>
      <w:r w:rsidR="00A331F7" w:rsidRPr="00C77E77">
        <w:rPr>
          <w:rFonts w:ascii="Times New Roman" w:eastAsia="標楷體" w:hAnsi="Times New Roman" w:cs="Times New Roman"/>
          <w:sz w:val="28"/>
          <w:szCs w:val="28"/>
        </w:rPr>
        <w:t>。</w:t>
      </w:r>
    </w:p>
    <w:p w:rsidR="003479BC" w:rsidRPr="00C77E77" w:rsidRDefault="003479BC">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967390" w:rsidRPr="00C77E77" w:rsidRDefault="00967390" w:rsidP="00967390">
      <w:pPr>
        <w:pStyle w:val="af9"/>
        <w:spacing w:line="500" w:lineRule="exact"/>
      </w:pPr>
      <w:bookmarkStart w:id="133" w:name="_Toc458184958"/>
      <w:bookmarkStart w:id="134" w:name="_Toc470676605"/>
      <w:r w:rsidRPr="00C77E77">
        <w:lastRenderedPageBreak/>
        <w:t>表</w:t>
      </w:r>
      <w:r w:rsidRPr="00C77E77">
        <w:t xml:space="preserve">4-3-1 </w:t>
      </w:r>
      <w:r w:rsidR="00A331F7" w:rsidRPr="00C77E77">
        <w:t>太陽光電、</w:t>
      </w:r>
      <w:r w:rsidR="00A331F7" w:rsidRPr="00C77E77">
        <w:t>LED</w:t>
      </w:r>
      <w:r w:rsidR="00A331F7" w:rsidRPr="00C77E77">
        <w:t>照明光電、綠色運輸</w:t>
      </w:r>
      <w:r w:rsidRPr="00C77E77">
        <w:t>產業發展條件比較</w:t>
      </w:r>
      <w:bookmarkEnd w:id="133"/>
      <w:bookmarkEnd w:id="134"/>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851"/>
        <w:gridCol w:w="1559"/>
        <w:gridCol w:w="1843"/>
        <w:gridCol w:w="1842"/>
      </w:tblGrid>
      <w:tr w:rsidR="00967390" w:rsidRPr="00C77E77" w:rsidTr="002D6DDB">
        <w:trPr>
          <w:trHeight w:val="101"/>
          <w:jc w:val="center"/>
        </w:trPr>
        <w:tc>
          <w:tcPr>
            <w:tcW w:w="2127" w:type="dxa"/>
            <w:gridSpan w:val="2"/>
          </w:tcPr>
          <w:p w:rsidR="00967390" w:rsidRPr="00C77E77" w:rsidRDefault="00967390" w:rsidP="002D6DDB">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發展條件</w:t>
            </w:r>
          </w:p>
        </w:tc>
        <w:tc>
          <w:tcPr>
            <w:tcW w:w="1559" w:type="dxa"/>
          </w:tcPr>
          <w:p w:rsidR="00967390" w:rsidRPr="00C77E77" w:rsidRDefault="00967390" w:rsidP="002D6DDB">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太陽光電</w:t>
            </w:r>
          </w:p>
        </w:tc>
        <w:tc>
          <w:tcPr>
            <w:tcW w:w="1843" w:type="dxa"/>
          </w:tcPr>
          <w:p w:rsidR="00967390" w:rsidRPr="00C77E77" w:rsidRDefault="00967390" w:rsidP="002D6DDB">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LED</w:t>
            </w:r>
            <w:r w:rsidRPr="00C77E77">
              <w:rPr>
                <w:rFonts w:ascii="Times New Roman" w:eastAsia="標楷體" w:hAnsi="Times New Roman" w:cs="Times New Roman"/>
                <w:b/>
                <w:color w:val="000000"/>
                <w:kern w:val="0"/>
                <w:szCs w:val="24"/>
              </w:rPr>
              <w:t>照明光電</w:t>
            </w:r>
          </w:p>
        </w:tc>
        <w:tc>
          <w:tcPr>
            <w:tcW w:w="1842" w:type="dxa"/>
          </w:tcPr>
          <w:p w:rsidR="00967390" w:rsidRPr="00C77E77" w:rsidRDefault="00967390" w:rsidP="002D6DDB">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綠色運輸產業</w:t>
            </w:r>
          </w:p>
        </w:tc>
      </w:tr>
      <w:tr w:rsidR="00967390" w:rsidRPr="00C77E77" w:rsidTr="002D6DDB">
        <w:trPr>
          <w:trHeight w:val="120"/>
          <w:jc w:val="center"/>
        </w:trPr>
        <w:tc>
          <w:tcPr>
            <w:tcW w:w="1276" w:type="dxa"/>
            <w:vMerge w:val="restart"/>
            <w:vAlign w:val="center"/>
          </w:tcPr>
          <w:p w:rsidR="00967390" w:rsidRPr="00C77E77" w:rsidRDefault="00967390" w:rsidP="002D6DDB">
            <w:pPr>
              <w:autoSpaceDE w:val="0"/>
              <w:autoSpaceDN w:val="0"/>
              <w:adjustRightInd w:val="0"/>
              <w:jc w:val="center"/>
              <w:rPr>
                <w:rFonts w:ascii="Times New Roman" w:hAnsi="Times New Roman" w:cs="Times New Roman"/>
                <w:color w:val="000000"/>
                <w:kern w:val="0"/>
                <w:sz w:val="20"/>
                <w:szCs w:val="20"/>
              </w:rPr>
            </w:pPr>
            <w:r w:rsidRPr="00C77E77">
              <w:rPr>
                <w:rFonts w:ascii="Times New Roman" w:hAnsi="Times New Roman" w:cs="Times New Roman"/>
                <w:color w:val="000000"/>
                <w:kern w:val="0"/>
                <w:szCs w:val="20"/>
              </w:rPr>
              <w:t>科技水準</w:t>
            </w:r>
          </w:p>
        </w:tc>
        <w:tc>
          <w:tcPr>
            <w:tcW w:w="851" w:type="dxa"/>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硬體</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r w:rsidR="00967390" w:rsidRPr="00C77E77" w:rsidTr="002D6DDB">
        <w:trPr>
          <w:trHeight w:val="120"/>
          <w:jc w:val="center"/>
        </w:trPr>
        <w:tc>
          <w:tcPr>
            <w:tcW w:w="1276" w:type="dxa"/>
            <w:vMerge/>
            <w:vAlign w:val="center"/>
          </w:tcPr>
          <w:p w:rsidR="00967390" w:rsidRPr="00C77E77" w:rsidRDefault="00967390" w:rsidP="002D6DDB">
            <w:pPr>
              <w:autoSpaceDE w:val="0"/>
              <w:autoSpaceDN w:val="0"/>
              <w:adjustRightInd w:val="0"/>
              <w:jc w:val="center"/>
              <w:rPr>
                <w:rFonts w:ascii="Times New Roman" w:hAnsi="Times New Roman" w:cs="Times New Roman"/>
                <w:color w:val="000000"/>
                <w:kern w:val="0"/>
                <w:sz w:val="20"/>
                <w:szCs w:val="20"/>
              </w:rPr>
            </w:pPr>
          </w:p>
        </w:tc>
        <w:tc>
          <w:tcPr>
            <w:tcW w:w="851" w:type="dxa"/>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軟體</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r w:rsidR="00967390" w:rsidRPr="00C77E77" w:rsidTr="002D6DDB">
        <w:trPr>
          <w:trHeight w:val="120"/>
          <w:jc w:val="center"/>
        </w:trPr>
        <w:tc>
          <w:tcPr>
            <w:tcW w:w="2127" w:type="dxa"/>
            <w:gridSpan w:val="2"/>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法規</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r w:rsidR="00967390" w:rsidRPr="00C77E77" w:rsidTr="002D6DDB">
        <w:trPr>
          <w:trHeight w:val="120"/>
          <w:jc w:val="center"/>
        </w:trPr>
        <w:tc>
          <w:tcPr>
            <w:tcW w:w="2127" w:type="dxa"/>
            <w:gridSpan w:val="2"/>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補助</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r w:rsidR="00967390" w:rsidRPr="00C77E77" w:rsidTr="002D6DDB">
        <w:trPr>
          <w:trHeight w:val="120"/>
          <w:jc w:val="center"/>
        </w:trPr>
        <w:tc>
          <w:tcPr>
            <w:tcW w:w="2127" w:type="dxa"/>
            <w:gridSpan w:val="2"/>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人才</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r w:rsidR="00967390" w:rsidRPr="00C77E77" w:rsidTr="002D6DDB">
        <w:trPr>
          <w:trHeight w:val="120"/>
          <w:jc w:val="center"/>
        </w:trPr>
        <w:tc>
          <w:tcPr>
            <w:tcW w:w="2127" w:type="dxa"/>
            <w:gridSpan w:val="2"/>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產業整合</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r w:rsidR="00967390" w:rsidRPr="00C77E77" w:rsidTr="002D6DDB">
        <w:trPr>
          <w:trHeight w:val="120"/>
          <w:jc w:val="center"/>
        </w:trPr>
        <w:tc>
          <w:tcPr>
            <w:tcW w:w="2127" w:type="dxa"/>
            <w:gridSpan w:val="2"/>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國際連結</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r w:rsidR="00967390" w:rsidRPr="00C77E77" w:rsidTr="002D6DDB">
        <w:trPr>
          <w:trHeight w:val="120"/>
          <w:jc w:val="center"/>
        </w:trPr>
        <w:tc>
          <w:tcPr>
            <w:tcW w:w="2127" w:type="dxa"/>
            <w:gridSpan w:val="2"/>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貿易壁壘</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r w:rsidR="00967390" w:rsidRPr="00C77E77" w:rsidTr="002D6DDB">
        <w:trPr>
          <w:trHeight w:val="120"/>
          <w:jc w:val="center"/>
        </w:trPr>
        <w:tc>
          <w:tcPr>
            <w:tcW w:w="2127" w:type="dxa"/>
            <w:gridSpan w:val="2"/>
            <w:vAlign w:val="center"/>
          </w:tcPr>
          <w:p w:rsidR="00967390" w:rsidRPr="00C77E77" w:rsidRDefault="00967390" w:rsidP="002D6DDB">
            <w:pPr>
              <w:autoSpaceDE w:val="0"/>
              <w:autoSpaceDN w:val="0"/>
              <w:adjustRightInd w:val="0"/>
              <w:jc w:val="center"/>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綜合評判</w:t>
            </w:r>
          </w:p>
        </w:tc>
        <w:tc>
          <w:tcPr>
            <w:tcW w:w="1559"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3"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c>
          <w:tcPr>
            <w:tcW w:w="1842" w:type="dxa"/>
          </w:tcPr>
          <w:p w:rsidR="00967390" w:rsidRPr="00C77E77" w:rsidRDefault="00967390" w:rsidP="002D6DDB">
            <w:pPr>
              <w:autoSpaceDE w:val="0"/>
              <w:autoSpaceDN w:val="0"/>
              <w:adjustRightInd w:val="0"/>
              <w:rPr>
                <w:rFonts w:ascii="Times New Roman" w:eastAsia="標楷體" w:hAnsi="Times New Roman" w:cs="Times New Roman"/>
                <w:color w:val="000000"/>
                <w:kern w:val="0"/>
                <w:szCs w:val="24"/>
              </w:rPr>
            </w:pPr>
            <w:r w:rsidRPr="00C77E77">
              <w:rPr>
                <w:rFonts w:ascii="Segoe UI Symbol" w:eastAsia="標楷體" w:hAnsi="Segoe UI Symbol" w:cs="Segoe UI Symbol"/>
                <w:color w:val="000000"/>
                <w:kern w:val="0"/>
                <w:szCs w:val="24"/>
              </w:rPr>
              <w:t>★★</w:t>
            </w:r>
          </w:p>
        </w:tc>
      </w:tr>
    </w:tbl>
    <w:p w:rsidR="00967390" w:rsidRPr="00C77E77" w:rsidRDefault="00967390" w:rsidP="00967390">
      <w:pPr>
        <w:spacing w:line="500" w:lineRule="exact"/>
        <w:ind w:firstLineChars="202" w:firstLine="566"/>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注</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Segoe UI Symbol" w:eastAsia="標楷體" w:hAnsi="Segoe UI Symbol" w:cs="Segoe UI Symbol"/>
          <w:color w:val="000000"/>
          <w:kern w:val="0"/>
          <w:sz w:val="28"/>
          <w:szCs w:val="28"/>
        </w:rPr>
        <w:t>★</w:t>
      </w: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sz w:val="28"/>
          <w:szCs w:val="28"/>
        </w:rPr>
        <w:t>數目越多代表該領域在發展條件上的優勢佳。</w:t>
      </w:r>
    </w:p>
    <w:p w:rsidR="00967390" w:rsidRPr="00C77E77" w:rsidRDefault="00967390" w:rsidP="00967390">
      <w:pPr>
        <w:spacing w:line="500" w:lineRule="exact"/>
        <w:ind w:firstLineChars="202" w:firstLine="566"/>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p>
    <w:p w:rsidR="00315772" w:rsidRPr="00C77E77" w:rsidRDefault="00315772">
      <w:pPr>
        <w:widowControl/>
        <w:rPr>
          <w:rFonts w:ascii="Times New Roman" w:eastAsia="標楷體" w:hAnsi="Times New Roman" w:cs="Times New Roman"/>
          <w:sz w:val="28"/>
          <w:szCs w:val="28"/>
        </w:rPr>
      </w:pPr>
    </w:p>
    <w:p w:rsidR="00897640" w:rsidRPr="00C77E77" w:rsidRDefault="00897640" w:rsidP="00764ED7">
      <w:pPr>
        <w:pStyle w:val="ab"/>
        <w:numPr>
          <w:ilvl w:val="0"/>
          <w:numId w:val="21"/>
        </w:numPr>
        <w:spacing w:beforeLines="50" w:before="180" w:afterLines="50" w:after="180" w:line="360" w:lineRule="auto"/>
        <w:ind w:leftChars="0"/>
        <w:jc w:val="both"/>
        <w:outlineLvl w:val="1"/>
        <w:rPr>
          <w:rFonts w:ascii="Times New Roman" w:eastAsia="標楷體" w:hAnsi="Times New Roman" w:cs="Times New Roman"/>
          <w:b/>
          <w:sz w:val="32"/>
          <w:szCs w:val="32"/>
        </w:rPr>
      </w:pPr>
      <w:bookmarkStart w:id="135" w:name="_Toc470676322"/>
      <w:r w:rsidRPr="00C77E77">
        <w:rPr>
          <w:rFonts w:ascii="Times New Roman" w:eastAsia="標楷體" w:hAnsi="Times New Roman" w:cs="Times New Roman"/>
          <w:b/>
          <w:sz w:val="32"/>
          <w:szCs w:val="32"/>
        </w:rPr>
        <w:t>石化、智慧健康、新農業產業南向發展之機會與挑戰</w:t>
      </w:r>
      <w:bookmarkEnd w:id="135"/>
    </w:p>
    <w:p w:rsidR="002A5F99" w:rsidRPr="00C77E77" w:rsidRDefault="002A5F99" w:rsidP="00C80EDF">
      <w:pPr>
        <w:spacing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本節擬針對石化、智慧健康、新農業三大產業，探討其系統輸出至東南亞及印度之潛在商機與可能挑戰，以利我國相關企業南向發展之參考。</w:t>
      </w:r>
    </w:p>
    <w:p w:rsidR="00815FCC" w:rsidRPr="00C77E77" w:rsidRDefault="00815FCC" w:rsidP="0001327A">
      <w:pPr>
        <w:pStyle w:val="ab"/>
        <w:numPr>
          <w:ilvl w:val="0"/>
          <w:numId w:val="34"/>
        </w:numPr>
        <w:spacing w:beforeLines="50" w:before="180" w:afterLines="50" w:after="180" w:line="500" w:lineRule="exact"/>
        <w:ind w:leftChars="0"/>
        <w:jc w:val="both"/>
        <w:rPr>
          <w:rFonts w:ascii="Times New Roman" w:eastAsia="標楷體" w:hAnsi="Times New Roman" w:cs="Times New Roman"/>
          <w:b/>
          <w:color w:val="000000" w:themeColor="text1"/>
          <w:spacing w:val="14"/>
          <w:sz w:val="28"/>
          <w:szCs w:val="28"/>
        </w:rPr>
      </w:pPr>
      <w:r w:rsidRPr="00C77E77">
        <w:rPr>
          <w:rFonts w:ascii="Times New Roman" w:eastAsia="標楷體" w:hAnsi="Times New Roman" w:cs="Times New Roman"/>
          <w:b/>
          <w:color w:val="000000" w:themeColor="text1"/>
          <w:spacing w:val="14"/>
          <w:sz w:val="28"/>
          <w:szCs w:val="28"/>
        </w:rPr>
        <w:t>石化產業</w:t>
      </w:r>
    </w:p>
    <w:p w:rsidR="00FE0CDD" w:rsidRPr="00C77E77" w:rsidRDefault="00815FCC"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ab/>
      </w:r>
      <w:r w:rsidR="00FE0CDD" w:rsidRPr="00C77E77">
        <w:rPr>
          <w:sz w:val="28"/>
          <w:szCs w:val="28"/>
        </w:rPr>
        <w:t>東南亞國家擁有豐沛天然資源，為該區域發展石油化學產業奠定基礎，其中已投資發展石化相關產業者，包含新加坡、馬來西亞、泰國、印尼與菲律賓。</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color w:val="auto"/>
          <w:sz w:val="28"/>
          <w:szCs w:val="28"/>
        </w:rPr>
      </w:pPr>
      <w:r w:rsidRPr="00C77E77">
        <w:rPr>
          <w:sz w:val="28"/>
          <w:szCs w:val="28"/>
        </w:rPr>
        <w:t xml:space="preserve">    </w:t>
      </w:r>
      <w:r w:rsidRPr="00C77E77">
        <w:rPr>
          <w:sz w:val="28"/>
          <w:szCs w:val="28"/>
        </w:rPr>
        <w:t>當前東南亞國家被視為全球石化產業投資重心，奠基於該區域龐大之國內市場潛力及較具優勢之勞動力成本，相較中東地區與中國大陸，東南亞石化領域投資亮點耀眼；特別是新加坡具備高度完善的基礎建設，如裕廊島，更加</w:t>
      </w:r>
      <w:r w:rsidRPr="00C77E77">
        <w:rPr>
          <w:color w:val="auto"/>
          <w:sz w:val="28"/>
          <w:szCs w:val="28"/>
        </w:rPr>
        <w:t>吸引國際投資廠商進駐。</w:t>
      </w:r>
    </w:p>
    <w:p w:rsidR="00820ADA" w:rsidRPr="00C77E77" w:rsidRDefault="00FE0CDD" w:rsidP="00820ADA">
      <w:pPr>
        <w:pStyle w:val="afe"/>
        <w:tabs>
          <w:tab w:val="clear" w:pos="567"/>
          <w:tab w:val="left" w:pos="465"/>
        </w:tabs>
        <w:spacing w:beforeLines="50" w:before="180" w:afterLines="50" w:after="180" w:line="500" w:lineRule="exact"/>
        <w:ind w:firstLineChars="0" w:firstLine="0"/>
        <w:rPr>
          <w:color w:val="auto"/>
          <w:sz w:val="28"/>
          <w:szCs w:val="28"/>
        </w:rPr>
      </w:pPr>
      <w:r w:rsidRPr="00C77E77">
        <w:rPr>
          <w:color w:val="auto"/>
          <w:sz w:val="28"/>
          <w:szCs w:val="28"/>
        </w:rPr>
        <w:t xml:space="preserve">  </w:t>
      </w:r>
      <w:r w:rsidR="00820ADA" w:rsidRPr="00C77E77">
        <w:rPr>
          <w:color w:val="auto"/>
          <w:sz w:val="28"/>
          <w:szCs w:val="28"/>
        </w:rPr>
        <w:tab/>
      </w:r>
      <w:r w:rsidR="00820ADA" w:rsidRPr="00C77E77">
        <w:rPr>
          <w:color w:val="auto"/>
          <w:sz w:val="28"/>
          <w:szCs w:val="28"/>
        </w:rPr>
        <w:tab/>
      </w:r>
      <w:r w:rsidR="00820ADA" w:rsidRPr="00C77E77">
        <w:rPr>
          <w:color w:val="auto"/>
          <w:sz w:val="28"/>
          <w:szCs w:val="28"/>
        </w:rPr>
        <w:t>臺灣石化產業發展至今已超過半世紀，造就臺灣具備上游、中游至下游之石化產業供應鏈，經由中油與</w:t>
      </w:r>
      <w:r w:rsidR="00FD0D5A" w:rsidRPr="00C77E77">
        <w:rPr>
          <w:color w:val="auto"/>
          <w:sz w:val="28"/>
          <w:szCs w:val="28"/>
        </w:rPr>
        <w:t>臺</w:t>
      </w:r>
      <w:r w:rsidR="00820ADA" w:rsidRPr="00C77E77">
        <w:rPr>
          <w:color w:val="auto"/>
          <w:sz w:val="28"/>
          <w:szCs w:val="28"/>
        </w:rPr>
        <w:t>塑兩大上中游產業體系，各自帶動中下游相關石化公司發展，也帶動</w:t>
      </w:r>
      <w:r w:rsidR="00FD0D5A" w:rsidRPr="00C77E77">
        <w:rPr>
          <w:color w:val="auto"/>
          <w:sz w:val="28"/>
          <w:szCs w:val="28"/>
        </w:rPr>
        <w:t>臺</w:t>
      </w:r>
      <w:r w:rsidR="00820ADA" w:rsidRPr="00C77E77">
        <w:rPr>
          <w:color w:val="auto"/>
          <w:sz w:val="28"/>
          <w:szCs w:val="28"/>
        </w:rPr>
        <w:t>灣具備系統整合產銷管控及全球運籌的整體方</w:t>
      </w:r>
      <w:r w:rsidR="00820ADA" w:rsidRPr="00C77E77">
        <w:rPr>
          <w:color w:val="auto"/>
          <w:sz w:val="28"/>
          <w:szCs w:val="28"/>
        </w:rPr>
        <w:lastRenderedPageBreak/>
        <w:t>案，並有向海外國家整廠輸出、整合共構的實績</w:t>
      </w:r>
      <w:r w:rsidR="00820ADA" w:rsidRPr="00C77E77">
        <w:rPr>
          <w:rStyle w:val="a9"/>
          <w:color w:val="auto"/>
          <w:sz w:val="28"/>
          <w:szCs w:val="28"/>
        </w:rPr>
        <w:footnoteReference w:id="127"/>
      </w:r>
      <w:r w:rsidR="00820ADA" w:rsidRPr="00C77E77">
        <w:rPr>
          <w:color w:val="auto"/>
          <w:sz w:val="28"/>
          <w:szCs w:val="28"/>
        </w:rPr>
        <w:t>。目前我國在菲律賓及馬來西亞皆有合作投資，如</w:t>
      </w:r>
      <w:r w:rsidR="00FD0D5A" w:rsidRPr="00C77E77">
        <w:rPr>
          <w:color w:val="auto"/>
          <w:sz w:val="28"/>
          <w:szCs w:val="28"/>
        </w:rPr>
        <w:t>臺</w:t>
      </w:r>
      <w:r w:rsidR="00820ADA" w:rsidRPr="00C77E77">
        <w:rPr>
          <w:color w:val="auto"/>
          <w:sz w:val="28"/>
          <w:szCs w:val="28"/>
        </w:rPr>
        <w:t>塑重工於菲律賓呂宋島及民答那峨島已建置汽電共生電廠，規劃</w:t>
      </w:r>
      <w:r w:rsidR="00820ADA" w:rsidRPr="00C77E77">
        <w:rPr>
          <w:color w:val="auto"/>
          <w:sz w:val="28"/>
          <w:szCs w:val="28"/>
        </w:rPr>
        <w:t>2016</w:t>
      </w:r>
      <w:r w:rsidR="00820ADA" w:rsidRPr="00C77E77">
        <w:rPr>
          <w:color w:val="auto"/>
          <w:sz w:val="28"/>
          <w:szCs w:val="28"/>
        </w:rPr>
        <w:t>年再爭取增建新廠，初估規模達新</w:t>
      </w:r>
      <w:r w:rsidR="00FD0D5A" w:rsidRPr="00C77E77">
        <w:rPr>
          <w:color w:val="auto"/>
          <w:sz w:val="28"/>
          <w:szCs w:val="28"/>
        </w:rPr>
        <w:t>臺</w:t>
      </w:r>
      <w:r w:rsidR="00820ADA" w:rsidRPr="00C77E77">
        <w:rPr>
          <w:color w:val="auto"/>
          <w:sz w:val="28"/>
          <w:szCs w:val="28"/>
        </w:rPr>
        <w:t>幣</w:t>
      </w:r>
      <w:r w:rsidR="00820ADA" w:rsidRPr="00C77E77">
        <w:rPr>
          <w:color w:val="auto"/>
          <w:sz w:val="28"/>
          <w:szCs w:val="28"/>
        </w:rPr>
        <w:t>60</w:t>
      </w:r>
      <w:r w:rsidR="00820ADA" w:rsidRPr="00C77E77">
        <w:rPr>
          <w:color w:val="auto"/>
          <w:sz w:val="28"/>
          <w:szCs w:val="28"/>
        </w:rPr>
        <w:t>億元。</w:t>
      </w:r>
    </w:p>
    <w:p w:rsidR="00FE0CDD" w:rsidRPr="00C77E77" w:rsidRDefault="00820ADA" w:rsidP="00820ADA">
      <w:pPr>
        <w:pStyle w:val="afe"/>
        <w:tabs>
          <w:tab w:val="clear" w:pos="567"/>
          <w:tab w:val="left" w:pos="465"/>
        </w:tabs>
        <w:spacing w:beforeLines="50" w:before="180" w:afterLines="50" w:after="180" w:line="500" w:lineRule="exact"/>
        <w:ind w:firstLineChars="0" w:firstLine="0"/>
        <w:rPr>
          <w:color w:val="auto"/>
          <w:sz w:val="28"/>
          <w:szCs w:val="28"/>
        </w:rPr>
      </w:pPr>
      <w:r w:rsidRPr="00C77E77">
        <w:rPr>
          <w:color w:val="auto"/>
          <w:sz w:val="28"/>
          <w:szCs w:val="28"/>
        </w:rPr>
        <w:t xml:space="preserve">    </w:t>
      </w:r>
      <w:r w:rsidRPr="00C77E77">
        <w:rPr>
          <w:color w:val="auto"/>
          <w:sz w:val="28"/>
          <w:szCs w:val="28"/>
        </w:rPr>
        <w:t>如第三章第四節所述，我國石化產業面臨中國大陸石化產業自主趨勢，有必要開拓其他銷售市場。鑒於東南亞國家石化產能相對需求仍偏低，部分國家之石化廠設備老舊無力提升產能，我國石化產業可開發當地出口銷售市場。以下針對新加坡、馬來西亞、印尼及印度之石化產業發展重點說明，並分析我國於當地發展之機會與挑戰。</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color w:val="auto"/>
          <w:sz w:val="28"/>
          <w:szCs w:val="28"/>
        </w:rPr>
        <w:t xml:space="preserve">    </w:t>
      </w:r>
      <w:r w:rsidRPr="00C77E77">
        <w:rPr>
          <w:color w:val="auto"/>
          <w:sz w:val="28"/>
          <w:szCs w:val="28"/>
        </w:rPr>
        <w:t>受惠於絕佳的地理位置及貿易充分自由，新加坡在</w:t>
      </w:r>
      <w:r w:rsidRPr="00C77E77">
        <w:rPr>
          <w:color w:val="auto"/>
          <w:sz w:val="28"/>
          <w:szCs w:val="28"/>
        </w:rPr>
        <w:t>1980</w:t>
      </w:r>
      <w:r w:rsidRPr="00C77E77">
        <w:rPr>
          <w:color w:val="auto"/>
          <w:sz w:val="28"/>
          <w:szCs w:val="28"/>
        </w:rPr>
        <w:t>年代早期已成為世界重要的煉油中心，</w:t>
      </w:r>
      <w:r w:rsidRPr="00C77E77">
        <w:rPr>
          <w:color w:val="auto"/>
          <w:sz w:val="28"/>
          <w:szCs w:val="28"/>
        </w:rPr>
        <w:t>1990</w:t>
      </w:r>
      <w:r w:rsidRPr="00C77E77">
        <w:rPr>
          <w:color w:val="auto"/>
          <w:sz w:val="28"/>
          <w:szCs w:val="28"/>
        </w:rPr>
        <w:t>年代起逐漸將重心移至下游的石化產品，以填海造陸方式於</w:t>
      </w:r>
      <w:r w:rsidRPr="00C77E77">
        <w:rPr>
          <w:color w:val="auto"/>
          <w:sz w:val="28"/>
          <w:szCs w:val="28"/>
        </w:rPr>
        <w:t>1995</w:t>
      </w:r>
      <w:r w:rsidRPr="00C77E77">
        <w:rPr>
          <w:color w:val="auto"/>
          <w:sz w:val="28"/>
          <w:szCs w:val="28"/>
        </w:rPr>
        <w:t>年著手建立裕廊島石化園區，提供完善的基礎</w:t>
      </w:r>
      <w:r w:rsidRPr="00C77E77">
        <w:rPr>
          <w:sz w:val="28"/>
          <w:szCs w:val="28"/>
        </w:rPr>
        <w:t>設施與管理服務，輔以租稅優惠，允許外資企業對當地工廠擁有</w:t>
      </w:r>
      <w:r w:rsidRPr="00C77E77">
        <w:rPr>
          <w:sz w:val="28"/>
          <w:szCs w:val="28"/>
        </w:rPr>
        <w:t>100%</w:t>
      </w:r>
      <w:r w:rsidRPr="00C77E77">
        <w:rPr>
          <w:sz w:val="28"/>
          <w:szCs w:val="28"/>
        </w:rPr>
        <w:t>所有權且利潤全數返還，吸引眾多外國投資者進駐。同時，建立化學加工技術中心及化學工程科學院作為研發中心，支援跨國大企業相互合作，並鼓勵科技人才移民至新加坡。</w:t>
      </w:r>
      <w:r w:rsidRPr="00C77E77">
        <w:rPr>
          <w:sz w:val="28"/>
          <w:szCs w:val="28"/>
        </w:rPr>
        <w:t>2010</w:t>
      </w:r>
      <w:r w:rsidRPr="00C77E77">
        <w:rPr>
          <w:sz w:val="28"/>
          <w:szCs w:val="28"/>
        </w:rPr>
        <w:t>年新加坡能源及化工領域生產總值約為</w:t>
      </w:r>
      <w:r w:rsidRPr="00C77E77">
        <w:rPr>
          <w:sz w:val="28"/>
          <w:szCs w:val="28"/>
        </w:rPr>
        <w:t>805</w:t>
      </w:r>
      <w:r w:rsidRPr="00C77E77">
        <w:rPr>
          <w:sz w:val="28"/>
          <w:szCs w:val="28"/>
        </w:rPr>
        <w:t>億星元，占該國</w:t>
      </w:r>
      <w:r w:rsidRPr="00C77E77">
        <w:rPr>
          <w:sz w:val="28"/>
          <w:szCs w:val="28"/>
        </w:rPr>
        <w:t>GDP</w:t>
      </w:r>
      <w:r w:rsidRPr="00C77E77">
        <w:rPr>
          <w:sz w:val="28"/>
          <w:szCs w:val="28"/>
        </w:rPr>
        <w:t>約</w:t>
      </w:r>
      <w:r w:rsidRPr="00C77E77">
        <w:rPr>
          <w:sz w:val="28"/>
          <w:szCs w:val="28"/>
        </w:rPr>
        <w:t>30</w:t>
      </w:r>
      <w:r w:rsidRPr="00C77E77">
        <w:rPr>
          <w:sz w:val="28"/>
          <w:szCs w:val="28"/>
        </w:rPr>
        <w:t>％，其中石化業生產總值達</w:t>
      </w:r>
      <w:r w:rsidRPr="00C77E77">
        <w:rPr>
          <w:sz w:val="28"/>
          <w:szCs w:val="28"/>
        </w:rPr>
        <w:t>300</w:t>
      </w:r>
      <w:r w:rsidRPr="00C77E77">
        <w:rPr>
          <w:sz w:val="28"/>
          <w:szCs w:val="28"/>
        </w:rPr>
        <w:t>億星元。</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裕廊島石化園區成功吸引跨國廠商進駐，包括</w:t>
      </w:r>
      <w:r w:rsidRPr="00C77E77">
        <w:rPr>
          <w:sz w:val="28"/>
          <w:szCs w:val="28"/>
        </w:rPr>
        <w:t>Shell</w:t>
      </w:r>
      <w:r w:rsidRPr="00C77E77">
        <w:rPr>
          <w:sz w:val="28"/>
          <w:szCs w:val="28"/>
        </w:rPr>
        <w:t>、</w:t>
      </w:r>
      <w:r w:rsidRPr="00C77E77">
        <w:rPr>
          <w:sz w:val="28"/>
          <w:szCs w:val="28"/>
        </w:rPr>
        <w:t>ExxonMobile</w:t>
      </w:r>
      <w:r w:rsidRPr="00C77E77">
        <w:rPr>
          <w:sz w:val="28"/>
          <w:szCs w:val="28"/>
        </w:rPr>
        <w:t>、</w:t>
      </w:r>
      <w:r w:rsidRPr="00C77E77">
        <w:rPr>
          <w:sz w:val="28"/>
          <w:szCs w:val="28"/>
        </w:rPr>
        <w:t>BASF</w:t>
      </w:r>
      <w:r w:rsidRPr="00C77E77">
        <w:rPr>
          <w:sz w:val="28"/>
          <w:szCs w:val="28"/>
        </w:rPr>
        <w:t>、</w:t>
      </w:r>
      <w:r w:rsidRPr="00C77E77">
        <w:rPr>
          <w:sz w:val="28"/>
          <w:szCs w:val="28"/>
        </w:rPr>
        <w:t>DuPont</w:t>
      </w:r>
      <w:r w:rsidRPr="00C77E77">
        <w:rPr>
          <w:sz w:val="28"/>
          <w:szCs w:val="28"/>
        </w:rPr>
        <w:t>、三井及住友等，並形成石化聚落，上下游產業一體化發展，藉由緊密結合物流業者，有效降低原料與產品物流成本及廠商投資</w:t>
      </w:r>
      <w:r w:rsidR="002A0435" w:rsidRPr="00C77E77">
        <w:rPr>
          <w:sz w:val="28"/>
          <w:szCs w:val="28"/>
        </w:rPr>
        <w:t>成</w:t>
      </w:r>
      <w:r w:rsidRPr="00C77E77">
        <w:rPr>
          <w:sz w:val="28"/>
          <w:szCs w:val="28"/>
        </w:rPr>
        <w:t>本。其中，日本幾家領先化工公司運用新加坡作為擴大亞洲業務之墊腳石；以住友化學公司為首的某日本財團，即擁有新加坡石化公司（</w:t>
      </w:r>
      <w:r w:rsidRPr="00C77E77">
        <w:rPr>
          <w:sz w:val="28"/>
          <w:szCs w:val="28"/>
        </w:rPr>
        <w:t>PCS)</w:t>
      </w:r>
      <w:r w:rsidRPr="00C77E77">
        <w:rPr>
          <w:sz w:val="28"/>
          <w:szCs w:val="28"/>
        </w:rPr>
        <w:t>之</w:t>
      </w:r>
      <w:r w:rsidRPr="00C77E77">
        <w:rPr>
          <w:sz w:val="28"/>
          <w:szCs w:val="28"/>
        </w:rPr>
        <w:t>50</w:t>
      </w:r>
      <w:r w:rsidRPr="00C77E77">
        <w:rPr>
          <w:sz w:val="28"/>
          <w:szCs w:val="28"/>
        </w:rPr>
        <w:t>％股份。我國石化業者可參酌日本作法，入股新加坡當地石化公司，一方面降低資金壓力與財務風險，一方面提高參與當地市場之機會。</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馬來西亞原本為石化產品淨進口國，受惠於該國國內油氣資源開發，近年來已逐漸轉為淨出口國。該國石化產業主要以石油腦及天然氣為進口材料，</w:t>
      </w:r>
      <w:r w:rsidRPr="00C77E77">
        <w:rPr>
          <w:sz w:val="28"/>
          <w:szCs w:val="28"/>
        </w:rPr>
        <w:lastRenderedPageBreak/>
        <w:t>國內生產之石化產品範圍相當廣泛，與臺灣同質性高，加以生產技術及規模與臺灣相近，逐漸成為臺灣石化商品之對手之一。</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截至</w:t>
      </w:r>
      <w:r w:rsidRPr="00C77E77">
        <w:rPr>
          <w:sz w:val="28"/>
          <w:szCs w:val="28"/>
        </w:rPr>
        <w:t>2013</w:t>
      </w:r>
      <w:r w:rsidRPr="00C77E77">
        <w:rPr>
          <w:sz w:val="28"/>
          <w:szCs w:val="28"/>
        </w:rPr>
        <w:t>年，馬來西亞共有</w:t>
      </w:r>
      <w:r w:rsidRPr="00C77E77">
        <w:rPr>
          <w:sz w:val="28"/>
          <w:szCs w:val="28"/>
        </w:rPr>
        <w:t>39</w:t>
      </w:r>
      <w:r w:rsidRPr="00C77E77">
        <w:rPr>
          <w:sz w:val="28"/>
          <w:szCs w:val="28"/>
        </w:rPr>
        <w:t>家石化廠商，其中以國營</w:t>
      </w:r>
      <w:r w:rsidRPr="00C77E77">
        <w:rPr>
          <w:sz w:val="28"/>
          <w:szCs w:val="28"/>
        </w:rPr>
        <w:t>Petronas</w:t>
      </w:r>
      <w:r w:rsidRPr="00C77E77">
        <w:rPr>
          <w:sz w:val="28"/>
          <w:szCs w:val="28"/>
        </w:rPr>
        <w:t>與民營</w:t>
      </w:r>
      <w:r w:rsidRPr="00C77E77">
        <w:rPr>
          <w:sz w:val="28"/>
          <w:szCs w:val="28"/>
        </w:rPr>
        <w:t>Titan Chemicals</w:t>
      </w:r>
      <w:r w:rsidRPr="00C77E77">
        <w:rPr>
          <w:sz w:val="28"/>
          <w:szCs w:val="28"/>
        </w:rPr>
        <w:t>為主。國外投資約占</w:t>
      </w:r>
      <w:r w:rsidRPr="00C77E77">
        <w:rPr>
          <w:sz w:val="28"/>
          <w:szCs w:val="28"/>
        </w:rPr>
        <w:t>53</w:t>
      </w:r>
      <w:r w:rsidRPr="00C77E77">
        <w:rPr>
          <w:sz w:val="28"/>
          <w:szCs w:val="28"/>
        </w:rPr>
        <w:t>％，以美國為主，其他國家包含日本、英國、德國與臺灣。</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馬來西亞政府對石化業投資提供租稅優惠，近年來致力於推動新的石化園區，努力開發既有石化園區之全部潛能，強化石化產業上中下游之鍊結與整合。</w:t>
      </w:r>
      <w:r w:rsidRPr="00C77E77">
        <w:rPr>
          <w:sz w:val="28"/>
          <w:szCs w:val="28"/>
        </w:rPr>
        <w:t>2015</w:t>
      </w:r>
      <w:r w:rsidRPr="00C77E77">
        <w:rPr>
          <w:sz w:val="28"/>
          <w:szCs w:val="28"/>
        </w:rPr>
        <w:t>年</w:t>
      </w:r>
      <w:r w:rsidRPr="00C77E77">
        <w:rPr>
          <w:sz w:val="28"/>
          <w:szCs w:val="28"/>
        </w:rPr>
        <w:t>5</w:t>
      </w:r>
      <w:r w:rsidRPr="00C77E77">
        <w:rPr>
          <w:sz w:val="28"/>
          <w:szCs w:val="28"/>
        </w:rPr>
        <w:t>月馬來西亞國家石油公司</w:t>
      </w:r>
      <w:r w:rsidRPr="00C77E77">
        <w:rPr>
          <w:sz w:val="28"/>
          <w:szCs w:val="28"/>
        </w:rPr>
        <w:t>Petronas</w:t>
      </w:r>
      <w:r w:rsidRPr="00C77E77">
        <w:rPr>
          <w:sz w:val="28"/>
          <w:szCs w:val="28"/>
        </w:rPr>
        <w:t>宣布，計畫投資</w:t>
      </w:r>
      <w:r w:rsidRPr="00C77E77">
        <w:rPr>
          <w:sz w:val="28"/>
          <w:szCs w:val="28"/>
        </w:rPr>
        <w:t>200</w:t>
      </w:r>
      <w:r w:rsidRPr="00C77E77">
        <w:rPr>
          <w:sz w:val="28"/>
          <w:szCs w:val="28"/>
        </w:rPr>
        <w:t>億美元興建煉油與石化聯合體，稱為「煉油和石化一體化開發」，此項目若開發完成，可望增強馬來西亞成為東南亞地區石油與石化中心之地位。</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惟分析馬來西亞各主要石化產品供需情形，由於經濟成長展望佳、下游產品與周邊相關產業成長，加以國民財富提高帶動終端民生塑料需求增加，</w:t>
      </w:r>
      <w:r w:rsidRPr="00C77E77">
        <w:rPr>
          <w:sz w:val="28"/>
          <w:szCs w:val="28"/>
        </w:rPr>
        <w:t>LLDPE</w:t>
      </w:r>
      <w:r w:rsidRPr="00C77E77">
        <w:rPr>
          <w:sz w:val="28"/>
          <w:szCs w:val="28"/>
        </w:rPr>
        <w:t>、</w:t>
      </w:r>
      <w:r w:rsidRPr="00C77E77">
        <w:rPr>
          <w:sz w:val="28"/>
          <w:szCs w:val="28"/>
        </w:rPr>
        <w:t>PS</w:t>
      </w:r>
      <w:r w:rsidRPr="00C77E77">
        <w:rPr>
          <w:sz w:val="28"/>
          <w:szCs w:val="28"/>
        </w:rPr>
        <w:t>、</w:t>
      </w:r>
      <w:r w:rsidRPr="00C77E77">
        <w:rPr>
          <w:sz w:val="28"/>
          <w:szCs w:val="28"/>
        </w:rPr>
        <w:t>SM</w:t>
      </w:r>
      <w:r w:rsidRPr="00C77E77">
        <w:rPr>
          <w:sz w:val="28"/>
          <w:szCs w:val="28"/>
        </w:rPr>
        <w:t>、</w:t>
      </w:r>
      <w:r w:rsidRPr="00C77E77">
        <w:rPr>
          <w:sz w:val="28"/>
          <w:szCs w:val="28"/>
        </w:rPr>
        <w:t>PVC</w:t>
      </w:r>
      <w:r w:rsidRPr="00C77E77">
        <w:rPr>
          <w:sz w:val="28"/>
          <w:szCs w:val="28"/>
        </w:rPr>
        <w:t>於馬來西亞國內仍呈現供不應求之狀態，需仰賴自國外進口。鑒於此，我國石化企業可增加對馬來西亞銷售石化產品，降低中國大陸自主化趨勢之衝擊。</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雖然印尼擁有豐富的油氣資源且曾為</w:t>
      </w:r>
      <w:r w:rsidRPr="00C77E77">
        <w:rPr>
          <w:sz w:val="28"/>
          <w:szCs w:val="28"/>
        </w:rPr>
        <w:t>OPEC</w:t>
      </w:r>
      <w:r w:rsidRPr="00C77E77">
        <w:rPr>
          <w:sz w:val="28"/>
          <w:szCs w:val="28"/>
        </w:rPr>
        <w:t>會員國，但由於缺乏明確的政策規劃，與上游油氣產業整合程度相當低，致使印尼石油加工業與石化產業的發展相對遲滯。</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印尼政府指定萬丹省、東爪哇省及東佳里曼丹省三區為石化工業聚落，並自</w:t>
      </w:r>
      <w:r w:rsidRPr="00C77E77">
        <w:rPr>
          <w:sz w:val="28"/>
          <w:szCs w:val="28"/>
        </w:rPr>
        <w:t>2011</w:t>
      </w:r>
      <w:r w:rsidRPr="00C77E77">
        <w:rPr>
          <w:sz w:val="28"/>
          <w:szCs w:val="28"/>
        </w:rPr>
        <w:t>年起對煉油、石化、可再生能源等特定領域投資額達</w:t>
      </w:r>
      <w:r w:rsidRPr="00C77E77">
        <w:rPr>
          <w:sz w:val="28"/>
          <w:szCs w:val="28"/>
        </w:rPr>
        <w:t>1</w:t>
      </w:r>
      <w:r w:rsidRPr="00C77E77">
        <w:rPr>
          <w:sz w:val="28"/>
          <w:szCs w:val="28"/>
        </w:rPr>
        <w:t>兆印尼盾以上之主要投資者，免除其開始商轉後</w:t>
      </w:r>
      <w:r w:rsidRPr="00C77E77">
        <w:rPr>
          <w:sz w:val="28"/>
          <w:szCs w:val="28"/>
        </w:rPr>
        <w:t>5</w:t>
      </w:r>
      <w:r w:rsidRPr="00C77E77">
        <w:rPr>
          <w:sz w:val="28"/>
          <w:szCs w:val="28"/>
        </w:rPr>
        <w:t>至</w:t>
      </w:r>
      <w:r w:rsidRPr="00C77E77">
        <w:rPr>
          <w:sz w:val="28"/>
          <w:szCs w:val="28"/>
        </w:rPr>
        <w:t>10</w:t>
      </w:r>
      <w:r w:rsidRPr="00C77E77">
        <w:rPr>
          <w:sz w:val="28"/>
          <w:szCs w:val="28"/>
        </w:rPr>
        <w:t>年之稅款，吸引</w:t>
      </w:r>
      <w:r w:rsidRPr="00C77E77">
        <w:rPr>
          <w:sz w:val="28"/>
          <w:szCs w:val="28"/>
        </w:rPr>
        <w:t>Chandra Asri</w:t>
      </w:r>
      <w:r w:rsidRPr="00C77E77">
        <w:rPr>
          <w:sz w:val="28"/>
          <w:szCs w:val="28"/>
        </w:rPr>
        <w:t>及英國、日本、韓國等石化公司前來投資，以提升該國上游石化原料之產能。</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印尼身為東協最大經濟體，人口為東南亞最多且持續成長，未來經濟成長展望佳，隨著人均</w:t>
      </w:r>
      <w:r w:rsidRPr="00C77E77">
        <w:rPr>
          <w:sz w:val="28"/>
          <w:szCs w:val="28"/>
        </w:rPr>
        <w:t>GDP</w:t>
      </w:r>
      <w:r w:rsidRPr="00C77E77">
        <w:rPr>
          <w:sz w:val="28"/>
          <w:szCs w:val="28"/>
        </w:rPr>
        <w:t>提高，可望帶動人均塑膠消費量，石化產品需求市場之成長可觀，石化產業之投資商機潛力無窮。由於印尼目前擁有之</w:t>
      </w:r>
      <w:r w:rsidRPr="00C77E77">
        <w:rPr>
          <w:sz w:val="28"/>
          <w:szCs w:val="28"/>
        </w:rPr>
        <w:t>6</w:t>
      </w:r>
      <w:r w:rsidRPr="00C77E77">
        <w:rPr>
          <w:sz w:val="28"/>
          <w:szCs w:val="28"/>
        </w:rPr>
        <w:t>家</w:t>
      </w:r>
      <w:r w:rsidRPr="00C77E77">
        <w:rPr>
          <w:sz w:val="28"/>
          <w:szCs w:val="28"/>
        </w:rPr>
        <w:lastRenderedPageBreak/>
        <w:t>煉油廠設備老舊，產能無法全數達標，包括重要石化原料及終端均依賴進口，以滿足國內日益增長的市場。我國石化業者可掌握此供需缺口，拓展印尼石化產品外銷市場。</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然而，印尼石油與天然氣長期由該國國營石油公司</w:t>
      </w:r>
      <w:r w:rsidRPr="00C77E77">
        <w:rPr>
          <w:sz w:val="28"/>
          <w:szCs w:val="28"/>
        </w:rPr>
        <w:t>Pertamina</w:t>
      </w:r>
      <w:r w:rsidRPr="00C77E77">
        <w:rPr>
          <w:sz w:val="28"/>
          <w:szCs w:val="28"/>
        </w:rPr>
        <w:t>壟斷經營，包含下游之加油站及全國補貼汽燃油輸送供應等，跨國企業僅能經營相對少數的加油站及販售未補貼的汽燃油，民間業者可分食市場商機有限。</w:t>
      </w:r>
      <w:r w:rsidRPr="00C77E77">
        <w:rPr>
          <w:sz w:val="28"/>
          <w:szCs w:val="28"/>
        </w:rPr>
        <w:t>2015</w:t>
      </w:r>
      <w:r w:rsidRPr="00C77E77">
        <w:rPr>
          <w:sz w:val="28"/>
          <w:szCs w:val="28"/>
        </w:rPr>
        <w:t>年底，印尼政府決定開放油氣下游產業項目予民間業者投資，並建立相關機制來確保民間參與油氣產業之公平性。對我國石化企業而言，印尼政府開放可視為進入印尼市場之一大利多。</w:t>
      </w:r>
      <w:r w:rsidRPr="00C77E77">
        <w:rPr>
          <w:sz w:val="28"/>
          <w:szCs w:val="28"/>
        </w:rPr>
        <w:t xml:space="preserve"> </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印度早期僅生產塑膠原料，技術多來自歐美廠商。</w:t>
      </w:r>
      <w:r w:rsidRPr="00C77E77">
        <w:rPr>
          <w:sz w:val="28"/>
          <w:szCs w:val="28"/>
        </w:rPr>
        <w:t>2000</w:t>
      </w:r>
      <w:r w:rsidRPr="00C77E77">
        <w:rPr>
          <w:sz w:val="28"/>
          <w:szCs w:val="28"/>
        </w:rPr>
        <w:t>年後，隨著印度經濟成長，</w:t>
      </w:r>
      <w:r w:rsidRPr="00C77E77">
        <w:rPr>
          <w:sz w:val="28"/>
          <w:szCs w:val="28"/>
        </w:rPr>
        <w:t xml:space="preserve">Indian Oil Company </w:t>
      </w:r>
      <w:r w:rsidRPr="00C77E77">
        <w:rPr>
          <w:sz w:val="28"/>
          <w:szCs w:val="28"/>
        </w:rPr>
        <w:t>（</w:t>
      </w:r>
      <w:r w:rsidRPr="00C77E77">
        <w:rPr>
          <w:sz w:val="28"/>
          <w:szCs w:val="28"/>
        </w:rPr>
        <w:t>IOC</w:t>
      </w:r>
      <w:r w:rsidRPr="00C77E77">
        <w:rPr>
          <w:sz w:val="28"/>
          <w:szCs w:val="28"/>
        </w:rPr>
        <w:t>）、</w:t>
      </w:r>
      <w:r w:rsidRPr="00C77E77">
        <w:rPr>
          <w:sz w:val="28"/>
          <w:szCs w:val="28"/>
        </w:rPr>
        <w:t>Gas Authority of India Limited</w:t>
      </w:r>
      <w:r w:rsidRPr="00C77E77">
        <w:rPr>
          <w:sz w:val="28"/>
          <w:szCs w:val="28"/>
        </w:rPr>
        <w:t>（</w:t>
      </w:r>
      <w:r w:rsidRPr="00C77E77">
        <w:rPr>
          <w:sz w:val="28"/>
          <w:szCs w:val="28"/>
        </w:rPr>
        <w:t>GAIL</w:t>
      </w:r>
      <w:r w:rsidRPr="00C77E77">
        <w:rPr>
          <w:sz w:val="28"/>
          <w:szCs w:val="28"/>
        </w:rPr>
        <w:t>）、</w:t>
      </w:r>
      <w:r w:rsidRPr="00C77E77">
        <w:rPr>
          <w:sz w:val="28"/>
          <w:szCs w:val="28"/>
        </w:rPr>
        <w:t>Reliance Industries Limited</w:t>
      </w:r>
      <w:r w:rsidRPr="00C77E77">
        <w:rPr>
          <w:sz w:val="28"/>
          <w:szCs w:val="28"/>
        </w:rPr>
        <w:t>（</w:t>
      </w:r>
      <w:r w:rsidRPr="00C77E77">
        <w:rPr>
          <w:sz w:val="28"/>
          <w:szCs w:val="28"/>
        </w:rPr>
        <w:t>RIL</w:t>
      </w:r>
      <w:r w:rsidRPr="00C77E77">
        <w:rPr>
          <w:sz w:val="28"/>
          <w:szCs w:val="28"/>
        </w:rPr>
        <w:t>）等</w:t>
      </w:r>
      <w:r w:rsidR="002A0435" w:rsidRPr="00C77E77">
        <w:rPr>
          <w:sz w:val="28"/>
          <w:szCs w:val="28"/>
        </w:rPr>
        <w:t>民營</w:t>
      </w:r>
      <w:r w:rsidRPr="00C77E77">
        <w:rPr>
          <w:sz w:val="28"/>
          <w:szCs w:val="28"/>
        </w:rPr>
        <w:t>企業紛紛投入石化產品生產。</w:t>
      </w:r>
      <w:r w:rsidRPr="00C77E77">
        <w:rPr>
          <w:sz w:val="28"/>
          <w:szCs w:val="28"/>
        </w:rPr>
        <w:t>2015</w:t>
      </w:r>
      <w:r w:rsidRPr="00C77E77">
        <w:rPr>
          <w:sz w:val="28"/>
          <w:szCs w:val="28"/>
        </w:rPr>
        <w:t>年的印度石化產品產能估計超過</w:t>
      </w:r>
      <w:r w:rsidRPr="00C77E77">
        <w:rPr>
          <w:sz w:val="28"/>
          <w:szCs w:val="28"/>
        </w:rPr>
        <w:t>4,000</w:t>
      </w:r>
      <w:r w:rsidRPr="00C77E77">
        <w:rPr>
          <w:sz w:val="28"/>
          <w:szCs w:val="28"/>
        </w:rPr>
        <w:t>萬公噸；其中，乙烯產能則超過</w:t>
      </w:r>
      <w:r w:rsidRPr="00C77E77">
        <w:rPr>
          <w:sz w:val="28"/>
          <w:szCs w:val="28"/>
        </w:rPr>
        <w:t>600</w:t>
      </w:r>
      <w:r w:rsidRPr="00C77E77">
        <w:rPr>
          <w:sz w:val="28"/>
          <w:szCs w:val="28"/>
        </w:rPr>
        <w:t>萬公噸，為全球石化產品產能前</w:t>
      </w:r>
      <w:r w:rsidRPr="00C77E77">
        <w:rPr>
          <w:sz w:val="28"/>
          <w:szCs w:val="28"/>
        </w:rPr>
        <w:t>10</w:t>
      </w:r>
      <w:r w:rsidRPr="00C77E77">
        <w:rPr>
          <w:sz w:val="28"/>
          <w:szCs w:val="28"/>
        </w:rPr>
        <w:t>名的國家。</w:t>
      </w:r>
      <w:r w:rsidRPr="00C77E77">
        <w:rPr>
          <w:sz w:val="28"/>
          <w:szCs w:val="28"/>
          <w:vertAlign w:val="superscript"/>
        </w:rPr>
        <w:footnoteReference w:id="128"/>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信實集團所屬的</w:t>
      </w:r>
      <w:r w:rsidRPr="00C77E77">
        <w:rPr>
          <w:iCs/>
          <w:sz w:val="28"/>
          <w:szCs w:val="28"/>
        </w:rPr>
        <w:t>Reliance</w:t>
      </w:r>
      <w:r w:rsidRPr="00C77E77">
        <w:rPr>
          <w:sz w:val="28"/>
          <w:szCs w:val="28"/>
        </w:rPr>
        <w:t xml:space="preserve"> Petroleum</w:t>
      </w:r>
      <w:r w:rsidRPr="00C77E77">
        <w:rPr>
          <w:sz w:val="28"/>
          <w:szCs w:val="28"/>
        </w:rPr>
        <w:t>（</w:t>
      </w:r>
      <w:r w:rsidRPr="00C77E77">
        <w:rPr>
          <w:iCs/>
          <w:sz w:val="28"/>
          <w:szCs w:val="28"/>
        </w:rPr>
        <w:t>RPL</w:t>
      </w:r>
      <w:r w:rsidRPr="00C77E77">
        <w:rPr>
          <w:sz w:val="28"/>
          <w:szCs w:val="28"/>
        </w:rPr>
        <w:t>）是印度最大的石化生產公司，在印度石化產品市場佔有率達</w:t>
      </w:r>
      <w:r w:rsidRPr="00C77E77">
        <w:rPr>
          <w:sz w:val="28"/>
          <w:szCs w:val="28"/>
        </w:rPr>
        <w:t>80</w:t>
      </w:r>
      <w:r w:rsidRPr="00C77E77">
        <w:rPr>
          <w:sz w:val="28"/>
          <w:szCs w:val="28"/>
        </w:rPr>
        <w:t>％以上，名列全球</w:t>
      </w:r>
      <w:r w:rsidRPr="00C77E77">
        <w:rPr>
          <w:sz w:val="28"/>
          <w:szCs w:val="28"/>
        </w:rPr>
        <w:t>500</w:t>
      </w:r>
      <w:r w:rsidRPr="00C77E77">
        <w:rPr>
          <w:sz w:val="28"/>
          <w:szCs w:val="28"/>
        </w:rPr>
        <w:t>強之一。該公司業務包括石油開採生產、煉油、石油零售、聚合物、纖維、化學品等，是目前世界第三大二甲苯（</w:t>
      </w:r>
      <w:r w:rsidRPr="00C77E77">
        <w:rPr>
          <w:sz w:val="28"/>
          <w:szCs w:val="28"/>
        </w:rPr>
        <w:t>PX</w:t>
      </w:r>
      <w:r w:rsidRPr="00C77E77">
        <w:rPr>
          <w:sz w:val="28"/>
          <w:szCs w:val="28"/>
        </w:rPr>
        <w:t>）生產商（年產能</w:t>
      </w:r>
      <w:r w:rsidRPr="00C77E77">
        <w:rPr>
          <w:sz w:val="28"/>
          <w:szCs w:val="28"/>
        </w:rPr>
        <w:t>195</w:t>
      </w:r>
      <w:r w:rsidRPr="00C77E77">
        <w:rPr>
          <w:sz w:val="28"/>
          <w:szCs w:val="28"/>
        </w:rPr>
        <w:t>萬噸），並為世界第四大的純對苯</w:t>
      </w:r>
      <w:smartTag w:uri="urn:schemas-microsoft-com:office:smarttags" w:element="chmetcnv">
        <w:smartTagPr>
          <w:attr w:name="UnitName" w:val="甲"/>
          <w:attr w:name="SourceValue" w:val="2"/>
          <w:attr w:name="HasSpace" w:val="False"/>
          <w:attr w:name="Negative" w:val="False"/>
          <w:attr w:name="NumberType" w:val="3"/>
          <w:attr w:name="TCSC" w:val="1"/>
        </w:smartTagPr>
        <w:r w:rsidRPr="00C77E77">
          <w:rPr>
            <w:sz w:val="28"/>
            <w:szCs w:val="28"/>
          </w:rPr>
          <w:t>二甲</w:t>
        </w:r>
      </w:smartTag>
      <w:r w:rsidRPr="00C77E77">
        <w:rPr>
          <w:sz w:val="28"/>
          <w:szCs w:val="28"/>
        </w:rPr>
        <w:t>酸（</w:t>
      </w:r>
      <w:r w:rsidRPr="00C77E77">
        <w:rPr>
          <w:sz w:val="28"/>
          <w:szCs w:val="28"/>
        </w:rPr>
        <w:t>PTA</w:t>
      </w:r>
      <w:r w:rsidRPr="00C77E77">
        <w:rPr>
          <w:sz w:val="28"/>
          <w:szCs w:val="28"/>
        </w:rPr>
        <w:t>）生產商（年產能</w:t>
      </w:r>
      <w:r w:rsidRPr="00C77E77">
        <w:rPr>
          <w:sz w:val="28"/>
          <w:szCs w:val="28"/>
        </w:rPr>
        <w:t>208</w:t>
      </w:r>
      <w:r w:rsidRPr="00C77E77">
        <w:rPr>
          <w:sz w:val="28"/>
          <w:szCs w:val="28"/>
        </w:rPr>
        <w:t>萬噸）。在聚丙烯（</w:t>
      </w:r>
      <w:r w:rsidRPr="00C77E77">
        <w:rPr>
          <w:sz w:val="28"/>
          <w:szCs w:val="28"/>
        </w:rPr>
        <w:t>PP</w:t>
      </w:r>
      <w:r w:rsidRPr="00C77E77">
        <w:rPr>
          <w:sz w:val="28"/>
          <w:szCs w:val="28"/>
        </w:rPr>
        <w:t>）方面，為世界第七大生產商，年產能為</w:t>
      </w:r>
      <w:r w:rsidRPr="00C77E77">
        <w:rPr>
          <w:sz w:val="28"/>
          <w:szCs w:val="28"/>
        </w:rPr>
        <w:t>163</w:t>
      </w:r>
      <w:r w:rsidRPr="00C77E77">
        <w:rPr>
          <w:sz w:val="28"/>
          <w:szCs w:val="28"/>
        </w:rPr>
        <w:t>萬噸，國內市佔率為約</w:t>
      </w:r>
      <w:r w:rsidRPr="00C77E77">
        <w:rPr>
          <w:sz w:val="28"/>
          <w:szCs w:val="28"/>
        </w:rPr>
        <w:t>85</w:t>
      </w:r>
      <w:r w:rsidRPr="00C77E77">
        <w:rPr>
          <w:sz w:val="28"/>
          <w:szCs w:val="28"/>
        </w:rPr>
        <w:t>％。丁二烯年產能位居世界第十五位，年產能</w:t>
      </w:r>
      <w:r w:rsidRPr="00C77E77">
        <w:rPr>
          <w:sz w:val="28"/>
          <w:szCs w:val="28"/>
        </w:rPr>
        <w:t>17.5</w:t>
      </w:r>
      <w:r w:rsidRPr="00C77E77">
        <w:rPr>
          <w:sz w:val="28"/>
          <w:szCs w:val="28"/>
        </w:rPr>
        <w:t>萬噸，國內市佔率約</w:t>
      </w:r>
      <w:r w:rsidRPr="00C77E77">
        <w:rPr>
          <w:sz w:val="28"/>
          <w:szCs w:val="28"/>
        </w:rPr>
        <w:t>68</w:t>
      </w:r>
      <w:r w:rsidRPr="00C77E77">
        <w:rPr>
          <w:sz w:val="28"/>
          <w:szCs w:val="28"/>
        </w:rPr>
        <w:t>％。</w:t>
      </w:r>
      <w:r w:rsidRPr="00C77E77">
        <w:rPr>
          <w:sz w:val="28"/>
          <w:szCs w:val="28"/>
          <w:vertAlign w:val="superscript"/>
        </w:rPr>
        <w:footnoteReference w:id="129"/>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印度國內對於聚丙烯（</w:t>
      </w:r>
      <w:r w:rsidRPr="00C77E77">
        <w:rPr>
          <w:sz w:val="28"/>
          <w:szCs w:val="28"/>
        </w:rPr>
        <w:t>PE</w:t>
      </w:r>
      <w:r w:rsidRPr="00C77E77">
        <w:rPr>
          <w:sz w:val="28"/>
          <w:szCs w:val="28"/>
        </w:rPr>
        <w:t>）、聚乙烯（</w:t>
      </w:r>
      <w:r w:rsidRPr="00C77E77">
        <w:rPr>
          <w:sz w:val="28"/>
          <w:szCs w:val="28"/>
        </w:rPr>
        <w:t>PP</w:t>
      </w:r>
      <w:r w:rsidRPr="00C77E77">
        <w:rPr>
          <w:sz w:val="28"/>
          <w:szCs w:val="28"/>
        </w:rPr>
        <w:t>）以及聚酯纖維需求目前呈現持平甚至供過於求情況。但由於印度長期內需市場看好，所以新的石化建設</w:t>
      </w:r>
      <w:r w:rsidRPr="00C77E77">
        <w:rPr>
          <w:sz w:val="28"/>
          <w:szCs w:val="28"/>
        </w:rPr>
        <w:lastRenderedPageBreak/>
        <w:t>仍持續增加中。由於印度國內合成橡膠生產能力無法滿足國內需求，當地公司與國際大廠合作生產丁二烯橡膠（</w:t>
      </w:r>
      <w:r w:rsidRPr="00C77E77">
        <w:rPr>
          <w:sz w:val="28"/>
          <w:szCs w:val="28"/>
        </w:rPr>
        <w:t>BR</w:t>
      </w:r>
      <w:r w:rsidRPr="00C77E77">
        <w:rPr>
          <w:sz w:val="28"/>
          <w:szCs w:val="28"/>
        </w:rPr>
        <w:t>）、</w:t>
      </w:r>
      <w:r w:rsidRPr="00C77E77">
        <w:rPr>
          <w:sz w:val="28"/>
          <w:szCs w:val="28"/>
        </w:rPr>
        <w:t xml:space="preserve"> </w:t>
      </w:r>
      <w:r w:rsidRPr="00C77E77">
        <w:rPr>
          <w:sz w:val="28"/>
          <w:szCs w:val="28"/>
        </w:rPr>
        <w:t>丁苯橡膠（</w:t>
      </w:r>
      <w:r w:rsidRPr="00C77E77">
        <w:rPr>
          <w:sz w:val="28"/>
          <w:szCs w:val="28"/>
        </w:rPr>
        <w:t>SBR</w:t>
      </w:r>
      <w:r w:rsidRPr="00C77E77">
        <w:rPr>
          <w:sz w:val="28"/>
          <w:szCs w:val="28"/>
        </w:rPr>
        <w:t>）、聚丁二烯橡膠（</w:t>
      </w:r>
      <w:r w:rsidRPr="00C77E77">
        <w:rPr>
          <w:sz w:val="28"/>
          <w:szCs w:val="28"/>
        </w:rPr>
        <w:t>PBR</w:t>
      </w:r>
      <w:r w:rsidRPr="00C77E77">
        <w:rPr>
          <w:sz w:val="28"/>
          <w:szCs w:val="28"/>
        </w:rPr>
        <w:t>）以及丁基橡膠（</w:t>
      </w:r>
      <w:r w:rsidRPr="00C77E77">
        <w:rPr>
          <w:sz w:val="28"/>
          <w:szCs w:val="28"/>
        </w:rPr>
        <w:t>IIR</w:t>
      </w:r>
      <w:r w:rsidRPr="00C77E77">
        <w:rPr>
          <w:sz w:val="28"/>
          <w:szCs w:val="28"/>
        </w:rPr>
        <w:t>）等。</w:t>
      </w:r>
      <w:r w:rsidRPr="00C77E77">
        <w:rPr>
          <w:sz w:val="28"/>
          <w:szCs w:val="28"/>
          <w:vertAlign w:val="superscript"/>
        </w:rPr>
        <w:footnoteReference w:id="130"/>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00FD0D5A" w:rsidRPr="00C77E77">
        <w:rPr>
          <w:sz w:val="28"/>
          <w:szCs w:val="28"/>
        </w:rPr>
        <w:t>臺</w:t>
      </w:r>
      <w:r w:rsidRPr="00C77E77">
        <w:rPr>
          <w:sz w:val="28"/>
          <w:szCs w:val="28"/>
        </w:rPr>
        <w:t>商方面，</w:t>
      </w:r>
      <w:r w:rsidR="00FD0D5A" w:rsidRPr="00C77E77">
        <w:rPr>
          <w:sz w:val="28"/>
          <w:szCs w:val="28"/>
        </w:rPr>
        <w:t>臺</w:t>
      </w:r>
      <w:r w:rsidRPr="00C77E77">
        <w:rPr>
          <w:sz w:val="28"/>
          <w:szCs w:val="28"/>
        </w:rPr>
        <w:t>橡已於</w:t>
      </w:r>
      <w:r w:rsidRPr="00C77E77">
        <w:rPr>
          <w:sz w:val="28"/>
          <w:szCs w:val="28"/>
        </w:rPr>
        <w:t>2013</w:t>
      </w:r>
      <w:r w:rsidRPr="00C77E77">
        <w:rPr>
          <w:sz w:val="28"/>
          <w:szCs w:val="28"/>
        </w:rPr>
        <w:t>年進軍印度，與印度</w:t>
      </w:r>
      <w:r w:rsidRPr="00C77E77">
        <w:rPr>
          <w:sz w:val="28"/>
          <w:szCs w:val="28"/>
        </w:rPr>
        <w:t>Indian Oil</w:t>
      </w:r>
      <w:r w:rsidR="00BD1306" w:rsidRPr="00C77E77">
        <w:rPr>
          <w:sz w:val="28"/>
          <w:szCs w:val="28"/>
        </w:rPr>
        <w:t>（</w:t>
      </w:r>
      <w:r w:rsidR="00BD1306" w:rsidRPr="00C77E77">
        <w:rPr>
          <w:sz w:val="28"/>
          <w:szCs w:val="28"/>
        </w:rPr>
        <w:t>IOCL</w:t>
      </w:r>
      <w:r w:rsidR="00BD1306" w:rsidRPr="00C77E77">
        <w:rPr>
          <w:sz w:val="28"/>
          <w:szCs w:val="28"/>
        </w:rPr>
        <w:t>）</w:t>
      </w:r>
      <w:r w:rsidRPr="00C77E77">
        <w:rPr>
          <w:sz w:val="28"/>
          <w:szCs w:val="28"/>
        </w:rPr>
        <w:t>及日本丸紅合資在印度哈雅納（</w:t>
      </w:r>
      <w:r w:rsidRPr="00C77E77">
        <w:rPr>
          <w:sz w:val="28"/>
          <w:szCs w:val="28"/>
        </w:rPr>
        <w:t>Haryana</w:t>
      </w:r>
      <w:r w:rsidRPr="00C77E77">
        <w:rPr>
          <w:sz w:val="28"/>
          <w:szCs w:val="28"/>
        </w:rPr>
        <w:t>）省</w:t>
      </w:r>
      <w:r w:rsidRPr="00C77E77">
        <w:rPr>
          <w:sz w:val="28"/>
          <w:szCs w:val="28"/>
        </w:rPr>
        <w:t>Panipat</w:t>
      </w:r>
      <w:r w:rsidRPr="00C77E77">
        <w:rPr>
          <w:sz w:val="28"/>
          <w:szCs w:val="28"/>
        </w:rPr>
        <w:t>成立合資公司。</w:t>
      </w:r>
      <w:r w:rsidR="00FD0D5A" w:rsidRPr="00C77E77">
        <w:rPr>
          <w:sz w:val="28"/>
          <w:szCs w:val="28"/>
        </w:rPr>
        <w:t>臺</w:t>
      </w:r>
      <w:r w:rsidRPr="00C77E77">
        <w:rPr>
          <w:sz w:val="28"/>
          <w:szCs w:val="28"/>
        </w:rPr>
        <w:t>橡持股</w:t>
      </w:r>
      <w:r w:rsidRPr="00C77E77">
        <w:rPr>
          <w:sz w:val="28"/>
          <w:szCs w:val="28"/>
        </w:rPr>
        <w:t>30</w:t>
      </w:r>
      <w:r w:rsidRPr="00C77E77">
        <w:rPr>
          <w:sz w:val="28"/>
          <w:szCs w:val="28"/>
        </w:rPr>
        <w:t>％、印度國有石油</w:t>
      </w:r>
      <w:r w:rsidRPr="00C77E77">
        <w:rPr>
          <w:sz w:val="28"/>
          <w:szCs w:val="28"/>
        </w:rPr>
        <w:t>50</w:t>
      </w:r>
      <w:r w:rsidRPr="00C77E77">
        <w:rPr>
          <w:sz w:val="28"/>
          <w:szCs w:val="28"/>
        </w:rPr>
        <w:t>％、日本丸紅株式會社</w:t>
      </w:r>
      <w:r w:rsidRPr="00C77E77">
        <w:rPr>
          <w:sz w:val="28"/>
          <w:szCs w:val="28"/>
        </w:rPr>
        <w:t>20</w:t>
      </w:r>
      <w:r w:rsidRPr="00C77E77">
        <w:rPr>
          <w:sz w:val="28"/>
          <w:szCs w:val="28"/>
        </w:rPr>
        <w:t>％，年產</w:t>
      </w:r>
      <w:r w:rsidRPr="00C77E77">
        <w:rPr>
          <w:sz w:val="28"/>
          <w:szCs w:val="28"/>
        </w:rPr>
        <w:t>12</w:t>
      </w:r>
      <w:r w:rsidRPr="00C77E77">
        <w:rPr>
          <w:sz w:val="28"/>
          <w:szCs w:val="28"/>
        </w:rPr>
        <w:t>萬噸苯乙烯丁二烯橡膠（</w:t>
      </w:r>
      <w:r w:rsidRPr="00C77E77">
        <w:rPr>
          <w:sz w:val="28"/>
          <w:szCs w:val="28"/>
        </w:rPr>
        <w:t>SBR</w:t>
      </w:r>
      <w:r w:rsidRPr="00C77E77">
        <w:rPr>
          <w:sz w:val="28"/>
          <w:szCs w:val="28"/>
        </w:rPr>
        <w:t>）。該廠預估</w:t>
      </w:r>
      <w:r w:rsidRPr="00C77E77">
        <w:rPr>
          <w:sz w:val="28"/>
          <w:szCs w:val="28"/>
        </w:rPr>
        <w:t>2016</w:t>
      </w:r>
      <w:r w:rsidRPr="00C77E77">
        <w:rPr>
          <w:sz w:val="28"/>
          <w:szCs w:val="28"/>
        </w:rPr>
        <w:t>年損益兩平，</w:t>
      </w:r>
      <w:r w:rsidRPr="00C77E77">
        <w:rPr>
          <w:sz w:val="28"/>
          <w:szCs w:val="28"/>
        </w:rPr>
        <w:t>2017</w:t>
      </w:r>
      <w:r w:rsidRPr="00C77E77">
        <w:rPr>
          <w:sz w:val="28"/>
          <w:szCs w:val="28"/>
        </w:rPr>
        <w:t>年開始獲利。中橡則在</w:t>
      </w:r>
      <w:r w:rsidRPr="00C77E77">
        <w:rPr>
          <w:sz w:val="28"/>
          <w:szCs w:val="28"/>
        </w:rPr>
        <w:t>2000</w:t>
      </w:r>
      <w:r w:rsidRPr="00C77E77">
        <w:rPr>
          <w:sz w:val="28"/>
          <w:szCs w:val="28"/>
        </w:rPr>
        <w:t>年購併印度新德里碳煙廠，年產能</w:t>
      </w:r>
      <w:r w:rsidRPr="00C77E77">
        <w:rPr>
          <w:sz w:val="28"/>
          <w:szCs w:val="28"/>
        </w:rPr>
        <w:t>6.5</w:t>
      </w:r>
      <w:r w:rsidRPr="00C77E77">
        <w:rPr>
          <w:sz w:val="28"/>
          <w:szCs w:val="28"/>
        </w:rPr>
        <w:t>萬噸，在印度市場市占率約</w:t>
      </w:r>
      <w:r w:rsidRPr="00C77E77">
        <w:rPr>
          <w:sz w:val="28"/>
          <w:szCs w:val="28"/>
        </w:rPr>
        <w:t>10</w:t>
      </w:r>
      <w:r w:rsidRPr="00C77E77">
        <w:rPr>
          <w:sz w:val="28"/>
          <w:szCs w:val="28"/>
        </w:rPr>
        <w:t>％，毛利率</w:t>
      </w:r>
      <w:r w:rsidRPr="00C77E77">
        <w:rPr>
          <w:sz w:val="28"/>
          <w:szCs w:val="28"/>
        </w:rPr>
        <w:t>15</w:t>
      </w:r>
      <w:r w:rsidRPr="00C77E77">
        <w:rPr>
          <w:sz w:val="28"/>
          <w:szCs w:val="28"/>
        </w:rPr>
        <w:t>％。看好印度的長期發展，中橡已將原有</w:t>
      </w:r>
      <w:r w:rsidRPr="00C77E77">
        <w:rPr>
          <w:sz w:val="28"/>
          <w:szCs w:val="28"/>
        </w:rPr>
        <w:t>92</w:t>
      </w:r>
      <w:r w:rsidRPr="00C77E77">
        <w:rPr>
          <w:sz w:val="28"/>
          <w:szCs w:val="28"/>
        </w:rPr>
        <w:t>％股權的印度廠，加碼到</w:t>
      </w:r>
      <w:r w:rsidRPr="00C77E77">
        <w:rPr>
          <w:sz w:val="28"/>
          <w:szCs w:val="28"/>
        </w:rPr>
        <w:t>100</w:t>
      </w:r>
      <w:r w:rsidRPr="00C77E77">
        <w:rPr>
          <w:sz w:val="28"/>
          <w:szCs w:val="28"/>
        </w:rPr>
        <w:t>％持有。</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此外，中鼎工程於</w:t>
      </w:r>
      <w:r w:rsidRPr="00C77E77">
        <w:rPr>
          <w:sz w:val="28"/>
          <w:szCs w:val="28"/>
        </w:rPr>
        <w:t>2008</w:t>
      </w:r>
      <w:r w:rsidRPr="00C77E77">
        <w:rPr>
          <w:sz w:val="28"/>
          <w:szCs w:val="28"/>
        </w:rPr>
        <w:t>年</w:t>
      </w:r>
      <w:r w:rsidRPr="00C77E77">
        <w:rPr>
          <w:sz w:val="28"/>
          <w:szCs w:val="28"/>
        </w:rPr>
        <w:t>8</w:t>
      </w:r>
      <w:r w:rsidRPr="00C77E77">
        <w:rPr>
          <w:sz w:val="28"/>
          <w:szCs w:val="28"/>
        </w:rPr>
        <w:t>月成立中鼎印度公司，在</w:t>
      </w:r>
      <w:r w:rsidRPr="00C77E77">
        <w:rPr>
          <w:sz w:val="28"/>
          <w:szCs w:val="28"/>
        </w:rPr>
        <w:t>2009</w:t>
      </w:r>
      <w:r w:rsidRPr="00C77E77">
        <w:rPr>
          <w:sz w:val="28"/>
          <w:szCs w:val="28"/>
        </w:rPr>
        <w:t>年得標印度</w:t>
      </w:r>
      <w:r w:rsidR="007D3AE3" w:rsidRPr="00C77E77">
        <w:rPr>
          <w:sz w:val="28"/>
          <w:szCs w:val="28"/>
        </w:rPr>
        <w:t>柯欽（</w:t>
      </w:r>
      <w:r w:rsidR="007D3AE3" w:rsidRPr="00C77E77">
        <w:rPr>
          <w:sz w:val="28"/>
          <w:szCs w:val="28"/>
        </w:rPr>
        <w:t>Kochi</w:t>
      </w:r>
      <w:r w:rsidR="007D3AE3" w:rsidRPr="00C77E77">
        <w:rPr>
          <w:sz w:val="28"/>
          <w:szCs w:val="28"/>
        </w:rPr>
        <w:t>）</w:t>
      </w:r>
      <w:r w:rsidRPr="00C77E77">
        <w:rPr>
          <w:sz w:val="28"/>
          <w:szCs w:val="28"/>
        </w:rPr>
        <w:t>液化天然氣廠統包工程，經費高達</w:t>
      </w:r>
      <w:r w:rsidRPr="00C77E77">
        <w:rPr>
          <w:sz w:val="28"/>
          <w:szCs w:val="28"/>
        </w:rPr>
        <w:t>3.2</w:t>
      </w:r>
      <w:r w:rsidRPr="00C77E77">
        <w:rPr>
          <w:sz w:val="28"/>
          <w:szCs w:val="28"/>
        </w:rPr>
        <w:t>億美元（約新</w:t>
      </w:r>
      <w:r w:rsidR="00FD0D5A" w:rsidRPr="00C77E77">
        <w:rPr>
          <w:sz w:val="28"/>
          <w:szCs w:val="28"/>
        </w:rPr>
        <w:t>臺</w:t>
      </w:r>
      <w:r w:rsidRPr="00C77E77">
        <w:rPr>
          <w:sz w:val="28"/>
          <w:szCs w:val="28"/>
        </w:rPr>
        <w:t>幣</w:t>
      </w:r>
      <w:r w:rsidRPr="00C77E77">
        <w:rPr>
          <w:sz w:val="28"/>
          <w:szCs w:val="28"/>
        </w:rPr>
        <w:t>102.2</w:t>
      </w:r>
      <w:r w:rsidRPr="00C77E77">
        <w:rPr>
          <w:sz w:val="28"/>
          <w:szCs w:val="28"/>
        </w:rPr>
        <w:t>億元）。業者表示，若</w:t>
      </w:r>
      <w:r w:rsidR="00FD0D5A" w:rsidRPr="00C77E77">
        <w:rPr>
          <w:sz w:val="28"/>
          <w:szCs w:val="28"/>
        </w:rPr>
        <w:t>臺</w:t>
      </w:r>
      <w:r w:rsidRPr="00C77E77">
        <w:rPr>
          <w:sz w:val="28"/>
          <w:szCs w:val="28"/>
        </w:rPr>
        <w:t>、印政府能夠達成相關的賦稅優惠協議，可以讓</w:t>
      </w:r>
      <w:r w:rsidR="00FD0D5A" w:rsidRPr="00C77E77">
        <w:rPr>
          <w:sz w:val="28"/>
          <w:szCs w:val="28"/>
        </w:rPr>
        <w:t>臺</w:t>
      </w:r>
      <w:r w:rsidRPr="00C77E77">
        <w:rPr>
          <w:sz w:val="28"/>
          <w:szCs w:val="28"/>
        </w:rPr>
        <w:t>商在印度市場上有更大競爭力。</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綜上所述，馬來西亞與印尼之石化產能仍處於供不應求之階段，我國可將石化產品拓銷至兩國市場，降低中國大陸自主趨勢帶來之衝擊。同時，馬來西亞政府近年來積極擴大石化產能，致力於推動新的石化園區，我國石化廠商可與他國（如日本</w:t>
      </w:r>
      <w:r w:rsidRPr="00C77E77">
        <w:rPr>
          <w:sz w:val="28"/>
          <w:szCs w:val="28"/>
        </w:rPr>
        <w:t>)</w:t>
      </w:r>
      <w:r w:rsidRPr="00C77E77">
        <w:rPr>
          <w:sz w:val="28"/>
          <w:szCs w:val="28"/>
        </w:rPr>
        <w:t>合作進駐園區協助馬國開發石化產能。印尼政府則開放下游石化產業予民間企業，包含加油站等，我國石化企業可多加把握。</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新加坡裕廊島石化園區成功吸引跨國廠商進駐，已形成石化聚落。我國石化業者可參酌日本作法，入股新加坡當地石化公司，一方面降低資金壓力與財務風險，一方面提高參與當地市場之機會。</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009113F3" w:rsidRPr="00C77E77">
        <w:rPr>
          <w:sz w:val="28"/>
          <w:szCs w:val="28"/>
        </w:rPr>
        <w:t>印度</w:t>
      </w:r>
      <w:r w:rsidRPr="00C77E77">
        <w:rPr>
          <w:sz w:val="28"/>
          <w:szCs w:val="28"/>
        </w:rPr>
        <w:t>國內合成橡膠生產能力仍無法滿足國內需求，當地公司與國際大廠多有合作，我國</w:t>
      </w:r>
      <w:r w:rsidR="00FD0D5A" w:rsidRPr="00C77E77">
        <w:rPr>
          <w:sz w:val="28"/>
          <w:szCs w:val="28"/>
        </w:rPr>
        <w:t>臺</w:t>
      </w:r>
      <w:r w:rsidRPr="00C77E77">
        <w:rPr>
          <w:sz w:val="28"/>
          <w:szCs w:val="28"/>
        </w:rPr>
        <w:t>商如</w:t>
      </w:r>
      <w:r w:rsidR="00FD0D5A" w:rsidRPr="00C77E77">
        <w:rPr>
          <w:sz w:val="28"/>
          <w:szCs w:val="28"/>
        </w:rPr>
        <w:t>臺</w:t>
      </w:r>
      <w:r w:rsidRPr="00C77E77">
        <w:rPr>
          <w:sz w:val="28"/>
          <w:szCs w:val="28"/>
        </w:rPr>
        <w:t>橡及中鼎工程皆已進入印度石化市場，看好印度石</w:t>
      </w:r>
      <w:r w:rsidRPr="00C77E77">
        <w:rPr>
          <w:sz w:val="28"/>
          <w:szCs w:val="28"/>
        </w:rPr>
        <w:lastRenderedPageBreak/>
        <w:t>化產業之長期發展展望。</w:t>
      </w:r>
    </w:p>
    <w:p w:rsidR="00820ADA" w:rsidRPr="00C77E77" w:rsidRDefault="00820ADA" w:rsidP="00820ADA">
      <w:pPr>
        <w:pStyle w:val="afe"/>
        <w:tabs>
          <w:tab w:val="clear" w:pos="567"/>
          <w:tab w:val="left" w:pos="465"/>
        </w:tabs>
        <w:spacing w:beforeLines="50" w:before="180" w:afterLines="50" w:after="180" w:line="500" w:lineRule="exact"/>
        <w:ind w:firstLineChars="0" w:firstLine="0"/>
        <w:rPr>
          <w:color w:val="auto"/>
          <w:sz w:val="28"/>
          <w:szCs w:val="28"/>
        </w:rPr>
      </w:pPr>
      <w:r w:rsidRPr="00C77E77">
        <w:rPr>
          <w:color w:val="FF0000"/>
          <w:sz w:val="28"/>
          <w:szCs w:val="28"/>
        </w:rPr>
        <w:tab/>
      </w:r>
      <w:r w:rsidRPr="00C77E77">
        <w:rPr>
          <w:color w:val="auto"/>
          <w:sz w:val="28"/>
          <w:szCs w:val="28"/>
        </w:rPr>
        <w:t>總結來說，我國石化工程業者具有海外（含馬來西亞等區域）石化廠建置經驗，且我國為</w:t>
      </w:r>
      <w:r w:rsidRPr="00C77E77">
        <w:rPr>
          <w:color w:val="auto"/>
          <w:sz w:val="28"/>
          <w:szCs w:val="28"/>
        </w:rPr>
        <w:t>WTO/GPA</w:t>
      </w:r>
      <w:r w:rsidRPr="00C77E77">
        <w:rPr>
          <w:color w:val="auto"/>
          <w:sz w:val="28"/>
          <w:szCs w:val="28"/>
        </w:rPr>
        <w:t>會員國之一，業者熟悉國際採購規範經驗，我國石化業者可藉由其他地區（如中東區域）之建置經驗，積極布局東南亞市場之石化煉油標案。我國工程會自</w:t>
      </w:r>
      <w:r w:rsidRPr="00C77E77">
        <w:rPr>
          <w:color w:val="auto"/>
          <w:sz w:val="28"/>
          <w:szCs w:val="28"/>
        </w:rPr>
        <w:t>2015</w:t>
      </w:r>
      <w:r w:rsidRPr="00C77E77">
        <w:rPr>
          <w:color w:val="auto"/>
          <w:sz w:val="28"/>
          <w:szCs w:val="28"/>
        </w:rPr>
        <w:t>年起每年編列預算，協助工程業者（含石化工程業者）前往海外地方拓點，包含設立新據點或擴大既有據點，</w:t>
      </w:r>
      <w:r w:rsidRPr="00C77E77">
        <w:rPr>
          <w:color w:val="auto"/>
          <w:sz w:val="28"/>
          <w:szCs w:val="28"/>
        </w:rPr>
        <w:t>2016</w:t>
      </w:r>
      <w:r w:rsidRPr="00C77E77">
        <w:rPr>
          <w:color w:val="auto"/>
          <w:sz w:val="28"/>
          <w:szCs w:val="28"/>
        </w:rPr>
        <w:t>年核定經費補助於東協及南亞國家約占</w:t>
      </w:r>
      <w:r w:rsidRPr="00C77E77">
        <w:rPr>
          <w:color w:val="auto"/>
          <w:sz w:val="28"/>
          <w:szCs w:val="28"/>
        </w:rPr>
        <w:t>42</w:t>
      </w:r>
      <w:r w:rsidRPr="00C77E77">
        <w:rPr>
          <w:color w:val="auto"/>
          <w:sz w:val="28"/>
          <w:szCs w:val="28"/>
        </w:rPr>
        <w:t>％。</w:t>
      </w:r>
      <w:r w:rsidRPr="00C77E77">
        <w:rPr>
          <w:rStyle w:val="a9"/>
          <w:color w:val="auto"/>
          <w:sz w:val="28"/>
          <w:szCs w:val="28"/>
        </w:rPr>
        <w:footnoteReference w:id="131"/>
      </w:r>
    </w:p>
    <w:p w:rsidR="00820ADA" w:rsidRPr="00C77E77" w:rsidRDefault="00820ADA" w:rsidP="00820ADA">
      <w:pPr>
        <w:pStyle w:val="afe"/>
        <w:tabs>
          <w:tab w:val="clear" w:pos="567"/>
          <w:tab w:val="left" w:pos="465"/>
        </w:tabs>
        <w:spacing w:beforeLines="50" w:before="180" w:afterLines="50" w:after="180" w:line="500" w:lineRule="exact"/>
        <w:ind w:firstLineChars="0" w:firstLine="0"/>
        <w:rPr>
          <w:color w:val="auto"/>
          <w:sz w:val="28"/>
          <w:szCs w:val="28"/>
        </w:rPr>
      </w:pPr>
      <w:r w:rsidRPr="00C77E77">
        <w:rPr>
          <w:color w:val="auto"/>
          <w:sz w:val="28"/>
          <w:szCs w:val="28"/>
        </w:rPr>
        <w:t xml:space="preserve">    </w:t>
      </w:r>
      <w:r w:rsidRPr="00C77E77">
        <w:rPr>
          <w:color w:val="auto"/>
          <w:sz w:val="28"/>
          <w:szCs w:val="28"/>
        </w:rPr>
        <w:t>不過，</w:t>
      </w:r>
      <w:r w:rsidRPr="00C77E77">
        <w:rPr>
          <w:color w:val="auto"/>
          <w:kern w:val="0"/>
          <w:sz w:val="28"/>
          <w:szCs w:val="28"/>
        </w:rPr>
        <w:t>我國缺乏海外統包</w:t>
      </w:r>
      <w:r w:rsidRPr="00C77E77">
        <w:rPr>
          <w:color w:val="auto"/>
          <w:kern w:val="0"/>
          <w:sz w:val="28"/>
          <w:szCs w:val="28"/>
        </w:rPr>
        <w:t>/</w:t>
      </w:r>
      <w:r w:rsidRPr="00C77E77">
        <w:rPr>
          <w:color w:val="auto"/>
          <w:kern w:val="0"/>
          <w:sz w:val="28"/>
          <w:szCs w:val="28"/>
        </w:rPr>
        <w:t>工程實務經驗及人才，國內石化工程人員國際化經驗需持續提升，特別是國際商務、契約管理、強化商情管道及有效掌握標案等實務經驗</w:t>
      </w:r>
      <w:r w:rsidRPr="00C77E77">
        <w:rPr>
          <w:color w:val="auto"/>
          <w:sz w:val="28"/>
          <w:szCs w:val="28"/>
        </w:rPr>
        <w:t>。此外</w:t>
      </w:r>
      <w:r w:rsidRPr="00C77E77">
        <w:rPr>
          <w:color w:val="auto"/>
          <w:kern w:val="0"/>
          <w:sz w:val="28"/>
          <w:szCs w:val="28"/>
        </w:rPr>
        <w:t>，國際大廠統包整合技術成熟，已具相當實績與競爭優勢，而日韓等業者大多為大型石化工程公司，且多隸屬企業集團，可藉由關係企業取得商務及商情資訊，並挾政府政策及金融體系整體資源，搶攻國際石化工程標案，不利我國石化業者競爭</w:t>
      </w:r>
      <w:r w:rsidRPr="00C77E77">
        <w:rPr>
          <w:color w:val="auto"/>
          <w:sz w:val="28"/>
          <w:szCs w:val="28"/>
        </w:rPr>
        <w:t>。此為我國石化業者進軍東南亞及印度之挑戰。</w:t>
      </w:r>
    </w:p>
    <w:p w:rsidR="00FE0CDD" w:rsidRPr="00C77E77" w:rsidRDefault="00FE0CDD" w:rsidP="0001327A">
      <w:pPr>
        <w:pStyle w:val="ab"/>
        <w:numPr>
          <w:ilvl w:val="0"/>
          <w:numId w:val="34"/>
        </w:numPr>
        <w:spacing w:beforeLines="50" w:before="180" w:afterLines="50" w:after="180" w:line="500" w:lineRule="exact"/>
        <w:ind w:leftChars="0"/>
        <w:jc w:val="both"/>
        <w:rPr>
          <w:rFonts w:ascii="Times New Roman" w:eastAsia="標楷體" w:hAnsi="Times New Roman" w:cs="Times New Roman"/>
          <w:b/>
          <w:color w:val="000000" w:themeColor="text1"/>
          <w:spacing w:val="14"/>
          <w:sz w:val="28"/>
          <w:szCs w:val="28"/>
        </w:rPr>
      </w:pPr>
      <w:r w:rsidRPr="00C77E77">
        <w:rPr>
          <w:rFonts w:ascii="Times New Roman" w:eastAsia="標楷體" w:hAnsi="Times New Roman" w:cs="Times New Roman"/>
          <w:b/>
          <w:color w:val="000000" w:themeColor="text1"/>
          <w:spacing w:val="14"/>
          <w:sz w:val="28"/>
          <w:szCs w:val="28"/>
        </w:rPr>
        <w:t>智慧健康產業</w:t>
      </w:r>
    </w:p>
    <w:p w:rsidR="00FE0CDD" w:rsidRPr="00C77E77" w:rsidRDefault="00FE0CDD" w:rsidP="00FE0CDD">
      <w:pPr>
        <w:pStyle w:val="afe"/>
        <w:tabs>
          <w:tab w:val="clear" w:pos="567"/>
          <w:tab w:val="left" w:pos="465"/>
        </w:tabs>
        <w:spacing w:beforeLines="50" w:before="180" w:afterLines="50" w:after="180" w:line="500" w:lineRule="exact"/>
        <w:ind w:leftChars="-1" w:left="-2" w:firstLineChars="0" w:firstLine="1"/>
        <w:rPr>
          <w:sz w:val="28"/>
          <w:szCs w:val="28"/>
        </w:rPr>
      </w:pPr>
      <w:r w:rsidRPr="00C77E77">
        <w:rPr>
          <w:sz w:val="28"/>
          <w:szCs w:val="28"/>
        </w:rPr>
        <w:t xml:space="preserve">    </w:t>
      </w:r>
      <w:r w:rsidRPr="00C77E77">
        <w:rPr>
          <w:sz w:val="28"/>
          <w:szCs w:val="28"/>
        </w:rPr>
        <w:t>我國於「智慧醫療器材」領域長期耕耘，在各種穿戴式醫材、行動醫材、遠距醫材、居家醫材等產品，已逐漸在國際市場嶄露頭角。東南亞及印度隨著經濟持續成長且相關醫療政策推動下，對醫療照顧需求增加，可望帶動當地醫療器材市場快速發展，故我國可自「智慧醫療器材」領域切入，系統輸出「智慧健康產業」至東南亞及印度。</w:t>
      </w:r>
    </w:p>
    <w:p w:rsidR="00315772" w:rsidRPr="00C77E77" w:rsidRDefault="00315772">
      <w:pPr>
        <w:widowControl/>
        <w:rPr>
          <w:rFonts w:ascii="Times New Roman" w:eastAsia="標楷體" w:hAnsi="Times New Roman" w:cs="Times New Roman"/>
          <w:color w:val="000000" w:themeColor="text1"/>
          <w:sz w:val="28"/>
          <w:szCs w:val="28"/>
        </w:rPr>
      </w:pPr>
      <w:r w:rsidRPr="00C77E77">
        <w:rPr>
          <w:rFonts w:ascii="Times New Roman" w:hAnsi="Times New Roman" w:cs="Times New Roman"/>
          <w:sz w:val="28"/>
          <w:szCs w:val="28"/>
        </w:rPr>
        <w:br w:type="page"/>
      </w:r>
    </w:p>
    <w:p w:rsidR="00FE0CDD" w:rsidRPr="00C77E77" w:rsidRDefault="00FE0CDD" w:rsidP="00FE0CDD">
      <w:pPr>
        <w:pStyle w:val="af9"/>
      </w:pPr>
      <w:bookmarkStart w:id="136" w:name="_Toc470676606"/>
      <w:r w:rsidRPr="00C77E77">
        <w:lastRenderedPageBreak/>
        <w:t>表</w:t>
      </w:r>
      <w:r w:rsidRPr="00C77E77">
        <w:t xml:space="preserve">4-4-1 </w:t>
      </w:r>
      <w:r w:rsidRPr="00C77E77">
        <w:t>東南亞主要國家醫療環境與醫材市場概況</w:t>
      </w:r>
      <w:bookmarkEnd w:id="136"/>
    </w:p>
    <w:tbl>
      <w:tblPr>
        <w:tblStyle w:val="af4"/>
        <w:tblW w:w="9351" w:type="dxa"/>
        <w:jc w:val="center"/>
        <w:tblLook w:val="04A0" w:firstRow="1" w:lastRow="0" w:firstColumn="1" w:lastColumn="0" w:noHBand="0" w:noVBand="1"/>
      </w:tblPr>
      <w:tblGrid>
        <w:gridCol w:w="1514"/>
        <w:gridCol w:w="1523"/>
        <w:gridCol w:w="1520"/>
        <w:gridCol w:w="1528"/>
        <w:gridCol w:w="1530"/>
        <w:gridCol w:w="1736"/>
      </w:tblGrid>
      <w:tr w:rsidR="00FE0CDD" w:rsidRPr="00C77E77" w:rsidTr="00315772">
        <w:trPr>
          <w:jc w:val="center"/>
        </w:trPr>
        <w:tc>
          <w:tcPr>
            <w:tcW w:w="1528"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國家</w:t>
            </w:r>
          </w:p>
        </w:tc>
        <w:tc>
          <w:tcPr>
            <w:tcW w:w="1533"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人口數</w:t>
            </w:r>
          </w:p>
          <w:p w:rsidR="00FE0CDD" w:rsidRPr="00C77E77" w:rsidRDefault="00BD1306" w:rsidP="00CA3E98">
            <w:pPr>
              <w:pStyle w:val="afe"/>
              <w:tabs>
                <w:tab w:val="clear" w:pos="567"/>
                <w:tab w:val="left" w:pos="465"/>
              </w:tabs>
              <w:spacing w:line="500" w:lineRule="exact"/>
              <w:ind w:firstLineChars="0" w:firstLine="0"/>
              <w:contextualSpacing/>
              <w:jc w:val="center"/>
              <w:rPr>
                <w:sz w:val="24"/>
                <w:szCs w:val="24"/>
              </w:rPr>
            </w:pPr>
            <w:r w:rsidRPr="00C77E77">
              <w:rPr>
                <w:sz w:val="24"/>
                <w:szCs w:val="24"/>
              </w:rPr>
              <w:t>（</w:t>
            </w:r>
            <w:r w:rsidR="00FE0CDD" w:rsidRPr="00C77E77">
              <w:rPr>
                <w:sz w:val="24"/>
                <w:szCs w:val="24"/>
              </w:rPr>
              <w:t>百萬人</w:t>
            </w:r>
            <w:r w:rsidRPr="00C77E77">
              <w:rPr>
                <w:sz w:val="24"/>
                <w:szCs w:val="24"/>
              </w:rPr>
              <w:t>）</w:t>
            </w:r>
          </w:p>
        </w:tc>
        <w:tc>
          <w:tcPr>
            <w:tcW w:w="1532"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醫療支出</w:t>
            </w:r>
          </w:p>
          <w:p w:rsidR="00FE0CDD" w:rsidRPr="00C77E77" w:rsidRDefault="00BD1306" w:rsidP="00CA3E98">
            <w:pPr>
              <w:pStyle w:val="afe"/>
              <w:tabs>
                <w:tab w:val="clear" w:pos="567"/>
                <w:tab w:val="left" w:pos="465"/>
              </w:tabs>
              <w:spacing w:line="500" w:lineRule="exact"/>
              <w:ind w:firstLineChars="0" w:firstLine="0"/>
              <w:contextualSpacing/>
              <w:jc w:val="center"/>
              <w:rPr>
                <w:sz w:val="24"/>
                <w:szCs w:val="24"/>
              </w:rPr>
            </w:pPr>
            <w:r w:rsidRPr="00C77E77">
              <w:rPr>
                <w:sz w:val="24"/>
                <w:szCs w:val="24"/>
              </w:rPr>
              <w:t>（</w:t>
            </w:r>
            <w:r w:rsidR="00FE0CDD" w:rsidRPr="00C77E77">
              <w:rPr>
                <w:sz w:val="24"/>
                <w:szCs w:val="24"/>
              </w:rPr>
              <w:t>十億美元</w:t>
            </w:r>
            <w:r w:rsidRPr="00C77E77">
              <w:rPr>
                <w:sz w:val="24"/>
                <w:szCs w:val="24"/>
              </w:rPr>
              <w:t>）</w:t>
            </w:r>
          </w:p>
        </w:tc>
        <w:tc>
          <w:tcPr>
            <w:tcW w:w="1536"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人均醫療支出</w:t>
            </w:r>
            <w:r w:rsidRPr="00C77E77">
              <w:rPr>
                <w:sz w:val="28"/>
                <w:szCs w:val="28"/>
              </w:rPr>
              <w:t xml:space="preserve"> </w:t>
            </w:r>
          </w:p>
          <w:p w:rsidR="00FE0CDD" w:rsidRPr="00C77E77" w:rsidRDefault="00BD1306" w:rsidP="00CA3E98">
            <w:pPr>
              <w:pStyle w:val="afe"/>
              <w:tabs>
                <w:tab w:val="clear" w:pos="567"/>
                <w:tab w:val="left" w:pos="465"/>
              </w:tabs>
              <w:spacing w:line="500" w:lineRule="exact"/>
              <w:ind w:firstLineChars="0" w:firstLine="0"/>
              <w:contextualSpacing/>
              <w:jc w:val="center"/>
              <w:rPr>
                <w:sz w:val="24"/>
                <w:szCs w:val="24"/>
              </w:rPr>
            </w:pPr>
            <w:r w:rsidRPr="00C77E77">
              <w:rPr>
                <w:sz w:val="24"/>
                <w:szCs w:val="24"/>
              </w:rPr>
              <w:t>（</w:t>
            </w:r>
            <w:r w:rsidR="00FE0CDD" w:rsidRPr="00C77E77">
              <w:rPr>
                <w:sz w:val="24"/>
                <w:szCs w:val="24"/>
              </w:rPr>
              <w:t>美元</w:t>
            </w:r>
            <w:r w:rsidRPr="00C77E77">
              <w:rPr>
                <w:sz w:val="24"/>
                <w:szCs w:val="24"/>
              </w:rPr>
              <w:t>）</w:t>
            </w:r>
          </w:p>
        </w:tc>
        <w:tc>
          <w:tcPr>
            <w:tcW w:w="1537"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醫材市場</w:t>
            </w:r>
          </w:p>
          <w:p w:rsidR="00FE0CDD" w:rsidRPr="00C77E77" w:rsidRDefault="00BD1306" w:rsidP="00CA3E98">
            <w:pPr>
              <w:pStyle w:val="afe"/>
              <w:tabs>
                <w:tab w:val="clear" w:pos="567"/>
                <w:tab w:val="left" w:pos="465"/>
              </w:tabs>
              <w:spacing w:line="500" w:lineRule="exact"/>
              <w:ind w:firstLineChars="0" w:firstLine="0"/>
              <w:contextualSpacing/>
              <w:jc w:val="center"/>
              <w:rPr>
                <w:sz w:val="24"/>
                <w:szCs w:val="24"/>
              </w:rPr>
            </w:pPr>
            <w:r w:rsidRPr="00C77E77">
              <w:rPr>
                <w:sz w:val="24"/>
                <w:szCs w:val="24"/>
              </w:rPr>
              <w:t>（</w:t>
            </w:r>
            <w:r w:rsidR="00FE0CDD" w:rsidRPr="00C77E77">
              <w:rPr>
                <w:sz w:val="24"/>
                <w:szCs w:val="24"/>
              </w:rPr>
              <w:t>百萬美元</w:t>
            </w:r>
            <w:r w:rsidRPr="00C77E77">
              <w:rPr>
                <w:sz w:val="24"/>
                <w:szCs w:val="24"/>
              </w:rPr>
              <w:t>）</w:t>
            </w:r>
          </w:p>
        </w:tc>
        <w:tc>
          <w:tcPr>
            <w:tcW w:w="1685"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複合成長率</w:t>
            </w:r>
          </w:p>
          <w:p w:rsidR="00FE0CDD" w:rsidRPr="00C77E77" w:rsidRDefault="00BD1306" w:rsidP="00CA3E98">
            <w:pPr>
              <w:pStyle w:val="afe"/>
              <w:tabs>
                <w:tab w:val="clear" w:pos="567"/>
                <w:tab w:val="left" w:pos="465"/>
              </w:tabs>
              <w:spacing w:line="500" w:lineRule="exact"/>
              <w:ind w:firstLineChars="0" w:firstLine="0"/>
              <w:contextualSpacing/>
              <w:jc w:val="center"/>
              <w:rPr>
                <w:sz w:val="24"/>
                <w:szCs w:val="24"/>
              </w:rPr>
            </w:pPr>
            <w:r w:rsidRPr="00C77E77">
              <w:rPr>
                <w:sz w:val="24"/>
                <w:szCs w:val="24"/>
              </w:rPr>
              <w:t>（</w:t>
            </w:r>
            <w:r w:rsidR="00FE0CDD" w:rsidRPr="00C77E77">
              <w:rPr>
                <w:sz w:val="24"/>
                <w:szCs w:val="24"/>
              </w:rPr>
              <w:t>2015-2018</w:t>
            </w:r>
            <w:r w:rsidRPr="00C77E77">
              <w:rPr>
                <w:sz w:val="24"/>
                <w:szCs w:val="24"/>
              </w:rPr>
              <w:t>）</w:t>
            </w:r>
          </w:p>
        </w:tc>
      </w:tr>
      <w:tr w:rsidR="00FE0CDD" w:rsidRPr="00C77E77" w:rsidTr="00315772">
        <w:trPr>
          <w:jc w:val="center"/>
        </w:trPr>
        <w:tc>
          <w:tcPr>
            <w:tcW w:w="1528"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馬來西亞</w:t>
            </w:r>
          </w:p>
        </w:tc>
        <w:tc>
          <w:tcPr>
            <w:tcW w:w="1533"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30.3</w:t>
            </w:r>
          </w:p>
        </w:tc>
        <w:tc>
          <w:tcPr>
            <w:tcW w:w="1532"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12.5</w:t>
            </w:r>
          </w:p>
        </w:tc>
        <w:tc>
          <w:tcPr>
            <w:tcW w:w="1536"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406.8</w:t>
            </w:r>
          </w:p>
        </w:tc>
        <w:tc>
          <w:tcPr>
            <w:tcW w:w="1537"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1,400.5</w:t>
            </w:r>
          </w:p>
        </w:tc>
        <w:tc>
          <w:tcPr>
            <w:tcW w:w="1685"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9.3%</w:t>
            </w:r>
          </w:p>
        </w:tc>
      </w:tr>
      <w:tr w:rsidR="00FE0CDD" w:rsidRPr="00C77E77" w:rsidTr="00315772">
        <w:trPr>
          <w:jc w:val="center"/>
        </w:trPr>
        <w:tc>
          <w:tcPr>
            <w:tcW w:w="1528"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泰國</w:t>
            </w:r>
          </w:p>
        </w:tc>
        <w:tc>
          <w:tcPr>
            <w:tcW w:w="1533"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68.0</w:t>
            </w:r>
          </w:p>
        </w:tc>
        <w:tc>
          <w:tcPr>
            <w:tcW w:w="1532"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19.0</w:t>
            </w:r>
          </w:p>
        </w:tc>
        <w:tc>
          <w:tcPr>
            <w:tcW w:w="1536"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281.5</w:t>
            </w:r>
          </w:p>
        </w:tc>
        <w:tc>
          <w:tcPr>
            <w:tcW w:w="1537"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1,209.1</w:t>
            </w:r>
          </w:p>
        </w:tc>
        <w:tc>
          <w:tcPr>
            <w:tcW w:w="1685"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11.5%</w:t>
            </w:r>
          </w:p>
        </w:tc>
      </w:tr>
      <w:tr w:rsidR="00FE0CDD" w:rsidRPr="00C77E77" w:rsidTr="00315772">
        <w:trPr>
          <w:jc w:val="center"/>
        </w:trPr>
        <w:tc>
          <w:tcPr>
            <w:tcW w:w="1528"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越南</w:t>
            </w:r>
          </w:p>
        </w:tc>
        <w:tc>
          <w:tcPr>
            <w:tcW w:w="1533"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93.4</w:t>
            </w:r>
          </w:p>
        </w:tc>
        <w:tc>
          <w:tcPr>
            <w:tcW w:w="1532"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12.0</w:t>
            </w:r>
          </w:p>
        </w:tc>
        <w:tc>
          <w:tcPr>
            <w:tcW w:w="1536"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129.0</w:t>
            </w:r>
          </w:p>
        </w:tc>
        <w:tc>
          <w:tcPr>
            <w:tcW w:w="1537"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781.8</w:t>
            </w:r>
          </w:p>
        </w:tc>
        <w:tc>
          <w:tcPr>
            <w:tcW w:w="1685"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8.5%</w:t>
            </w:r>
          </w:p>
        </w:tc>
      </w:tr>
      <w:tr w:rsidR="00FE0CDD" w:rsidRPr="00C77E77" w:rsidTr="00315772">
        <w:trPr>
          <w:jc w:val="center"/>
        </w:trPr>
        <w:tc>
          <w:tcPr>
            <w:tcW w:w="1528"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印尼</w:t>
            </w:r>
          </w:p>
        </w:tc>
        <w:tc>
          <w:tcPr>
            <w:tcW w:w="1533"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257.6</w:t>
            </w:r>
          </w:p>
        </w:tc>
        <w:tc>
          <w:tcPr>
            <w:tcW w:w="1532"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12.0</w:t>
            </w:r>
          </w:p>
        </w:tc>
        <w:tc>
          <w:tcPr>
            <w:tcW w:w="1536"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129.0</w:t>
            </w:r>
          </w:p>
        </w:tc>
        <w:tc>
          <w:tcPr>
            <w:tcW w:w="1537"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781.8</w:t>
            </w:r>
          </w:p>
        </w:tc>
        <w:tc>
          <w:tcPr>
            <w:tcW w:w="1685"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8.5%</w:t>
            </w:r>
          </w:p>
        </w:tc>
      </w:tr>
      <w:tr w:rsidR="00FE0CDD" w:rsidRPr="00C77E77" w:rsidTr="00315772">
        <w:trPr>
          <w:jc w:val="center"/>
        </w:trPr>
        <w:tc>
          <w:tcPr>
            <w:tcW w:w="1528"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新加坡</w:t>
            </w:r>
          </w:p>
        </w:tc>
        <w:tc>
          <w:tcPr>
            <w:tcW w:w="1533"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5.6</w:t>
            </w:r>
          </w:p>
        </w:tc>
        <w:tc>
          <w:tcPr>
            <w:tcW w:w="1532"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14.5</w:t>
            </w:r>
          </w:p>
        </w:tc>
        <w:tc>
          <w:tcPr>
            <w:tcW w:w="1536"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2578.8</w:t>
            </w:r>
          </w:p>
        </w:tc>
        <w:tc>
          <w:tcPr>
            <w:tcW w:w="1537"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525.2</w:t>
            </w:r>
          </w:p>
        </w:tc>
        <w:tc>
          <w:tcPr>
            <w:tcW w:w="1685"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10.6%</w:t>
            </w:r>
          </w:p>
        </w:tc>
      </w:tr>
      <w:tr w:rsidR="00FE0CDD" w:rsidRPr="00C77E77" w:rsidTr="00315772">
        <w:trPr>
          <w:jc w:val="center"/>
        </w:trPr>
        <w:tc>
          <w:tcPr>
            <w:tcW w:w="1528"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菲律賓</w:t>
            </w:r>
          </w:p>
        </w:tc>
        <w:tc>
          <w:tcPr>
            <w:tcW w:w="1533"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100.7</w:t>
            </w:r>
          </w:p>
        </w:tc>
        <w:tc>
          <w:tcPr>
            <w:tcW w:w="1532"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13.5</w:t>
            </w:r>
          </w:p>
        </w:tc>
        <w:tc>
          <w:tcPr>
            <w:tcW w:w="1536"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134.5</w:t>
            </w:r>
          </w:p>
        </w:tc>
        <w:tc>
          <w:tcPr>
            <w:tcW w:w="1537"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301.2</w:t>
            </w:r>
          </w:p>
        </w:tc>
        <w:tc>
          <w:tcPr>
            <w:tcW w:w="1685" w:type="dxa"/>
          </w:tcPr>
          <w:p w:rsidR="00FE0CDD" w:rsidRPr="00C77E77" w:rsidRDefault="00FE0CDD" w:rsidP="00CA3E98">
            <w:pPr>
              <w:pStyle w:val="afe"/>
              <w:tabs>
                <w:tab w:val="clear" w:pos="567"/>
                <w:tab w:val="left" w:pos="465"/>
              </w:tabs>
              <w:spacing w:line="500" w:lineRule="exact"/>
              <w:ind w:firstLineChars="0" w:firstLine="0"/>
              <w:contextualSpacing/>
              <w:jc w:val="center"/>
              <w:rPr>
                <w:sz w:val="28"/>
                <w:szCs w:val="28"/>
              </w:rPr>
            </w:pPr>
            <w:r w:rsidRPr="00C77E77">
              <w:rPr>
                <w:sz w:val="28"/>
                <w:szCs w:val="28"/>
              </w:rPr>
              <w:t>9.0%</w:t>
            </w:r>
          </w:p>
        </w:tc>
      </w:tr>
    </w:tbl>
    <w:p w:rsidR="00FE0CDD" w:rsidRPr="00C77E77" w:rsidRDefault="00FE0CDD" w:rsidP="00FE0CDD">
      <w:pPr>
        <w:pStyle w:val="afe"/>
        <w:tabs>
          <w:tab w:val="clear" w:pos="567"/>
          <w:tab w:val="left" w:pos="465"/>
        </w:tabs>
        <w:spacing w:beforeLines="50" w:before="180" w:afterLines="50" w:after="180" w:line="500" w:lineRule="exact"/>
        <w:ind w:left="1260" w:hangingChars="450" w:hanging="1260"/>
        <w:jc w:val="left"/>
        <w:rPr>
          <w:sz w:val="28"/>
          <w:szCs w:val="28"/>
        </w:rPr>
      </w:pPr>
      <w:r w:rsidRPr="00C77E77">
        <w:rPr>
          <w:sz w:val="28"/>
          <w:szCs w:val="28"/>
        </w:rPr>
        <w:t>資料來源</w:t>
      </w:r>
      <w:r w:rsidRPr="00C77E77">
        <w:rPr>
          <w:sz w:val="28"/>
          <w:szCs w:val="28"/>
        </w:rPr>
        <w:t xml:space="preserve">: </w:t>
      </w:r>
      <w:r w:rsidR="00315772" w:rsidRPr="00C77E77">
        <w:rPr>
          <w:sz w:val="28"/>
          <w:szCs w:val="28"/>
        </w:rPr>
        <w:t>整理自</w:t>
      </w:r>
      <w:r w:rsidRPr="00C77E77">
        <w:rPr>
          <w:sz w:val="28"/>
          <w:szCs w:val="28"/>
        </w:rPr>
        <w:t>The World Bank Group</w:t>
      </w:r>
      <w:r w:rsidR="00315772" w:rsidRPr="00C77E77">
        <w:rPr>
          <w:sz w:val="28"/>
          <w:szCs w:val="28"/>
        </w:rPr>
        <w:t>、</w:t>
      </w:r>
      <w:r w:rsidR="00BD1306" w:rsidRPr="00C77E77">
        <w:rPr>
          <w:sz w:val="28"/>
          <w:szCs w:val="28"/>
        </w:rPr>
        <w:t xml:space="preserve">BMI Research. </w:t>
      </w:r>
      <w:r w:rsidRPr="00C77E77">
        <w:rPr>
          <w:sz w:val="28"/>
          <w:szCs w:val="28"/>
        </w:rPr>
        <w:t>2016/03</w:t>
      </w:r>
      <w:r w:rsidR="00BD1306" w:rsidRPr="00C77E77">
        <w:rPr>
          <w:sz w:val="28"/>
          <w:szCs w:val="28"/>
        </w:rPr>
        <w:t xml:space="preserve">. </w:t>
      </w:r>
      <w:r w:rsidR="00315772" w:rsidRPr="00C77E77">
        <w:rPr>
          <w:sz w:val="28"/>
          <w:szCs w:val="28"/>
        </w:rPr>
        <w:t>及</w:t>
      </w:r>
      <w:r w:rsidRPr="00C77E77">
        <w:rPr>
          <w:sz w:val="28"/>
          <w:szCs w:val="28"/>
        </w:rPr>
        <w:t>工研院</w:t>
      </w:r>
      <w:r w:rsidRPr="00C77E77">
        <w:rPr>
          <w:sz w:val="28"/>
          <w:szCs w:val="28"/>
        </w:rPr>
        <w:t>IEK</w:t>
      </w:r>
      <w:r w:rsidR="00BD1306" w:rsidRPr="00C77E77">
        <w:rPr>
          <w:sz w:val="28"/>
          <w:szCs w:val="28"/>
        </w:rPr>
        <w:t>. 2016/05.</w:t>
      </w:r>
    </w:p>
    <w:p w:rsidR="00FE0CDD" w:rsidRPr="00C77E77" w:rsidRDefault="00FE0CDD" w:rsidP="00FE0CDD">
      <w:pPr>
        <w:pStyle w:val="afe"/>
        <w:tabs>
          <w:tab w:val="clear" w:pos="567"/>
          <w:tab w:val="left" w:pos="465"/>
        </w:tabs>
        <w:spacing w:beforeLines="50" w:before="180" w:afterLines="50" w:after="180" w:line="500" w:lineRule="exact"/>
        <w:ind w:firstLineChars="0" w:firstLine="1"/>
        <w:rPr>
          <w:sz w:val="28"/>
          <w:szCs w:val="28"/>
        </w:rPr>
      </w:pPr>
      <w:r w:rsidRPr="00C77E77">
        <w:rPr>
          <w:sz w:val="28"/>
          <w:szCs w:val="28"/>
        </w:rPr>
        <w:t xml:space="preserve">    </w:t>
      </w:r>
      <w:r w:rsidRPr="00C77E77">
        <w:rPr>
          <w:sz w:val="28"/>
          <w:szCs w:val="28"/>
        </w:rPr>
        <w:t>新加坡醫療支出為東協國家中最高，醫療器材產業成熟，</w:t>
      </w:r>
      <w:r w:rsidRPr="00C77E77">
        <w:rPr>
          <w:sz w:val="28"/>
          <w:szCs w:val="28"/>
        </w:rPr>
        <w:t>2015</w:t>
      </w:r>
      <w:r w:rsidRPr="00C77E77">
        <w:rPr>
          <w:sz w:val="28"/>
          <w:szCs w:val="28"/>
        </w:rPr>
        <w:t>年至</w:t>
      </w:r>
      <w:r w:rsidRPr="00C77E77">
        <w:rPr>
          <w:sz w:val="28"/>
          <w:szCs w:val="28"/>
        </w:rPr>
        <w:t>2018</w:t>
      </w:r>
      <w:r w:rsidRPr="00C77E77">
        <w:rPr>
          <w:sz w:val="28"/>
          <w:szCs w:val="28"/>
        </w:rPr>
        <w:t>年預估複合成長率高達</w:t>
      </w:r>
      <w:r w:rsidRPr="00C77E77">
        <w:rPr>
          <w:sz w:val="28"/>
          <w:szCs w:val="28"/>
        </w:rPr>
        <w:t>10.6</w:t>
      </w:r>
      <w:r w:rsidRPr="00C77E77">
        <w:rPr>
          <w:sz w:val="28"/>
          <w:szCs w:val="28"/>
        </w:rPr>
        <w:t>％，東協國家中排名第二（次於泰國</w:t>
      </w:r>
      <w:r w:rsidRPr="00C77E77">
        <w:rPr>
          <w:sz w:val="28"/>
          <w:szCs w:val="28"/>
        </w:rPr>
        <w:t>)</w:t>
      </w:r>
      <w:r w:rsidRPr="00C77E77">
        <w:rPr>
          <w:sz w:val="28"/>
          <w:szCs w:val="28"/>
        </w:rPr>
        <w:t>，東南亞國家中最有潛力發展智慧健康產業，著眼於該國資通訊產業及醫療器材產業的豐沛能量，加上該國的高技術人力與研發創新能量，以及臺星友好關係。</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新加坡被譽為世界發展資通訊技術之典範，該國自</w:t>
      </w:r>
      <w:r w:rsidRPr="00C77E77">
        <w:rPr>
          <w:sz w:val="28"/>
          <w:szCs w:val="28"/>
        </w:rPr>
        <w:t>1981</w:t>
      </w:r>
      <w:r w:rsidRPr="00C77E77">
        <w:rPr>
          <w:sz w:val="28"/>
          <w:szCs w:val="28"/>
        </w:rPr>
        <w:t>年起發展「國家電腦化、國家資訊化、建設智能島」，截至目前該國擁有九成以上名列「財富</w:t>
      </w:r>
      <w:r w:rsidRPr="00C77E77">
        <w:rPr>
          <w:sz w:val="28"/>
          <w:szCs w:val="28"/>
        </w:rPr>
        <w:t>1000</w:t>
      </w:r>
      <w:r w:rsidRPr="00C77E77">
        <w:rPr>
          <w:sz w:val="28"/>
          <w:szCs w:val="28"/>
        </w:rPr>
        <w:t>強」技術公司進駐，已連續兩年被評選為世界排名第二、亞洲排名第一之最具備網際網絡條件國家，且為當前全球最先進的電信樞紐之一，擁有完善基礎設施及超過</w:t>
      </w:r>
      <w:r w:rsidRPr="00C77E77">
        <w:rPr>
          <w:sz w:val="28"/>
          <w:szCs w:val="28"/>
        </w:rPr>
        <w:t>6,200</w:t>
      </w:r>
      <w:r w:rsidRPr="00C77E77">
        <w:rPr>
          <w:sz w:val="28"/>
          <w:szCs w:val="28"/>
        </w:rPr>
        <w:t>個無線熱點，成為發展或推廣新手機科技之理想平</w:t>
      </w:r>
      <w:r w:rsidR="00FD0D5A" w:rsidRPr="00C77E77">
        <w:rPr>
          <w:sz w:val="28"/>
          <w:szCs w:val="28"/>
        </w:rPr>
        <w:t>臺</w:t>
      </w:r>
      <w:r w:rsidRPr="00C77E77">
        <w:rPr>
          <w:sz w:val="28"/>
          <w:szCs w:val="28"/>
        </w:rPr>
        <w:t>。</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新加坡</w:t>
      </w:r>
      <w:r w:rsidRPr="00C77E77">
        <w:rPr>
          <w:sz w:val="28"/>
          <w:szCs w:val="28"/>
        </w:rPr>
        <w:t>2013</w:t>
      </w:r>
      <w:r w:rsidRPr="00C77E77">
        <w:rPr>
          <w:sz w:val="28"/>
          <w:szCs w:val="28"/>
        </w:rPr>
        <w:t>年資通訊業產值為</w:t>
      </w:r>
      <w:r w:rsidRPr="00C77E77">
        <w:rPr>
          <w:sz w:val="28"/>
          <w:szCs w:val="28"/>
        </w:rPr>
        <w:t>1,481</w:t>
      </w:r>
      <w:r w:rsidRPr="00C77E77">
        <w:rPr>
          <w:sz w:val="28"/>
          <w:szCs w:val="28"/>
        </w:rPr>
        <w:t>億星元，</w:t>
      </w:r>
      <w:r w:rsidRPr="00C77E77">
        <w:rPr>
          <w:sz w:val="28"/>
          <w:szCs w:val="28"/>
        </w:rPr>
        <w:t>2014</w:t>
      </w:r>
      <w:r w:rsidRPr="00C77E77">
        <w:rPr>
          <w:sz w:val="28"/>
          <w:szCs w:val="28"/>
        </w:rPr>
        <w:t>年資通訊及媒體業首度取代該國電子業，投資總額達</w:t>
      </w:r>
      <w:r w:rsidRPr="00C77E77">
        <w:rPr>
          <w:sz w:val="28"/>
          <w:szCs w:val="28"/>
        </w:rPr>
        <w:t>25</w:t>
      </w:r>
      <w:r w:rsidRPr="00C77E77">
        <w:rPr>
          <w:sz w:val="28"/>
          <w:szCs w:val="28"/>
        </w:rPr>
        <w:t>億星元，占該國總投資額</w:t>
      </w:r>
      <w:r w:rsidRPr="00C77E77">
        <w:rPr>
          <w:sz w:val="28"/>
          <w:szCs w:val="28"/>
        </w:rPr>
        <w:t>21.2%</w:t>
      </w:r>
      <w:r w:rsidRPr="00C77E77">
        <w:rPr>
          <w:sz w:val="28"/>
          <w:szCs w:val="28"/>
        </w:rPr>
        <w:t>，成為投資金額與比重均為該國最高之產業。</w:t>
      </w:r>
      <w:r w:rsidRPr="00C77E77">
        <w:rPr>
          <w:sz w:val="28"/>
          <w:szCs w:val="28"/>
        </w:rPr>
        <w:t>2015</w:t>
      </w:r>
      <w:r w:rsidRPr="00C77E77">
        <w:rPr>
          <w:sz w:val="28"/>
          <w:szCs w:val="28"/>
        </w:rPr>
        <w:t>年啟動「智慧國」計畫，成立「新創天地」</w:t>
      </w:r>
      <w:r w:rsidR="006268BA" w:rsidRPr="00C77E77">
        <w:rPr>
          <w:sz w:val="28"/>
          <w:szCs w:val="28"/>
        </w:rPr>
        <w:t>（</w:t>
      </w:r>
      <w:r w:rsidRPr="00C77E77">
        <w:rPr>
          <w:sz w:val="28"/>
          <w:szCs w:val="28"/>
        </w:rPr>
        <w:t>BASH</w:t>
      </w:r>
      <w:r w:rsidR="006268BA" w:rsidRPr="00C77E77">
        <w:rPr>
          <w:sz w:val="28"/>
          <w:szCs w:val="28"/>
        </w:rPr>
        <w:t>）</w:t>
      </w:r>
      <w:r w:rsidRPr="00C77E77">
        <w:rPr>
          <w:sz w:val="28"/>
          <w:szCs w:val="28"/>
        </w:rPr>
        <w:t>提供科技新創公司共享辦公空間之交流平</w:t>
      </w:r>
      <w:r w:rsidR="00FD0D5A" w:rsidRPr="00C77E77">
        <w:rPr>
          <w:sz w:val="28"/>
          <w:szCs w:val="28"/>
        </w:rPr>
        <w:t>臺</w:t>
      </w:r>
      <w:r w:rsidRPr="00C77E77">
        <w:rPr>
          <w:sz w:val="28"/>
          <w:szCs w:val="28"/>
        </w:rPr>
        <w:t>，並成立「異</w:t>
      </w:r>
      <w:r w:rsidRPr="00C77E77">
        <w:rPr>
          <w:sz w:val="28"/>
          <w:szCs w:val="28"/>
        </w:rPr>
        <w:lastRenderedPageBreak/>
        <w:t>構網」（</w:t>
      </w:r>
      <w:r w:rsidRPr="00C77E77">
        <w:rPr>
          <w:sz w:val="28"/>
          <w:szCs w:val="28"/>
        </w:rPr>
        <w:t>One-north)</w:t>
      </w:r>
      <w:r w:rsidRPr="00C77E77">
        <w:rPr>
          <w:sz w:val="28"/>
          <w:szCs w:val="28"/>
        </w:rPr>
        <w:t>實驗室以確保使用者之行動網路與無線網路轉換順暢，朝向建構新一代智慧島邁進。</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在新加坡有許多國際知名的醫材公司，如</w:t>
      </w:r>
      <w:r w:rsidRPr="00C77E77">
        <w:rPr>
          <w:sz w:val="28"/>
          <w:szCs w:val="28"/>
        </w:rPr>
        <w:t>Hill-Rom</w:t>
      </w:r>
      <w:r w:rsidRPr="00C77E77">
        <w:rPr>
          <w:sz w:val="28"/>
          <w:szCs w:val="28"/>
        </w:rPr>
        <w:t>已經在新加坡建立亞太創新中心，研發製造病床和手術</w:t>
      </w:r>
      <w:r w:rsidR="00FD0D5A" w:rsidRPr="00C77E77">
        <w:rPr>
          <w:sz w:val="28"/>
          <w:szCs w:val="28"/>
        </w:rPr>
        <w:t>臺</w:t>
      </w:r>
      <w:r w:rsidRPr="00C77E77">
        <w:rPr>
          <w:sz w:val="28"/>
          <w:szCs w:val="28"/>
        </w:rPr>
        <w:t>不可或缺的微電子嵌入式軟體和機電系統；該公司的呼吸護理研發中心也選在新加坡開發創新的全球呼吸護理產品。瑞士的醫療技術公司</w:t>
      </w:r>
      <w:r w:rsidRPr="00C77E77">
        <w:rPr>
          <w:sz w:val="28"/>
          <w:szCs w:val="28"/>
        </w:rPr>
        <w:t>Hocoma AG</w:t>
      </w:r>
      <w:r w:rsidRPr="00C77E77">
        <w:rPr>
          <w:sz w:val="28"/>
          <w:szCs w:val="28"/>
        </w:rPr>
        <w:t>，在機器人康復治療神經性運動障礙領域位居全球領先地位，</w:t>
      </w:r>
      <w:r w:rsidRPr="00C77E77">
        <w:rPr>
          <w:sz w:val="28"/>
          <w:szCs w:val="28"/>
        </w:rPr>
        <w:t>2010</w:t>
      </w:r>
      <w:r w:rsidRPr="00C77E77">
        <w:rPr>
          <w:sz w:val="28"/>
          <w:szCs w:val="28"/>
        </w:rPr>
        <w:t>年宣佈與新加坡陳篤生醫院（</w:t>
      </w:r>
      <w:r w:rsidRPr="00C77E77">
        <w:rPr>
          <w:sz w:val="28"/>
          <w:szCs w:val="28"/>
        </w:rPr>
        <w:t>Tan Tock Seng Hospital, TTSH</w:t>
      </w:r>
      <w:r w:rsidRPr="00C77E77">
        <w:rPr>
          <w:sz w:val="28"/>
          <w:szCs w:val="28"/>
        </w:rPr>
        <w:t>）康復中心合作，共同開發和優化臨床與設備應用技術；陳篤生醫院也是該公司在亞太地區的培訓中心。陳篤生醫院康復中心和</w:t>
      </w:r>
      <w:r w:rsidRPr="00C77E77">
        <w:rPr>
          <w:sz w:val="28"/>
          <w:szCs w:val="28"/>
        </w:rPr>
        <w:t>Hocoma</w:t>
      </w:r>
      <w:r w:rsidRPr="00C77E77">
        <w:rPr>
          <w:sz w:val="28"/>
          <w:szCs w:val="28"/>
        </w:rPr>
        <w:t>公司已經通過了一份諒解備忘錄（</w:t>
      </w:r>
      <w:r w:rsidRPr="00C77E77">
        <w:rPr>
          <w:sz w:val="28"/>
          <w:szCs w:val="28"/>
        </w:rPr>
        <w:t>MOU</w:t>
      </w:r>
      <w:r w:rsidRPr="00C77E77">
        <w:rPr>
          <w:sz w:val="28"/>
          <w:szCs w:val="28"/>
        </w:rPr>
        <w:t>），確立雙方在亞太地區利用創新技術的合作夥伴關係。</w:t>
      </w:r>
      <w:r w:rsidRPr="00C77E77">
        <w:rPr>
          <w:sz w:val="28"/>
          <w:szCs w:val="28"/>
        </w:rPr>
        <w:t>2011</w:t>
      </w:r>
      <w:r w:rsidRPr="00C77E77">
        <w:rPr>
          <w:sz w:val="28"/>
          <w:szCs w:val="28"/>
        </w:rPr>
        <w:t>年陳篤生醫院使用機器人輔助行走治療儀（</w:t>
      </w:r>
      <w:r w:rsidRPr="00C77E77">
        <w:rPr>
          <w:sz w:val="28"/>
          <w:szCs w:val="28"/>
        </w:rPr>
        <w:t>LokomatPro</w:t>
      </w:r>
      <w:r w:rsidRPr="00C77E77">
        <w:rPr>
          <w:sz w:val="28"/>
          <w:szCs w:val="28"/>
        </w:rPr>
        <w:t>），是第一個提供機器人技術和虛擬現實康復療法的區域中心。</w:t>
      </w:r>
      <w:r w:rsidRPr="00C77E77">
        <w:rPr>
          <w:rStyle w:val="a9"/>
          <w:sz w:val="28"/>
          <w:szCs w:val="28"/>
        </w:rPr>
        <w:footnoteReference w:id="132"/>
      </w:r>
    </w:p>
    <w:p w:rsidR="00FE0CDD" w:rsidRPr="00C77E77" w:rsidRDefault="00FE0CDD" w:rsidP="00FE0CDD">
      <w:pPr>
        <w:spacing w:beforeLines="50" w:before="180" w:afterLines="50" w:after="180"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 xml:space="preserve">    </w:t>
      </w:r>
      <w:r w:rsidRPr="00C77E77">
        <w:rPr>
          <w:rFonts w:ascii="Times New Roman" w:eastAsia="標楷體" w:hAnsi="Times New Roman" w:cs="Times New Roman"/>
          <w:color w:val="000000" w:themeColor="text1"/>
          <w:sz w:val="28"/>
          <w:szCs w:val="28"/>
        </w:rPr>
        <w:t>同時，新加坡擁有超過半數之高階技術人力（</w:t>
      </w:r>
      <w:r w:rsidRPr="00C77E77">
        <w:rPr>
          <w:rFonts w:ascii="Times New Roman" w:eastAsia="標楷體" w:hAnsi="Times New Roman" w:cs="Times New Roman"/>
          <w:color w:val="000000" w:themeColor="text1"/>
          <w:sz w:val="28"/>
          <w:szCs w:val="28"/>
        </w:rPr>
        <w:t>55</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，該國在人才培養、網羅與留任方面之競爭力，全球排名第二且為亞太地區居冠。受惠於自身戰略性地理位置、政府強力支持以及與亞洲市場之緊密連結，新加坡作為新創公司中心之地位，逐漸受到全球矚目；</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全球新創公司生態環境排名，新加坡獲得全球排名第十並位居亞洲榜首。擁有具創新能力之人力並具備利於創新之環境，加以政經環境安定、經濟發展穩定，可望促進新加坡於先進製造技術、航空工程、數位經濟、醫藥生技之發展</w:t>
      </w:r>
      <w:r w:rsidRPr="00C77E77">
        <w:rPr>
          <w:rFonts w:ascii="Times New Roman" w:eastAsia="標楷體" w:hAnsi="Times New Roman" w:cs="Times New Roman"/>
          <w:sz w:val="28"/>
          <w:szCs w:val="28"/>
          <w:vertAlign w:val="superscript"/>
        </w:rPr>
        <w:footnoteReference w:id="133"/>
      </w:r>
      <w:r w:rsidRPr="00C77E77">
        <w:rPr>
          <w:rFonts w:ascii="Times New Roman" w:eastAsia="標楷體" w:hAnsi="Times New Roman" w:cs="Times New Roman"/>
          <w:color w:val="000000" w:themeColor="text1"/>
          <w:sz w:val="28"/>
          <w:szCs w:val="28"/>
        </w:rPr>
        <w:t>。</w:t>
      </w:r>
    </w:p>
    <w:p w:rsidR="00FE0CDD" w:rsidRPr="00C77E77" w:rsidRDefault="00FE0CDD" w:rsidP="00FE0CDD">
      <w:pPr>
        <w:spacing w:beforeLines="50" w:before="180" w:afterLines="50" w:after="180" w:line="500" w:lineRule="exact"/>
        <w:ind w:firstLineChars="200" w:firstLine="56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臺灣與新加坡外交關係友好</w:t>
      </w:r>
      <w:r w:rsidRPr="00C77E77">
        <w:rPr>
          <w:rFonts w:ascii="Times New Roman" w:eastAsia="標楷體" w:hAnsi="Times New Roman" w:cs="Times New Roman"/>
          <w:color w:val="000000" w:themeColor="text1"/>
          <w:sz w:val="28"/>
          <w:szCs w:val="28"/>
        </w:rPr>
        <w:t>，雙方於</w:t>
      </w:r>
      <w:r w:rsidRPr="00C77E77">
        <w:rPr>
          <w:rFonts w:ascii="Times New Roman" w:eastAsia="標楷體" w:hAnsi="Times New Roman" w:cs="Times New Roman"/>
          <w:color w:val="000000" w:themeColor="text1"/>
          <w:sz w:val="28"/>
          <w:szCs w:val="28"/>
        </w:rPr>
        <w:t>2013</w:t>
      </w:r>
      <w:r w:rsidRPr="00C77E77">
        <w:rPr>
          <w:rFonts w:ascii="Times New Roman" w:eastAsia="標楷體" w:hAnsi="Times New Roman" w:cs="Times New Roman"/>
          <w:color w:val="000000" w:themeColor="text1"/>
          <w:sz w:val="28"/>
          <w:szCs w:val="28"/>
        </w:rPr>
        <w:t>年簽署</w:t>
      </w:r>
      <w:r w:rsidRPr="00C77E77">
        <w:rPr>
          <w:rFonts w:ascii="Times New Roman" w:eastAsia="標楷體" w:hAnsi="Times New Roman" w:cs="Times New Roman"/>
          <w:sz w:val="28"/>
          <w:szCs w:val="28"/>
        </w:rPr>
        <w:t>「臺星經濟夥伴協定」</w:t>
      </w:r>
      <w:r w:rsidRPr="00C77E77">
        <w:rPr>
          <w:rFonts w:ascii="Times New Roman" w:hAnsi="Times New Roman" w:cs="Times New Roman"/>
          <w:sz w:val="28"/>
          <w:szCs w:val="28"/>
        </w:rPr>
        <w:t>（</w:t>
      </w:r>
      <w:r w:rsidRPr="00C77E77">
        <w:rPr>
          <w:rFonts w:ascii="Times New Roman" w:hAnsi="Times New Roman" w:cs="Times New Roman"/>
          <w:sz w:val="28"/>
          <w:szCs w:val="28"/>
        </w:rPr>
        <w:t>Agreeement between Singapore and the Separate Customs Territory of Taiwan,Penghu, Kinmen and M</w:t>
      </w:r>
      <w:r w:rsidR="0094142D" w:rsidRPr="00C77E77">
        <w:rPr>
          <w:rFonts w:ascii="Times New Roman" w:hAnsi="Times New Roman" w:cs="Times New Roman"/>
          <w:sz w:val="28"/>
          <w:szCs w:val="28"/>
        </w:rPr>
        <w:t>atsu on Economic Partnership, AS</w:t>
      </w:r>
      <w:r w:rsidRPr="00C77E77">
        <w:rPr>
          <w:rFonts w:ascii="Times New Roman" w:hAnsi="Times New Roman" w:cs="Times New Roman"/>
          <w:sz w:val="28"/>
          <w:szCs w:val="28"/>
        </w:rPr>
        <w:t>TEP</w:t>
      </w:r>
      <w:r w:rsidR="0094142D" w:rsidRPr="00C77E77">
        <w:rPr>
          <w:rFonts w:ascii="Times New Roman" w:hAnsi="Times New Roman" w:cs="Times New Roman"/>
          <w:sz w:val="28"/>
          <w:szCs w:val="28"/>
        </w:rPr>
        <w:t>）</w:t>
      </w:r>
      <w:r w:rsidRPr="00C77E77">
        <w:rPr>
          <w:rFonts w:ascii="Times New Roman" w:eastAsia="標楷體" w:hAnsi="Times New Roman" w:cs="Times New Roman"/>
          <w:color w:val="000000" w:themeColor="text1"/>
          <w:sz w:val="28"/>
          <w:szCs w:val="28"/>
        </w:rPr>
        <w:t>，臺星之間關稅壁壘消除，有利於兩國之間商品互通有無，為我國智慧健康醫療照護產品於新加坡發展之出口優勢，兩國並可在此基礎上就智慧健康醫療照護產</w:t>
      </w:r>
      <w:r w:rsidRPr="00C77E77">
        <w:rPr>
          <w:rFonts w:ascii="Times New Roman" w:eastAsia="標楷體" w:hAnsi="Times New Roman" w:cs="Times New Roman"/>
          <w:color w:val="000000" w:themeColor="text1"/>
          <w:sz w:val="28"/>
          <w:szCs w:val="28"/>
        </w:rPr>
        <w:lastRenderedPageBreak/>
        <w:t>業進行更深入合作。惟新加坡注重品質，價格並非主要考量，是以我國智慧健康醫療照護產業前往新加坡發展時，需特別注意醫療器材規格調合與品質檢驗認證，也是我國政府可協助業者之處。</w:t>
      </w:r>
    </w:p>
    <w:p w:rsidR="00FE0CDD" w:rsidRPr="00C77E77" w:rsidRDefault="00FE0CDD" w:rsidP="00FE0CDD">
      <w:pPr>
        <w:spacing w:beforeLines="50" w:before="180" w:afterLines="50" w:after="180" w:line="500" w:lineRule="exact"/>
        <w:ind w:firstLineChars="200" w:firstLine="56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除了新加坡之外，印尼及菲律賓的資通訊基礎設施欠缺完備且醫療專業人才不足，兩國自身若要發展智慧健康照護產業有其困難；然而，由於兩國島嶼地理特性、龐大人口紅利、經濟持續成長帶動內需穩定發展、國內醫療資源相對不足且偏鄉地區醫療人力不足等因素，加以兩國經濟政策開放並推動醫療改革計畫，潛在智慧醫材商機可觀。其他如馬來西亞、泰國及越南等東南亞國家之醫療器材市場，</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年至</w:t>
      </w:r>
      <w:r w:rsidRPr="00C77E77">
        <w:rPr>
          <w:rFonts w:ascii="Times New Roman" w:eastAsia="標楷體" w:hAnsi="Times New Roman" w:cs="Times New Roman"/>
          <w:color w:val="000000" w:themeColor="text1"/>
          <w:sz w:val="28"/>
          <w:szCs w:val="28"/>
        </w:rPr>
        <w:t>2018</w:t>
      </w:r>
      <w:r w:rsidRPr="00C77E77">
        <w:rPr>
          <w:rFonts w:ascii="Times New Roman" w:eastAsia="標楷體" w:hAnsi="Times New Roman" w:cs="Times New Roman"/>
          <w:color w:val="000000" w:themeColor="text1"/>
          <w:sz w:val="28"/>
          <w:szCs w:val="28"/>
        </w:rPr>
        <w:t>年預估複合成長率亦達</w:t>
      </w:r>
      <w:r w:rsidRPr="00C77E77">
        <w:rPr>
          <w:rFonts w:ascii="Times New Roman" w:eastAsia="標楷體" w:hAnsi="Times New Roman" w:cs="Times New Roman"/>
          <w:color w:val="000000" w:themeColor="text1"/>
          <w:sz w:val="28"/>
          <w:szCs w:val="28"/>
        </w:rPr>
        <w:t>8.5</w:t>
      </w:r>
      <w:r w:rsidRPr="00C77E77">
        <w:rPr>
          <w:rFonts w:ascii="Times New Roman" w:eastAsia="標楷體" w:hAnsi="Times New Roman" w:cs="Times New Roman"/>
          <w:color w:val="000000" w:themeColor="text1"/>
          <w:sz w:val="28"/>
          <w:szCs w:val="28"/>
        </w:rPr>
        <w:t>％，與印尼及菲律賓相當，其潛在智慧醫材商機亦可期待。</w:t>
      </w:r>
    </w:p>
    <w:p w:rsidR="00315772" w:rsidRPr="00C77E77" w:rsidRDefault="00315772">
      <w:pPr>
        <w:widowControl/>
        <w:rPr>
          <w:rFonts w:ascii="Times New Roman" w:eastAsia="標楷體" w:hAnsi="Times New Roman" w:cs="Times New Roman"/>
          <w:color w:val="000000" w:themeColor="text1"/>
          <w:sz w:val="28"/>
          <w:szCs w:val="28"/>
        </w:rPr>
      </w:pPr>
    </w:p>
    <w:p w:rsidR="00FE0CDD" w:rsidRPr="00C77E77" w:rsidRDefault="00FE0CDD" w:rsidP="00FE0CDD">
      <w:pPr>
        <w:pStyle w:val="af9"/>
      </w:pPr>
      <w:bookmarkStart w:id="137" w:name="_Toc470676607"/>
      <w:r w:rsidRPr="00C77E77">
        <w:t>表</w:t>
      </w:r>
      <w:r w:rsidRPr="00C77E77">
        <w:t xml:space="preserve">4-4-2 </w:t>
      </w:r>
      <w:r w:rsidRPr="00C77E77">
        <w:t>菲律賓與印尼醫療器材市場環境總覽</w:t>
      </w:r>
      <w:bookmarkEnd w:id="137"/>
    </w:p>
    <w:tbl>
      <w:tblPr>
        <w:tblStyle w:val="af4"/>
        <w:tblW w:w="0" w:type="auto"/>
        <w:tblLook w:val="04A0" w:firstRow="1" w:lastRow="0" w:firstColumn="1" w:lastColumn="0" w:noHBand="0" w:noVBand="1"/>
      </w:tblPr>
      <w:tblGrid>
        <w:gridCol w:w="4106"/>
        <w:gridCol w:w="2377"/>
        <w:gridCol w:w="2719"/>
      </w:tblGrid>
      <w:tr w:rsidR="00FE0CDD" w:rsidRPr="00C77E77" w:rsidTr="00FE0CDD">
        <w:tc>
          <w:tcPr>
            <w:tcW w:w="4106" w:type="dxa"/>
            <w:shd w:val="clear" w:color="auto" w:fill="D9D9D9" w:themeFill="background1" w:themeFillShade="D9"/>
          </w:tcPr>
          <w:p w:rsidR="00FE0CDD" w:rsidRPr="00C77E77" w:rsidRDefault="00FE0CDD" w:rsidP="00CA3E98">
            <w:pPr>
              <w:spacing w:line="50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指標</w:t>
            </w:r>
          </w:p>
        </w:tc>
        <w:tc>
          <w:tcPr>
            <w:tcW w:w="2377" w:type="dxa"/>
            <w:shd w:val="clear" w:color="auto" w:fill="D9D9D9" w:themeFill="background1" w:themeFillShade="D9"/>
          </w:tcPr>
          <w:p w:rsidR="00FE0CDD" w:rsidRPr="00C77E77" w:rsidRDefault="00FE0CDD" w:rsidP="00CA3E98">
            <w:pPr>
              <w:spacing w:line="50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菲律賓</w:t>
            </w:r>
          </w:p>
        </w:tc>
        <w:tc>
          <w:tcPr>
            <w:tcW w:w="2719" w:type="dxa"/>
            <w:shd w:val="clear" w:color="auto" w:fill="D9D9D9" w:themeFill="background1" w:themeFillShade="D9"/>
          </w:tcPr>
          <w:p w:rsidR="00FE0CDD" w:rsidRPr="00C77E77" w:rsidRDefault="00FE0CDD" w:rsidP="00CA3E98">
            <w:pPr>
              <w:spacing w:line="50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印尼</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總人口數</w:t>
            </w:r>
            <w:r w:rsidR="006268BA"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百萬人</w:t>
            </w:r>
            <w:r w:rsidR="006268BA" w:rsidRPr="00C77E77">
              <w:rPr>
                <w:rFonts w:ascii="Times New Roman" w:eastAsia="標楷體" w:hAnsi="Times New Roman" w:cs="Times New Roman"/>
                <w:color w:val="000000" w:themeColor="text1"/>
                <w:sz w:val="28"/>
                <w:szCs w:val="28"/>
              </w:rPr>
              <w:t>）</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100.7</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257.6</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市場規模</w:t>
            </w:r>
            <w:r w:rsidR="006268BA"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百萬美元</w:t>
            </w:r>
            <w:r w:rsidR="006268BA" w:rsidRPr="00C77E77">
              <w:rPr>
                <w:rFonts w:ascii="Times New Roman" w:eastAsia="標楷體" w:hAnsi="Times New Roman" w:cs="Times New Roman"/>
                <w:color w:val="000000" w:themeColor="text1"/>
                <w:sz w:val="28"/>
                <w:szCs w:val="28"/>
              </w:rPr>
              <w:t>）</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301.2</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665.8</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市場成長率</w:t>
            </w:r>
            <w:r w:rsidR="006268BA" w:rsidRPr="00C77E77">
              <w:rPr>
                <w:rFonts w:ascii="Times New Roman" w:eastAsia="標楷體" w:hAnsi="Times New Roman" w:cs="Times New Roman"/>
                <w:color w:val="000000" w:themeColor="text1"/>
                <w:sz w:val="28"/>
                <w:szCs w:val="28"/>
              </w:rPr>
              <w:t>（</w:t>
            </w:r>
            <w:r w:rsidR="006268BA" w:rsidRPr="00C77E77">
              <w:rPr>
                <w:rFonts w:ascii="Times New Roman" w:eastAsia="標楷體" w:hAnsi="Times New Roman" w:cs="Times New Roman"/>
                <w:color w:val="000000" w:themeColor="text1"/>
                <w:sz w:val="28"/>
                <w:szCs w:val="28"/>
              </w:rPr>
              <w:t>%</w:t>
            </w:r>
            <w:r w:rsidR="006268BA" w:rsidRPr="00C77E77">
              <w:rPr>
                <w:rFonts w:ascii="Times New Roman" w:eastAsia="標楷體" w:hAnsi="Times New Roman" w:cs="Times New Roman"/>
                <w:color w:val="000000" w:themeColor="text1"/>
                <w:sz w:val="28"/>
                <w:szCs w:val="28"/>
              </w:rPr>
              <w:t>）</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4.3</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9.7</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占全球醫療器材市場比例</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0.1</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0.2</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每人平均</w:t>
            </w:r>
            <w:r w:rsidR="006268BA" w:rsidRPr="00C77E77">
              <w:rPr>
                <w:rFonts w:ascii="Times New Roman" w:eastAsia="標楷體" w:hAnsi="Times New Roman" w:cs="Times New Roman"/>
                <w:color w:val="000000" w:themeColor="text1"/>
                <w:sz w:val="28"/>
                <w:szCs w:val="28"/>
              </w:rPr>
              <w:t>GDP</w:t>
            </w:r>
            <w:r w:rsidR="006268BA"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美元</w:t>
            </w:r>
            <w:r w:rsidR="006268BA" w:rsidRPr="00C77E77">
              <w:rPr>
                <w:rFonts w:ascii="Times New Roman" w:eastAsia="標楷體" w:hAnsi="Times New Roman" w:cs="Times New Roman"/>
                <w:color w:val="000000" w:themeColor="text1"/>
                <w:sz w:val="28"/>
                <w:szCs w:val="28"/>
              </w:rPr>
              <w:t>）</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2,951</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3,415.8</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平均每人醫療支出</w:t>
            </w:r>
            <w:r w:rsidR="006268BA"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美元</w:t>
            </w:r>
            <w:r w:rsidR="006268BA" w:rsidRPr="00C77E77">
              <w:rPr>
                <w:rFonts w:ascii="Times New Roman" w:eastAsia="標楷體" w:hAnsi="Times New Roman" w:cs="Times New Roman"/>
                <w:color w:val="000000" w:themeColor="text1"/>
                <w:sz w:val="28"/>
                <w:szCs w:val="28"/>
              </w:rPr>
              <w:t>）</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134.5</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102.1</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全國醫療支出</w:t>
            </w:r>
            <w:r w:rsidR="006268BA"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十億美元</w:t>
            </w:r>
            <w:r w:rsidR="006268BA" w:rsidRPr="00C77E77">
              <w:rPr>
                <w:rFonts w:ascii="Times New Roman" w:eastAsia="標楷體" w:hAnsi="Times New Roman" w:cs="Times New Roman"/>
                <w:color w:val="000000" w:themeColor="text1"/>
                <w:sz w:val="28"/>
                <w:szCs w:val="28"/>
              </w:rPr>
              <w:t>）</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13.5</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26.3</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醫療支出占整體</w:t>
            </w:r>
            <w:r w:rsidRPr="00C77E77">
              <w:rPr>
                <w:rFonts w:ascii="Times New Roman" w:eastAsia="標楷體" w:hAnsi="Times New Roman" w:cs="Times New Roman"/>
                <w:color w:val="000000" w:themeColor="text1"/>
                <w:sz w:val="28"/>
                <w:szCs w:val="28"/>
              </w:rPr>
              <w:t>GDP</w:t>
            </w:r>
            <w:r w:rsidRPr="00C77E77">
              <w:rPr>
                <w:rFonts w:ascii="Times New Roman" w:eastAsia="標楷體" w:hAnsi="Times New Roman" w:cs="Times New Roman"/>
                <w:color w:val="000000" w:themeColor="text1"/>
                <w:sz w:val="28"/>
                <w:szCs w:val="28"/>
              </w:rPr>
              <w:t>比例</w:t>
            </w:r>
            <w:r w:rsidR="006268BA"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w:t>
            </w:r>
            <w:r w:rsidR="006268BA" w:rsidRPr="00C77E77">
              <w:rPr>
                <w:rFonts w:ascii="Times New Roman" w:eastAsia="標楷體" w:hAnsi="Times New Roman" w:cs="Times New Roman"/>
                <w:color w:val="000000" w:themeColor="text1"/>
                <w:sz w:val="28"/>
                <w:szCs w:val="28"/>
              </w:rPr>
              <w:t>）</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74.6</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3.1</w:t>
            </w:r>
          </w:p>
        </w:tc>
      </w:tr>
      <w:tr w:rsidR="00FE0CDD" w:rsidRPr="00C77E77" w:rsidTr="00FE0CDD">
        <w:tc>
          <w:tcPr>
            <w:tcW w:w="4106" w:type="dxa"/>
          </w:tcPr>
          <w:p w:rsidR="00FE0CDD" w:rsidRPr="00C77E77" w:rsidRDefault="00FE0CDD" w:rsidP="00CA3E98">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進口供應比重</w:t>
            </w:r>
            <w:r w:rsidR="006268BA"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w:t>
            </w:r>
            <w:r w:rsidR="006268BA" w:rsidRPr="00C77E77">
              <w:rPr>
                <w:rFonts w:ascii="Times New Roman" w:eastAsia="標楷體" w:hAnsi="Times New Roman" w:cs="Times New Roman"/>
                <w:color w:val="000000" w:themeColor="text1"/>
                <w:sz w:val="28"/>
                <w:szCs w:val="28"/>
              </w:rPr>
              <w:t>）</w:t>
            </w:r>
          </w:p>
        </w:tc>
        <w:tc>
          <w:tcPr>
            <w:tcW w:w="2377"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86.3</w:t>
            </w:r>
          </w:p>
        </w:tc>
        <w:tc>
          <w:tcPr>
            <w:tcW w:w="2719" w:type="dxa"/>
          </w:tcPr>
          <w:p w:rsidR="00FE0CDD" w:rsidRPr="00C77E77" w:rsidRDefault="00FE0CDD" w:rsidP="00CA3E98">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96.0</w:t>
            </w:r>
          </w:p>
        </w:tc>
      </w:tr>
    </w:tbl>
    <w:p w:rsidR="00FE0CDD" w:rsidRPr="00C77E77" w:rsidRDefault="00FE0CDD" w:rsidP="00FE0CDD">
      <w:pPr>
        <w:spacing w:beforeLines="50" w:before="180" w:afterLines="50" w:after="180"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w:t>
      </w:r>
      <w:r w:rsidRPr="00C77E77">
        <w:rPr>
          <w:rFonts w:ascii="Times New Roman" w:eastAsia="標楷體" w:hAnsi="Times New Roman" w:cs="Times New Roman"/>
          <w:color w:val="000000" w:themeColor="text1"/>
          <w:sz w:val="28"/>
          <w:szCs w:val="28"/>
        </w:rPr>
        <w:t xml:space="preserve">: </w:t>
      </w:r>
      <w:r w:rsidR="00961DDC" w:rsidRPr="00C77E77">
        <w:rPr>
          <w:rFonts w:ascii="Times New Roman" w:eastAsia="標楷體" w:hAnsi="Times New Roman" w:cs="Times New Roman"/>
          <w:color w:val="000000" w:themeColor="text1"/>
          <w:sz w:val="28"/>
          <w:szCs w:val="28"/>
        </w:rPr>
        <w:t>整理自</w:t>
      </w:r>
      <w:r w:rsidR="00961DDC" w:rsidRPr="00C77E77">
        <w:rPr>
          <w:rFonts w:ascii="Times New Roman" w:eastAsia="標楷體" w:hAnsi="Times New Roman" w:cs="Times New Roman"/>
          <w:color w:val="000000" w:themeColor="text1"/>
          <w:sz w:val="28"/>
          <w:szCs w:val="28"/>
        </w:rPr>
        <w:t>WHO</w:t>
      </w:r>
      <w:r w:rsidR="00961DDC" w:rsidRPr="00C77E77">
        <w:rPr>
          <w:rFonts w:ascii="Times New Roman" w:eastAsia="標楷體" w:hAnsi="Times New Roman" w:cs="Times New Roman"/>
          <w:color w:val="000000" w:themeColor="text1"/>
          <w:sz w:val="28"/>
          <w:szCs w:val="28"/>
        </w:rPr>
        <w:t>、</w:t>
      </w:r>
      <w:r w:rsidR="006268BA" w:rsidRPr="00C77E77">
        <w:rPr>
          <w:rFonts w:ascii="Times New Roman" w:eastAsia="標楷體" w:hAnsi="Times New Roman" w:cs="Times New Roman"/>
          <w:color w:val="000000" w:themeColor="text1"/>
          <w:sz w:val="28"/>
          <w:szCs w:val="28"/>
        </w:rPr>
        <w:t xml:space="preserve">BMI Research. </w:t>
      </w:r>
      <w:r w:rsidR="00961DDC" w:rsidRPr="00C77E77">
        <w:rPr>
          <w:rFonts w:ascii="Times New Roman" w:eastAsia="標楷體" w:hAnsi="Times New Roman" w:cs="Times New Roman"/>
          <w:color w:val="000000" w:themeColor="text1"/>
          <w:sz w:val="28"/>
          <w:szCs w:val="28"/>
        </w:rPr>
        <w:t>2016/03</w:t>
      </w:r>
      <w:r w:rsidR="006268BA" w:rsidRPr="00C77E77">
        <w:rPr>
          <w:rFonts w:ascii="Times New Roman" w:eastAsia="標楷體" w:hAnsi="Times New Roman" w:cs="Times New Roman"/>
          <w:color w:val="000000" w:themeColor="text1"/>
          <w:sz w:val="28"/>
          <w:szCs w:val="28"/>
        </w:rPr>
        <w:t>.</w:t>
      </w:r>
      <w:r w:rsidR="00961DDC" w:rsidRPr="00C77E77">
        <w:rPr>
          <w:rFonts w:ascii="Times New Roman" w:eastAsia="標楷體" w:hAnsi="Times New Roman" w:cs="Times New Roman"/>
          <w:color w:val="000000" w:themeColor="text1"/>
          <w:sz w:val="28"/>
          <w:szCs w:val="28"/>
        </w:rPr>
        <w:t>及工研院</w:t>
      </w:r>
      <w:r w:rsidR="006268BA" w:rsidRPr="00C77E77">
        <w:rPr>
          <w:rFonts w:ascii="Times New Roman" w:eastAsia="標楷體" w:hAnsi="Times New Roman" w:cs="Times New Roman"/>
          <w:color w:val="000000" w:themeColor="text1"/>
          <w:sz w:val="28"/>
          <w:szCs w:val="28"/>
        </w:rPr>
        <w:t xml:space="preserve">IEK. </w:t>
      </w:r>
      <w:r w:rsidR="00961DDC" w:rsidRPr="00C77E77">
        <w:rPr>
          <w:rFonts w:ascii="Times New Roman" w:eastAsia="標楷體" w:hAnsi="Times New Roman" w:cs="Times New Roman"/>
          <w:color w:val="000000" w:themeColor="text1"/>
          <w:sz w:val="28"/>
          <w:szCs w:val="28"/>
        </w:rPr>
        <w:t>2016/05</w:t>
      </w:r>
      <w:r w:rsidR="006268BA" w:rsidRPr="00C77E77">
        <w:rPr>
          <w:rFonts w:ascii="Times New Roman" w:eastAsia="標楷體" w:hAnsi="Times New Roman" w:cs="Times New Roman"/>
          <w:color w:val="000000" w:themeColor="text1"/>
          <w:sz w:val="28"/>
          <w:szCs w:val="28"/>
        </w:rPr>
        <w:t>.</w:t>
      </w:r>
      <w:r w:rsidR="00961DDC" w:rsidRPr="00C77E77">
        <w:rPr>
          <w:rFonts w:ascii="Times New Roman" w:eastAsia="標楷體" w:hAnsi="Times New Roman" w:cs="Times New Roman"/>
          <w:color w:val="000000" w:themeColor="text1"/>
          <w:sz w:val="28"/>
          <w:szCs w:val="28"/>
        </w:rPr>
        <w:t xml:space="preserve"> </w:t>
      </w:r>
    </w:p>
    <w:p w:rsidR="00315772" w:rsidRPr="00C77E77" w:rsidRDefault="00FE0CDD" w:rsidP="00315772">
      <w:pPr>
        <w:spacing w:beforeLines="50" w:before="180" w:afterLines="50" w:after="180"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 xml:space="preserve">    </w:t>
      </w:r>
    </w:p>
    <w:p w:rsidR="00FE0CDD" w:rsidRPr="00C77E77" w:rsidRDefault="00FE0CDD" w:rsidP="00315772">
      <w:pPr>
        <w:spacing w:beforeLines="50" w:before="180" w:afterLines="50" w:after="180" w:line="500" w:lineRule="exact"/>
        <w:ind w:firstLineChars="202" w:firstLine="566"/>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菲律賓衛生部於</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年啟動衛生設施提升計畫，投入</w:t>
      </w:r>
      <w:r w:rsidRPr="00C77E77">
        <w:rPr>
          <w:rFonts w:ascii="Times New Roman" w:eastAsia="標楷體" w:hAnsi="Times New Roman" w:cs="Times New Roman"/>
          <w:color w:val="000000" w:themeColor="text1"/>
          <w:sz w:val="28"/>
          <w:szCs w:val="28"/>
        </w:rPr>
        <w:t>4.1</w:t>
      </w:r>
      <w:r w:rsidRPr="00C77E77">
        <w:rPr>
          <w:rFonts w:ascii="Times New Roman" w:eastAsia="標楷體" w:hAnsi="Times New Roman" w:cs="Times New Roman"/>
          <w:color w:val="000000" w:themeColor="text1"/>
          <w:sz w:val="28"/>
          <w:szCs w:val="28"/>
        </w:rPr>
        <w:t>億美元擴充公立醫院硬體設備；</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年接續投入</w:t>
      </w:r>
      <w:r w:rsidRPr="00C77E77">
        <w:rPr>
          <w:rFonts w:ascii="Times New Roman" w:eastAsia="標楷體" w:hAnsi="Times New Roman" w:cs="Times New Roman"/>
          <w:color w:val="000000" w:themeColor="text1"/>
          <w:sz w:val="28"/>
          <w:szCs w:val="28"/>
        </w:rPr>
        <w:t>9</w:t>
      </w:r>
      <w:r w:rsidRPr="00C77E77">
        <w:rPr>
          <w:rFonts w:ascii="Times New Roman" w:eastAsia="標楷體" w:hAnsi="Times New Roman" w:cs="Times New Roman"/>
          <w:color w:val="000000" w:themeColor="text1"/>
          <w:sz w:val="28"/>
          <w:szCs w:val="28"/>
        </w:rPr>
        <w:t>億美元推動醫院現代化計畫，提升菲律</w:t>
      </w:r>
      <w:r w:rsidRPr="00C77E77">
        <w:rPr>
          <w:rFonts w:ascii="Times New Roman" w:eastAsia="標楷體" w:hAnsi="Times New Roman" w:cs="Times New Roman"/>
          <w:color w:val="000000" w:themeColor="text1"/>
          <w:sz w:val="28"/>
          <w:szCs w:val="28"/>
        </w:rPr>
        <w:lastRenderedPageBreak/>
        <w:t>賓</w:t>
      </w:r>
      <w:r w:rsidRPr="00C77E77">
        <w:rPr>
          <w:rFonts w:ascii="Times New Roman" w:eastAsia="標楷體" w:hAnsi="Times New Roman" w:cs="Times New Roman"/>
          <w:color w:val="000000" w:themeColor="text1"/>
          <w:sz w:val="28"/>
          <w:szCs w:val="28"/>
        </w:rPr>
        <w:t>20</w:t>
      </w:r>
      <w:r w:rsidRPr="00C77E77">
        <w:rPr>
          <w:rFonts w:ascii="Times New Roman" w:eastAsia="標楷體" w:hAnsi="Times New Roman" w:cs="Times New Roman"/>
          <w:color w:val="000000" w:themeColor="text1"/>
          <w:sz w:val="28"/>
          <w:szCs w:val="28"/>
        </w:rPr>
        <w:t>家主要醫院之硬體設施與服務流程，平均每家醫院獲得</w:t>
      </w:r>
      <w:r w:rsidRPr="00C77E77">
        <w:rPr>
          <w:rFonts w:ascii="Times New Roman" w:eastAsia="標楷體" w:hAnsi="Times New Roman" w:cs="Times New Roman"/>
          <w:color w:val="000000" w:themeColor="text1"/>
          <w:sz w:val="28"/>
          <w:szCs w:val="28"/>
        </w:rPr>
        <w:t>4,480</w:t>
      </w:r>
      <w:r w:rsidRPr="00C77E77">
        <w:rPr>
          <w:rFonts w:ascii="Times New Roman" w:eastAsia="標楷體" w:hAnsi="Times New Roman" w:cs="Times New Roman"/>
          <w:color w:val="000000" w:themeColor="text1"/>
          <w:sz w:val="28"/>
          <w:szCs w:val="28"/>
        </w:rPr>
        <w:t>萬美元經費。上開醫療改革計畫將有助於大幅改善菲國民眾就醫情形，擴大醫療市場並帶動醫療器材產業成長。</w:t>
      </w:r>
      <w:r w:rsidRPr="00C77E77">
        <w:rPr>
          <w:rFonts w:ascii="Times New Roman" w:eastAsia="標楷體" w:hAnsi="Times New Roman" w:cs="Times New Roman"/>
          <w:color w:val="000000" w:themeColor="text1"/>
          <w:sz w:val="28"/>
          <w:szCs w:val="28"/>
        </w:rPr>
        <w:t>BMI Research</w:t>
      </w:r>
      <w:r w:rsidRPr="00C77E77">
        <w:rPr>
          <w:rFonts w:ascii="Times New Roman" w:eastAsia="標楷體" w:hAnsi="Times New Roman" w:cs="Times New Roman"/>
          <w:color w:val="000000" w:themeColor="text1"/>
          <w:sz w:val="28"/>
          <w:szCs w:val="28"/>
        </w:rPr>
        <w:t>統計，</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年菲律賓醫療器材市場規模約</w:t>
      </w:r>
      <w:r w:rsidRPr="00C77E77">
        <w:rPr>
          <w:rFonts w:ascii="Times New Roman" w:eastAsia="標楷體" w:hAnsi="Times New Roman" w:cs="Times New Roman"/>
          <w:color w:val="000000" w:themeColor="text1"/>
          <w:sz w:val="28"/>
          <w:szCs w:val="28"/>
        </w:rPr>
        <w:t>3</w:t>
      </w:r>
      <w:r w:rsidRPr="00C77E77">
        <w:rPr>
          <w:rFonts w:ascii="Times New Roman" w:eastAsia="標楷體" w:hAnsi="Times New Roman" w:cs="Times New Roman"/>
          <w:color w:val="000000" w:themeColor="text1"/>
          <w:sz w:val="28"/>
          <w:szCs w:val="28"/>
        </w:rPr>
        <w:t>億美元，預估</w:t>
      </w:r>
      <w:r w:rsidRPr="00C77E77">
        <w:rPr>
          <w:rFonts w:ascii="Times New Roman" w:eastAsia="標楷體" w:hAnsi="Times New Roman" w:cs="Times New Roman"/>
          <w:color w:val="000000" w:themeColor="text1"/>
          <w:sz w:val="28"/>
          <w:szCs w:val="28"/>
        </w:rPr>
        <w:t>2018</w:t>
      </w:r>
      <w:r w:rsidRPr="00C77E77">
        <w:rPr>
          <w:rFonts w:ascii="Times New Roman" w:eastAsia="標楷體" w:hAnsi="Times New Roman" w:cs="Times New Roman"/>
          <w:color w:val="000000" w:themeColor="text1"/>
          <w:sz w:val="28"/>
          <w:szCs w:val="28"/>
        </w:rPr>
        <w:t>年將成長至</w:t>
      </w:r>
      <w:r w:rsidRPr="00C77E77">
        <w:rPr>
          <w:rFonts w:ascii="Times New Roman" w:eastAsia="標楷體" w:hAnsi="Times New Roman" w:cs="Times New Roman"/>
          <w:color w:val="000000" w:themeColor="text1"/>
          <w:sz w:val="28"/>
          <w:szCs w:val="28"/>
        </w:rPr>
        <w:t>3.9</w:t>
      </w:r>
      <w:r w:rsidRPr="00C77E77">
        <w:rPr>
          <w:rFonts w:ascii="Times New Roman" w:eastAsia="標楷體" w:hAnsi="Times New Roman" w:cs="Times New Roman"/>
          <w:color w:val="000000" w:themeColor="text1"/>
          <w:sz w:val="28"/>
          <w:szCs w:val="28"/>
        </w:rPr>
        <w:t>億美元，</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年至</w:t>
      </w:r>
      <w:r w:rsidRPr="00C77E77">
        <w:rPr>
          <w:rFonts w:ascii="Times New Roman" w:eastAsia="標楷體" w:hAnsi="Times New Roman" w:cs="Times New Roman"/>
          <w:color w:val="000000" w:themeColor="text1"/>
          <w:sz w:val="28"/>
          <w:szCs w:val="28"/>
        </w:rPr>
        <w:t>2018</w:t>
      </w:r>
      <w:r w:rsidRPr="00C77E77">
        <w:rPr>
          <w:rFonts w:ascii="Times New Roman" w:eastAsia="標楷體" w:hAnsi="Times New Roman" w:cs="Times New Roman"/>
          <w:color w:val="000000" w:themeColor="text1"/>
          <w:sz w:val="28"/>
          <w:szCs w:val="28"/>
        </w:rPr>
        <w:t>年複合成長率達</w:t>
      </w:r>
      <w:r w:rsidRPr="00C77E77">
        <w:rPr>
          <w:rFonts w:ascii="Times New Roman" w:eastAsia="標楷體" w:hAnsi="Times New Roman" w:cs="Times New Roman"/>
          <w:color w:val="000000" w:themeColor="text1"/>
          <w:sz w:val="28"/>
          <w:szCs w:val="28"/>
        </w:rPr>
        <w:t>10.7</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p>
    <w:p w:rsidR="00FE0CDD" w:rsidRPr="00C77E77" w:rsidRDefault="00FE0CDD" w:rsidP="009F567C">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然而，菲律賓當地醫療器材產業尚未能跟上內需市場成長速度，多數設備仍仰賴海外進口，歷年醫療器材產品之進口依存度高達</w:t>
      </w:r>
      <w:r w:rsidRPr="00C77E77">
        <w:rPr>
          <w:rFonts w:ascii="Times New Roman" w:eastAsia="標楷體" w:hAnsi="Times New Roman" w:cs="Times New Roman"/>
          <w:color w:val="000000" w:themeColor="text1"/>
          <w:sz w:val="28"/>
          <w:szCs w:val="28"/>
        </w:rPr>
        <w:t>85</w:t>
      </w:r>
      <w:r w:rsidRPr="00C77E77">
        <w:rPr>
          <w:rFonts w:ascii="Times New Roman" w:eastAsia="標楷體" w:hAnsi="Times New Roman" w:cs="Times New Roman"/>
          <w:sz w:val="28"/>
          <w:szCs w:val="28"/>
        </w:rPr>
        <w:t>％以上</w:t>
      </w:r>
      <w:r w:rsidRPr="00C77E77">
        <w:rPr>
          <w:rFonts w:ascii="Times New Roman" w:eastAsia="標楷體" w:hAnsi="Times New Roman" w:cs="Times New Roman"/>
          <w:color w:val="000000" w:themeColor="text1"/>
          <w:sz w:val="28"/>
          <w:szCs w:val="28"/>
        </w:rPr>
        <w:t>。菲律賓海關統計資料顯示，截至</w:t>
      </w:r>
      <w:r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w:t>
      </w:r>
      <w:r w:rsidRPr="00C77E77">
        <w:rPr>
          <w:rFonts w:ascii="Times New Roman" w:eastAsia="標楷體" w:hAnsi="Times New Roman" w:cs="Times New Roman"/>
          <w:color w:val="000000" w:themeColor="text1"/>
          <w:sz w:val="28"/>
          <w:szCs w:val="28"/>
        </w:rPr>
        <w:t>6</w:t>
      </w:r>
      <w:r w:rsidRPr="00C77E77">
        <w:rPr>
          <w:rFonts w:ascii="Times New Roman" w:eastAsia="標楷體" w:hAnsi="Times New Roman" w:cs="Times New Roman"/>
          <w:color w:val="000000" w:themeColor="text1"/>
          <w:sz w:val="28"/>
          <w:szCs w:val="28"/>
        </w:rPr>
        <w:t>月醫療器材進口金額累計達</w:t>
      </w:r>
      <w:r w:rsidRPr="00C77E77">
        <w:rPr>
          <w:rFonts w:ascii="Times New Roman" w:eastAsia="標楷體" w:hAnsi="Times New Roman" w:cs="Times New Roman"/>
          <w:color w:val="000000" w:themeColor="text1"/>
          <w:sz w:val="28"/>
          <w:szCs w:val="28"/>
        </w:rPr>
        <w:t>1.1</w:t>
      </w:r>
      <w:r w:rsidR="007E5894" w:rsidRPr="00C77E77">
        <w:rPr>
          <w:rFonts w:ascii="Times New Roman" w:eastAsia="標楷體" w:hAnsi="Times New Roman" w:cs="Times New Roman"/>
          <w:color w:val="000000" w:themeColor="text1"/>
          <w:sz w:val="28"/>
          <w:szCs w:val="28"/>
        </w:rPr>
        <w:t>億美元，較</w:t>
      </w:r>
      <w:r w:rsidR="007E5894"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年同期增加</w:t>
      </w:r>
      <w:r w:rsidRPr="00C77E77">
        <w:rPr>
          <w:rFonts w:ascii="Times New Roman" w:eastAsia="標楷體" w:hAnsi="Times New Roman" w:cs="Times New Roman"/>
          <w:color w:val="000000" w:themeColor="text1"/>
          <w:sz w:val="28"/>
          <w:szCs w:val="28"/>
        </w:rPr>
        <w:t>7.3</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；進口來源國以中國大陸為主（</w:t>
      </w:r>
      <w:r w:rsidRPr="00C77E77">
        <w:rPr>
          <w:rFonts w:ascii="Times New Roman" w:eastAsia="標楷體" w:hAnsi="Times New Roman" w:cs="Times New Roman"/>
          <w:color w:val="000000" w:themeColor="text1"/>
          <w:sz w:val="28"/>
          <w:szCs w:val="28"/>
        </w:rPr>
        <w:t>16.4</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，進口醫用家具及復健治療設備等，第二大進口來源國為新加坡（</w:t>
      </w:r>
      <w:r w:rsidRPr="00C77E77">
        <w:rPr>
          <w:rFonts w:ascii="Times New Roman" w:eastAsia="標楷體" w:hAnsi="Times New Roman" w:cs="Times New Roman"/>
          <w:color w:val="000000" w:themeColor="text1"/>
          <w:sz w:val="28"/>
          <w:szCs w:val="28"/>
        </w:rPr>
        <w:t>15.1</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，進口病患監視器及</w:t>
      </w:r>
      <w:r w:rsidRPr="00C77E77">
        <w:rPr>
          <w:rFonts w:ascii="Times New Roman" w:eastAsia="標楷體" w:hAnsi="Times New Roman" w:cs="Times New Roman"/>
          <w:color w:val="000000" w:themeColor="text1"/>
          <w:sz w:val="28"/>
          <w:szCs w:val="28"/>
        </w:rPr>
        <w:t>X</w:t>
      </w:r>
      <w:r w:rsidRPr="00C77E77">
        <w:rPr>
          <w:rFonts w:ascii="Times New Roman" w:eastAsia="標楷體" w:hAnsi="Times New Roman" w:cs="Times New Roman"/>
          <w:color w:val="000000" w:themeColor="text1"/>
          <w:sz w:val="28"/>
          <w:szCs w:val="28"/>
        </w:rPr>
        <w:t>光設備零件等，其後分別為德國、美國與日本，韓國及馬來西亞亦追隨在後。</w:t>
      </w:r>
    </w:p>
    <w:p w:rsidR="00FE0CDD" w:rsidRPr="00C77E77" w:rsidRDefault="00FE0CDD" w:rsidP="00FE0CDD">
      <w:pPr>
        <w:spacing w:beforeLines="50" w:before="180" w:afterLines="50" w:after="180"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 xml:space="preserve">    </w:t>
      </w:r>
      <w:r w:rsidRPr="00C77E77">
        <w:rPr>
          <w:rFonts w:ascii="Times New Roman" w:eastAsia="標楷體" w:hAnsi="Times New Roman" w:cs="Times New Roman"/>
          <w:color w:val="000000" w:themeColor="text1"/>
          <w:sz w:val="28"/>
          <w:szCs w:val="28"/>
        </w:rPr>
        <w:t>印尼衛生部於</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月開始實施社會保險局法案，推動國家健康保險計畫，提供印尼民眾全民健康醫療保險，目標設立於</w:t>
      </w:r>
      <w:r w:rsidRPr="00C77E77">
        <w:rPr>
          <w:rFonts w:ascii="Times New Roman" w:eastAsia="標楷體" w:hAnsi="Times New Roman" w:cs="Times New Roman"/>
          <w:color w:val="000000" w:themeColor="text1"/>
          <w:sz w:val="28"/>
          <w:szCs w:val="28"/>
        </w:rPr>
        <w:t>2019</w:t>
      </w:r>
      <w:r w:rsidRPr="00C77E77">
        <w:rPr>
          <w:rFonts w:ascii="Times New Roman" w:eastAsia="標楷體" w:hAnsi="Times New Roman" w:cs="Times New Roman"/>
          <w:color w:val="000000" w:themeColor="text1"/>
          <w:sz w:val="28"/>
          <w:szCs w:val="28"/>
        </w:rPr>
        <w:t>年達成</w:t>
      </w:r>
      <w:r w:rsidRPr="00C77E77">
        <w:rPr>
          <w:rFonts w:ascii="Times New Roman" w:eastAsia="標楷體" w:hAnsi="Times New Roman" w:cs="Times New Roman"/>
          <w:color w:val="000000" w:themeColor="text1"/>
          <w:sz w:val="28"/>
          <w:szCs w:val="28"/>
        </w:rPr>
        <w:t>100</w:t>
      </w:r>
      <w:r w:rsidRPr="00C77E77">
        <w:rPr>
          <w:rFonts w:ascii="Times New Roman" w:eastAsia="標楷體" w:hAnsi="Times New Roman" w:cs="Times New Roman"/>
          <w:sz w:val="28"/>
          <w:szCs w:val="28"/>
        </w:rPr>
        <w:t>％全印尼覆蓋率</w:t>
      </w:r>
      <w:r w:rsidRPr="00C77E77">
        <w:rPr>
          <w:rFonts w:ascii="Times New Roman" w:eastAsia="標楷體" w:hAnsi="Times New Roman" w:cs="Times New Roman"/>
          <w:color w:val="000000" w:themeColor="text1"/>
          <w:sz w:val="28"/>
          <w:szCs w:val="28"/>
        </w:rPr>
        <w:t>。印尼政府並基及設立醫療照護機構，同時於</w:t>
      </w:r>
      <w:r w:rsidRPr="00C77E77">
        <w:rPr>
          <w:rFonts w:ascii="Times New Roman" w:eastAsia="標楷體" w:hAnsi="Times New Roman" w:cs="Times New Roman"/>
          <w:color w:val="000000" w:themeColor="text1"/>
          <w:sz w:val="28"/>
          <w:szCs w:val="28"/>
        </w:rPr>
        <w:t xml:space="preserve">2015 </w:t>
      </w:r>
      <w:r w:rsidRPr="00C77E77">
        <w:rPr>
          <w:rFonts w:ascii="Times New Roman" w:eastAsia="標楷體" w:hAnsi="Times New Roman" w:cs="Times New Roman"/>
          <w:color w:val="000000" w:themeColor="text1"/>
          <w:sz w:val="28"/>
          <w:szCs w:val="28"/>
        </w:rPr>
        <w:t>年</w:t>
      </w:r>
      <w:r w:rsidRPr="00C77E77">
        <w:rPr>
          <w:rFonts w:ascii="Times New Roman" w:eastAsia="標楷體" w:hAnsi="Times New Roman" w:cs="Times New Roman"/>
          <w:color w:val="000000" w:themeColor="text1"/>
          <w:sz w:val="28"/>
          <w:szCs w:val="28"/>
        </w:rPr>
        <w:t>2</w:t>
      </w:r>
      <w:r w:rsidRPr="00C77E77">
        <w:rPr>
          <w:rFonts w:ascii="Times New Roman" w:eastAsia="標楷體" w:hAnsi="Times New Roman" w:cs="Times New Roman"/>
          <w:color w:val="000000" w:themeColor="text1"/>
          <w:sz w:val="28"/>
          <w:szCs w:val="28"/>
        </w:rPr>
        <w:t>月提撥折合約</w:t>
      </w:r>
      <w:r w:rsidRPr="00C77E77">
        <w:rPr>
          <w:rFonts w:ascii="Times New Roman" w:eastAsia="標楷體" w:hAnsi="Times New Roman" w:cs="Times New Roman"/>
          <w:color w:val="000000" w:themeColor="text1"/>
          <w:sz w:val="28"/>
          <w:szCs w:val="28"/>
        </w:rPr>
        <w:t>5,130</w:t>
      </w:r>
      <w:r w:rsidRPr="00C77E77">
        <w:rPr>
          <w:rFonts w:ascii="Times New Roman" w:eastAsia="標楷體" w:hAnsi="Times New Roman" w:cs="Times New Roman"/>
          <w:color w:val="000000" w:themeColor="text1"/>
          <w:sz w:val="28"/>
          <w:szCs w:val="28"/>
        </w:rPr>
        <w:t>萬美元經費用以改善全國各地初級醫療院所與轉診機構，未來更將進一步加強基層醫療設施及擴展醫療保健覆蓋率，提升印尼醫療服務品質之同時，相關醫療器材需求可望帶動印尼醫療器材市場成長，預估至</w:t>
      </w:r>
      <w:r w:rsidRPr="00C77E77">
        <w:rPr>
          <w:rFonts w:ascii="Times New Roman" w:eastAsia="標楷體" w:hAnsi="Times New Roman" w:cs="Times New Roman"/>
          <w:color w:val="000000" w:themeColor="text1"/>
          <w:sz w:val="28"/>
          <w:szCs w:val="28"/>
        </w:rPr>
        <w:t>2018</w:t>
      </w:r>
      <w:r w:rsidRPr="00C77E77">
        <w:rPr>
          <w:rFonts w:ascii="Times New Roman" w:eastAsia="標楷體" w:hAnsi="Times New Roman" w:cs="Times New Roman"/>
          <w:color w:val="000000" w:themeColor="text1"/>
          <w:sz w:val="28"/>
          <w:szCs w:val="28"/>
        </w:rPr>
        <w:t>年可達到</w:t>
      </w:r>
      <w:r w:rsidRPr="00C77E77">
        <w:rPr>
          <w:rFonts w:ascii="Times New Roman" w:eastAsia="標楷體" w:hAnsi="Times New Roman" w:cs="Times New Roman"/>
          <w:color w:val="000000" w:themeColor="text1"/>
          <w:sz w:val="28"/>
          <w:szCs w:val="28"/>
        </w:rPr>
        <w:t xml:space="preserve">10.2 </w:t>
      </w:r>
      <w:r w:rsidRPr="00C77E77">
        <w:rPr>
          <w:rFonts w:ascii="Times New Roman" w:eastAsia="標楷體" w:hAnsi="Times New Roman" w:cs="Times New Roman"/>
          <w:color w:val="000000" w:themeColor="text1"/>
          <w:sz w:val="28"/>
          <w:szCs w:val="28"/>
        </w:rPr>
        <w:t>億美元，</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年至</w:t>
      </w:r>
      <w:r w:rsidRPr="00C77E77">
        <w:rPr>
          <w:rFonts w:ascii="Times New Roman" w:eastAsia="標楷體" w:hAnsi="Times New Roman" w:cs="Times New Roman"/>
          <w:color w:val="000000" w:themeColor="text1"/>
          <w:sz w:val="28"/>
          <w:szCs w:val="28"/>
        </w:rPr>
        <w:t>2018</w:t>
      </w:r>
      <w:r w:rsidRPr="00C77E77">
        <w:rPr>
          <w:rFonts w:ascii="Times New Roman" w:eastAsia="標楷體" w:hAnsi="Times New Roman" w:cs="Times New Roman"/>
          <w:color w:val="000000" w:themeColor="text1"/>
          <w:sz w:val="28"/>
          <w:szCs w:val="28"/>
        </w:rPr>
        <w:t>年複合成長率達</w:t>
      </w:r>
      <w:r w:rsidRPr="00C77E77">
        <w:rPr>
          <w:rFonts w:ascii="Times New Roman" w:eastAsia="標楷體" w:hAnsi="Times New Roman" w:cs="Times New Roman"/>
          <w:color w:val="000000" w:themeColor="text1"/>
          <w:sz w:val="28"/>
          <w:szCs w:val="28"/>
        </w:rPr>
        <w:t>13.84</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p>
    <w:p w:rsidR="00FE0CDD" w:rsidRPr="00C77E77" w:rsidRDefault="00FE0CDD" w:rsidP="00FE0CD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然而，印尼缺乏技術與相關專業人才，儘管印尼擁有豐富天然資源，當地醫療器材設備仍仰賴海外進口，醫療器材產品之進口依存度高達</w:t>
      </w:r>
      <w:r w:rsidRPr="00C77E77">
        <w:rPr>
          <w:rFonts w:ascii="Times New Roman" w:eastAsia="標楷體" w:hAnsi="Times New Roman" w:cs="Times New Roman"/>
          <w:color w:val="000000" w:themeColor="text1"/>
          <w:sz w:val="28"/>
          <w:szCs w:val="28"/>
        </w:rPr>
        <w:t>96</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。印尼進口來源國以新加坡為主（</w:t>
      </w:r>
      <w:r w:rsidRPr="00C77E77">
        <w:rPr>
          <w:rFonts w:ascii="Times New Roman" w:eastAsia="標楷體" w:hAnsi="Times New Roman" w:cs="Times New Roman"/>
          <w:color w:val="000000" w:themeColor="text1"/>
          <w:sz w:val="28"/>
          <w:szCs w:val="28"/>
        </w:rPr>
        <w:t>26.3</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，主要進口醫用耗材及輔助器等；第二及第三大進口來源國分別為中國大陸（</w:t>
      </w:r>
      <w:r w:rsidRPr="00C77E77">
        <w:rPr>
          <w:rFonts w:ascii="Times New Roman" w:eastAsia="標楷體" w:hAnsi="Times New Roman" w:cs="Times New Roman"/>
          <w:color w:val="000000" w:themeColor="text1"/>
          <w:sz w:val="28"/>
          <w:szCs w:val="28"/>
        </w:rPr>
        <w:t>12.4</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及美國（</w:t>
      </w:r>
      <w:r w:rsidRPr="00C77E77">
        <w:rPr>
          <w:rFonts w:ascii="Times New Roman" w:eastAsia="標楷體" w:hAnsi="Times New Roman" w:cs="Times New Roman"/>
          <w:color w:val="000000" w:themeColor="text1"/>
          <w:sz w:val="28"/>
          <w:szCs w:val="28"/>
        </w:rPr>
        <w:t>11.3</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，日本（</w:t>
      </w:r>
      <w:r w:rsidRPr="00C77E77">
        <w:rPr>
          <w:rFonts w:ascii="Times New Roman" w:eastAsia="標楷體" w:hAnsi="Times New Roman" w:cs="Times New Roman"/>
          <w:color w:val="000000" w:themeColor="text1"/>
          <w:sz w:val="28"/>
          <w:szCs w:val="28"/>
        </w:rPr>
        <w:t>11.2</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與德國（</w:t>
      </w:r>
      <w:r w:rsidRPr="00C77E77">
        <w:rPr>
          <w:rFonts w:ascii="Times New Roman" w:eastAsia="標楷體" w:hAnsi="Times New Roman" w:cs="Times New Roman"/>
          <w:color w:val="000000" w:themeColor="text1"/>
          <w:sz w:val="28"/>
          <w:szCs w:val="28"/>
        </w:rPr>
        <w:t>11.1</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以微小差距緊追在後，主要自上開四個國家進口診斷影像產品等。</w:t>
      </w:r>
    </w:p>
    <w:p w:rsidR="00FE0CDD" w:rsidRPr="00C77E77" w:rsidRDefault="00FE0CDD" w:rsidP="009F567C">
      <w:pPr>
        <w:spacing w:beforeLines="50" w:before="180" w:afterLines="50" w:after="180"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另外</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sz w:val="28"/>
          <w:szCs w:val="28"/>
        </w:rPr>
        <w:t>印度之醫療基礎建設嚴重不足</w:t>
      </w:r>
      <w:r w:rsidRPr="00C77E77">
        <w:rPr>
          <w:rFonts w:ascii="Times New Roman" w:eastAsia="標楷體" w:hAnsi="Times New Roman" w:cs="Times New Roman"/>
          <w:color w:val="000000" w:themeColor="text1"/>
          <w:sz w:val="28"/>
          <w:szCs w:val="28"/>
        </w:rPr>
        <w:t>，但該國行動通訊普及且醫療費用</w:t>
      </w:r>
      <w:r w:rsidRPr="00C77E77">
        <w:rPr>
          <w:rFonts w:ascii="Times New Roman" w:eastAsia="標楷體" w:hAnsi="Times New Roman" w:cs="Times New Roman"/>
          <w:color w:val="000000" w:themeColor="text1"/>
          <w:sz w:val="28"/>
          <w:szCs w:val="28"/>
        </w:rPr>
        <w:lastRenderedPageBreak/>
        <w:t>負擔日益提高，對於行動醫療服務之需求增加。根據印度</w:t>
      </w:r>
      <w:r w:rsidRPr="00C77E77">
        <w:rPr>
          <w:rFonts w:ascii="Times New Roman" w:eastAsia="標楷體" w:hAnsi="Times New Roman" w:cs="Times New Roman"/>
          <w:color w:val="000000" w:themeColor="text1"/>
          <w:sz w:val="28"/>
          <w:szCs w:val="28"/>
        </w:rPr>
        <w:t>TRAI</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Telecom Regulatory Authority of India)</w:t>
      </w:r>
      <w:r w:rsidRPr="00C77E77">
        <w:rPr>
          <w:rFonts w:ascii="Times New Roman" w:eastAsia="標楷體" w:hAnsi="Times New Roman" w:cs="Times New Roman"/>
          <w:color w:val="000000" w:themeColor="text1"/>
          <w:sz w:val="28"/>
          <w:szCs w:val="28"/>
        </w:rPr>
        <w:t>統計，印度手機用戶數量高居全球第二，使用人數高達</w:t>
      </w:r>
      <w:r w:rsidRPr="00C77E77">
        <w:rPr>
          <w:rFonts w:ascii="Times New Roman" w:eastAsia="標楷體" w:hAnsi="Times New Roman" w:cs="Times New Roman"/>
          <w:color w:val="000000" w:themeColor="text1"/>
          <w:sz w:val="28"/>
          <w:szCs w:val="28"/>
        </w:rPr>
        <w:t>8</w:t>
      </w:r>
      <w:r w:rsidRPr="00C77E77">
        <w:rPr>
          <w:rFonts w:ascii="Times New Roman" w:eastAsia="標楷體" w:hAnsi="Times New Roman" w:cs="Times New Roman"/>
          <w:color w:val="000000" w:themeColor="text1"/>
          <w:sz w:val="28"/>
          <w:szCs w:val="28"/>
        </w:rPr>
        <w:t>億人次，占印度人口三分之二，</w:t>
      </w:r>
      <w:r w:rsidRPr="00C77E77">
        <w:rPr>
          <w:rFonts w:ascii="Times New Roman" w:eastAsia="標楷體" w:hAnsi="Times New Roman" w:cs="Times New Roman"/>
          <w:color w:val="000000" w:themeColor="text1"/>
          <w:sz w:val="28"/>
          <w:szCs w:val="28"/>
        </w:rPr>
        <w:t>2009</w:t>
      </w:r>
      <w:r w:rsidRPr="00C77E77">
        <w:rPr>
          <w:rFonts w:ascii="Times New Roman" w:eastAsia="標楷體" w:hAnsi="Times New Roman" w:cs="Times New Roman"/>
          <w:color w:val="000000" w:themeColor="text1"/>
          <w:sz w:val="28"/>
          <w:szCs w:val="28"/>
        </w:rPr>
        <w:t>年市場滲透率已逾</w:t>
      </w:r>
      <w:r w:rsidRPr="00C77E77">
        <w:rPr>
          <w:rFonts w:ascii="Times New Roman" w:eastAsia="標楷體" w:hAnsi="Times New Roman" w:cs="Times New Roman"/>
          <w:color w:val="000000" w:themeColor="text1"/>
          <w:sz w:val="28"/>
          <w:szCs w:val="28"/>
        </w:rPr>
        <w:t>88</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，該國行動服務市場普及率已然完備。醫療支出上，</w:t>
      </w:r>
      <w:r w:rsidRPr="00C77E77">
        <w:rPr>
          <w:rFonts w:ascii="Times New Roman" w:eastAsia="標楷體" w:hAnsi="Times New Roman" w:cs="Times New Roman"/>
          <w:color w:val="000000" w:themeColor="text1"/>
          <w:sz w:val="28"/>
          <w:szCs w:val="28"/>
        </w:rPr>
        <w:t>2010</w:t>
      </w:r>
      <w:r w:rsidRPr="00C77E77">
        <w:rPr>
          <w:rFonts w:ascii="Times New Roman" w:eastAsia="標楷體" w:hAnsi="Times New Roman" w:cs="Times New Roman"/>
          <w:color w:val="000000" w:themeColor="text1"/>
          <w:sz w:val="28"/>
          <w:szCs w:val="28"/>
        </w:rPr>
        <w:t>年印度總體醫療支出高達</w:t>
      </w:r>
      <w:r w:rsidRPr="00C77E77">
        <w:rPr>
          <w:rFonts w:ascii="Times New Roman" w:eastAsia="標楷體" w:hAnsi="Times New Roman" w:cs="Times New Roman"/>
          <w:color w:val="000000" w:themeColor="text1"/>
          <w:sz w:val="28"/>
          <w:szCs w:val="28"/>
        </w:rPr>
        <w:t xml:space="preserve"> 664</w:t>
      </w:r>
      <w:r w:rsidRPr="00C77E77">
        <w:rPr>
          <w:rFonts w:ascii="Times New Roman" w:eastAsia="標楷體" w:hAnsi="Times New Roman" w:cs="Times New Roman"/>
          <w:color w:val="000000" w:themeColor="text1"/>
          <w:sz w:val="28"/>
          <w:szCs w:val="28"/>
        </w:rPr>
        <w:t>億美元，占國內</w:t>
      </w:r>
      <w:r w:rsidRPr="00C77E77">
        <w:rPr>
          <w:rFonts w:ascii="Times New Roman" w:eastAsia="標楷體" w:hAnsi="Times New Roman" w:cs="Times New Roman"/>
          <w:color w:val="000000" w:themeColor="text1"/>
          <w:sz w:val="28"/>
          <w:szCs w:val="28"/>
        </w:rPr>
        <w:t>GDP</w:t>
      </w:r>
      <w:r w:rsidRPr="00C77E77">
        <w:rPr>
          <w:rFonts w:ascii="Times New Roman" w:eastAsia="標楷體" w:hAnsi="Times New Roman" w:cs="Times New Roman"/>
          <w:color w:val="000000" w:themeColor="text1"/>
          <w:sz w:val="28"/>
          <w:szCs w:val="28"/>
        </w:rPr>
        <w:t>約</w:t>
      </w:r>
      <w:r w:rsidRPr="00C77E77">
        <w:rPr>
          <w:rFonts w:ascii="Times New Roman" w:eastAsia="標楷體" w:hAnsi="Times New Roman" w:cs="Times New Roman"/>
          <w:color w:val="000000" w:themeColor="text1"/>
          <w:sz w:val="28"/>
          <w:szCs w:val="28"/>
        </w:rPr>
        <w:t>4</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，預估</w:t>
      </w:r>
      <w:r w:rsidRPr="00C77E77">
        <w:rPr>
          <w:rFonts w:ascii="Times New Roman" w:eastAsia="標楷體" w:hAnsi="Times New Roman" w:cs="Times New Roman"/>
          <w:color w:val="000000" w:themeColor="text1"/>
          <w:sz w:val="28"/>
          <w:szCs w:val="28"/>
        </w:rPr>
        <w:t>2018</w:t>
      </w:r>
      <w:r w:rsidRPr="00C77E77">
        <w:rPr>
          <w:rFonts w:ascii="Times New Roman" w:eastAsia="標楷體" w:hAnsi="Times New Roman" w:cs="Times New Roman"/>
          <w:color w:val="000000" w:themeColor="text1"/>
          <w:sz w:val="28"/>
          <w:szCs w:val="28"/>
        </w:rPr>
        <w:t>年將提高至</w:t>
      </w:r>
      <w:r w:rsidRPr="00C77E77">
        <w:rPr>
          <w:rFonts w:ascii="Times New Roman" w:eastAsia="標楷體" w:hAnsi="Times New Roman" w:cs="Times New Roman"/>
          <w:color w:val="000000" w:themeColor="text1"/>
          <w:sz w:val="28"/>
          <w:szCs w:val="28"/>
        </w:rPr>
        <w:t>1,900</w:t>
      </w:r>
      <w:r w:rsidRPr="00C77E77">
        <w:rPr>
          <w:rFonts w:ascii="Times New Roman" w:eastAsia="標楷體" w:hAnsi="Times New Roman" w:cs="Times New Roman"/>
          <w:color w:val="000000" w:themeColor="text1"/>
          <w:sz w:val="28"/>
          <w:szCs w:val="28"/>
        </w:rPr>
        <w:t>億美元。</w:t>
      </w:r>
      <w:r w:rsidRPr="00C77E77">
        <w:rPr>
          <w:rStyle w:val="a9"/>
          <w:rFonts w:ascii="Times New Roman" w:eastAsia="標楷體" w:hAnsi="Times New Roman" w:cs="Times New Roman"/>
          <w:color w:val="000000" w:themeColor="text1"/>
          <w:sz w:val="28"/>
          <w:szCs w:val="28"/>
        </w:rPr>
        <w:footnoteReference w:id="134"/>
      </w:r>
    </w:p>
    <w:p w:rsidR="00FE0CDD" w:rsidRPr="00C77E77" w:rsidRDefault="00FE0CDD" w:rsidP="00FE0CDD">
      <w:pPr>
        <w:spacing w:beforeLines="50" w:before="180" w:afterLines="50" w:after="180" w:line="500" w:lineRule="exact"/>
        <w:jc w:val="both"/>
        <w:rPr>
          <w:rFonts w:ascii="Times New Roman" w:eastAsia="新細明體" w:hAnsi="Times New Roman" w:cs="Times New Roman"/>
          <w:szCs w:val="24"/>
        </w:rPr>
      </w:pPr>
      <w:r w:rsidRPr="00C77E77">
        <w:rPr>
          <w:rFonts w:ascii="Times New Roman" w:eastAsia="標楷體" w:hAnsi="Times New Roman" w:cs="Times New Roman"/>
          <w:color w:val="000000" w:themeColor="text1"/>
          <w:sz w:val="28"/>
          <w:szCs w:val="28"/>
        </w:rPr>
        <w:t xml:space="preserve">    </w:t>
      </w:r>
      <w:r w:rsidRPr="00C77E77">
        <w:rPr>
          <w:rFonts w:ascii="Times New Roman" w:eastAsia="標楷體" w:hAnsi="Times New Roman" w:cs="Times New Roman"/>
          <w:color w:val="000000" w:themeColor="text1"/>
          <w:sz w:val="28"/>
          <w:szCs w:val="28"/>
        </w:rPr>
        <w:t>在</w:t>
      </w:r>
      <w:r w:rsidRPr="00C77E77">
        <w:rPr>
          <w:rFonts w:ascii="Times New Roman" w:eastAsia="標楷體" w:hAnsi="Times New Roman" w:cs="Times New Roman"/>
          <w:color w:val="000000" w:themeColor="text1"/>
          <w:sz w:val="28"/>
          <w:szCs w:val="28"/>
        </w:rPr>
        <w:t>2000</w:t>
      </w:r>
      <w:r w:rsidRPr="00C77E77">
        <w:rPr>
          <w:rFonts w:ascii="Times New Roman" w:eastAsia="標楷體" w:hAnsi="Times New Roman" w:cs="Times New Roman"/>
          <w:color w:val="000000" w:themeColor="text1"/>
          <w:sz w:val="28"/>
          <w:szCs w:val="28"/>
        </w:rPr>
        <w:t>年至</w:t>
      </w:r>
      <w:r w:rsidRPr="00C77E77">
        <w:rPr>
          <w:rFonts w:ascii="Times New Roman" w:eastAsia="標楷體" w:hAnsi="Times New Roman" w:cs="Times New Roman"/>
          <w:color w:val="000000" w:themeColor="text1"/>
          <w:sz w:val="28"/>
          <w:szCs w:val="28"/>
        </w:rPr>
        <w:t>2012</w:t>
      </w:r>
      <w:r w:rsidRPr="00C77E77">
        <w:rPr>
          <w:rFonts w:ascii="Times New Roman" w:eastAsia="標楷體" w:hAnsi="Times New Roman" w:cs="Times New Roman"/>
          <w:color w:val="000000" w:themeColor="text1"/>
          <w:sz w:val="28"/>
          <w:szCs w:val="28"/>
        </w:rPr>
        <w:t>年間，印度醫院和診療中心共吸引外國直接投資</w:t>
      </w:r>
      <w:r w:rsidRPr="00C77E77">
        <w:rPr>
          <w:rFonts w:ascii="Times New Roman" w:eastAsia="標楷體" w:hAnsi="Times New Roman" w:cs="Times New Roman"/>
          <w:color w:val="000000" w:themeColor="text1"/>
          <w:sz w:val="28"/>
          <w:szCs w:val="28"/>
        </w:rPr>
        <w:t>14</w:t>
      </w:r>
      <w:r w:rsidRPr="00C77E77">
        <w:rPr>
          <w:rFonts w:ascii="Times New Roman" w:eastAsia="標楷體" w:hAnsi="Times New Roman" w:cs="Times New Roman"/>
          <w:color w:val="000000" w:themeColor="text1"/>
          <w:sz w:val="28"/>
          <w:szCs w:val="28"/>
        </w:rPr>
        <w:t>億美元，醫療設備及用具吸引外人投資</w:t>
      </w:r>
      <w:r w:rsidRPr="00C77E77">
        <w:rPr>
          <w:rFonts w:ascii="Times New Roman" w:eastAsia="標楷體" w:hAnsi="Times New Roman" w:cs="Times New Roman"/>
          <w:color w:val="000000" w:themeColor="text1"/>
          <w:sz w:val="28"/>
          <w:szCs w:val="28"/>
        </w:rPr>
        <w:t>5</w:t>
      </w:r>
      <w:r w:rsidRPr="00C77E77">
        <w:rPr>
          <w:rFonts w:ascii="Times New Roman" w:eastAsia="標楷體" w:hAnsi="Times New Roman" w:cs="Times New Roman"/>
          <w:color w:val="000000" w:themeColor="text1"/>
          <w:sz w:val="28"/>
          <w:szCs w:val="28"/>
        </w:rPr>
        <w:t>億</w:t>
      </w:r>
      <w:r w:rsidRPr="00C77E77">
        <w:rPr>
          <w:rFonts w:ascii="Times New Roman" w:eastAsia="標楷體" w:hAnsi="Times New Roman" w:cs="Times New Roman"/>
          <w:color w:val="000000" w:themeColor="text1"/>
          <w:sz w:val="28"/>
          <w:szCs w:val="28"/>
        </w:rPr>
        <w:t>2,354</w:t>
      </w:r>
      <w:r w:rsidRPr="00C77E77">
        <w:rPr>
          <w:rFonts w:ascii="Times New Roman" w:eastAsia="標楷體" w:hAnsi="Times New Roman" w:cs="Times New Roman"/>
          <w:color w:val="000000" w:themeColor="text1"/>
          <w:sz w:val="28"/>
          <w:szCs w:val="28"/>
        </w:rPr>
        <w:t>萬美元。</w:t>
      </w:r>
      <w:r w:rsidRPr="00C77E77">
        <w:rPr>
          <w:rFonts w:ascii="Times New Roman" w:eastAsia="標楷體" w:hAnsi="Times New Roman" w:cs="Times New Roman"/>
          <w:color w:val="000000" w:themeColor="text1"/>
          <w:sz w:val="28"/>
          <w:szCs w:val="28"/>
          <w:vertAlign w:val="superscript"/>
        </w:rPr>
        <w:footnoteReference w:id="135"/>
      </w:r>
      <w:r w:rsidRPr="00C77E77">
        <w:rPr>
          <w:rFonts w:ascii="Times New Roman" w:eastAsia="標楷體" w:hAnsi="Times New Roman" w:cs="Times New Roman"/>
          <w:color w:val="000000" w:themeColor="text1"/>
          <w:sz w:val="28"/>
          <w:szCs w:val="28"/>
        </w:rPr>
        <w:t>據估計，印度的醫療市場到</w:t>
      </w:r>
      <w:r w:rsidRPr="00C77E77">
        <w:rPr>
          <w:rFonts w:ascii="Times New Roman" w:eastAsia="標楷體" w:hAnsi="Times New Roman" w:cs="Times New Roman"/>
          <w:color w:val="000000" w:themeColor="text1"/>
          <w:sz w:val="28"/>
          <w:szCs w:val="28"/>
        </w:rPr>
        <w:t>2020</w:t>
      </w:r>
      <w:r w:rsidRPr="00C77E77">
        <w:rPr>
          <w:rFonts w:ascii="Times New Roman" w:eastAsia="標楷體" w:hAnsi="Times New Roman" w:cs="Times New Roman"/>
          <w:color w:val="000000" w:themeColor="text1"/>
          <w:sz w:val="28"/>
          <w:szCs w:val="28"/>
        </w:rPr>
        <w:t>年將成長至</w:t>
      </w:r>
      <w:r w:rsidRPr="00C77E77">
        <w:rPr>
          <w:rFonts w:ascii="Times New Roman" w:eastAsia="標楷體" w:hAnsi="Times New Roman" w:cs="Times New Roman"/>
          <w:color w:val="000000" w:themeColor="text1"/>
          <w:sz w:val="28"/>
          <w:szCs w:val="28"/>
        </w:rPr>
        <w:t>2,800</w:t>
      </w:r>
      <w:r w:rsidRPr="00C77E77">
        <w:rPr>
          <w:rFonts w:ascii="Times New Roman" w:eastAsia="標楷體" w:hAnsi="Times New Roman" w:cs="Times New Roman"/>
          <w:color w:val="000000" w:themeColor="text1"/>
          <w:sz w:val="28"/>
          <w:szCs w:val="28"/>
        </w:rPr>
        <w:t>億美元。印度的醫院區分為公私立兩大類型，私立連鎖醫院如</w:t>
      </w:r>
      <w:r w:rsidRPr="00C77E77">
        <w:rPr>
          <w:rFonts w:ascii="Times New Roman" w:eastAsia="標楷體" w:hAnsi="Times New Roman" w:cs="Times New Roman"/>
          <w:color w:val="000000" w:themeColor="text1"/>
          <w:sz w:val="28"/>
          <w:szCs w:val="28"/>
        </w:rPr>
        <w:t>Apollo</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Fortis</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Manipal</w:t>
      </w:r>
      <w:r w:rsidRPr="00C77E77">
        <w:rPr>
          <w:rFonts w:ascii="Times New Roman" w:eastAsia="標楷體" w:hAnsi="Times New Roman" w:cs="Times New Roman"/>
          <w:color w:val="000000" w:themeColor="text1"/>
          <w:sz w:val="28"/>
          <w:szCs w:val="28"/>
        </w:rPr>
        <w:t>及</w:t>
      </w:r>
      <w:r w:rsidRPr="00C77E77">
        <w:rPr>
          <w:rFonts w:ascii="Times New Roman" w:eastAsia="標楷體" w:hAnsi="Times New Roman" w:cs="Times New Roman"/>
          <w:color w:val="000000" w:themeColor="text1"/>
          <w:sz w:val="28"/>
          <w:szCs w:val="28"/>
        </w:rPr>
        <w:t>Max</w:t>
      </w:r>
      <w:r w:rsidRPr="00C77E77">
        <w:rPr>
          <w:rFonts w:ascii="Times New Roman" w:eastAsia="標楷體" w:hAnsi="Times New Roman" w:cs="Times New Roman"/>
          <w:color w:val="000000" w:themeColor="text1"/>
          <w:sz w:val="28"/>
          <w:szCs w:val="28"/>
        </w:rPr>
        <w:t>等都有不錯的醫療水平，收費也較高，行政效率也高於公立醫院，適合與外商合作。</w:t>
      </w:r>
    </w:p>
    <w:p w:rsidR="00FE0CDD" w:rsidRPr="00C77E77" w:rsidRDefault="00FE0CDD" w:rsidP="009F567C">
      <w:pPr>
        <w:spacing w:beforeLines="50" w:before="180" w:afterLines="50" w:after="180" w:line="500" w:lineRule="exact"/>
        <w:jc w:val="both"/>
        <w:rPr>
          <w:rFonts w:ascii="Times New Roman" w:eastAsia="標楷體" w:hAnsi="Times New Roman" w:cs="Times New Roman"/>
          <w:color w:val="000000" w:themeColor="text1"/>
          <w:sz w:val="28"/>
          <w:szCs w:val="28"/>
        </w:rPr>
      </w:pPr>
      <w:r w:rsidRPr="00C77E77">
        <w:rPr>
          <w:rFonts w:ascii="Times New Roman" w:eastAsia="新細明體" w:hAnsi="Times New Roman" w:cs="Times New Roman"/>
          <w:szCs w:val="24"/>
        </w:rPr>
        <w:t xml:space="preserve">    </w:t>
      </w:r>
      <w:r w:rsidRPr="00C77E77">
        <w:rPr>
          <w:rFonts w:ascii="Times New Roman" w:eastAsia="標楷體" w:hAnsi="Times New Roman" w:cs="Times New Roman"/>
          <w:color w:val="000000" w:themeColor="text1"/>
          <w:sz w:val="28"/>
          <w:szCs w:val="28"/>
        </w:rPr>
        <w:t>印度醫療器材市場在</w:t>
      </w: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年度估計約為</w:t>
      </w:r>
      <w:r w:rsidRPr="00C77E77">
        <w:rPr>
          <w:rFonts w:ascii="Times New Roman" w:eastAsia="標楷體" w:hAnsi="Times New Roman" w:cs="Times New Roman"/>
          <w:color w:val="000000" w:themeColor="text1"/>
          <w:sz w:val="28"/>
          <w:szCs w:val="28"/>
        </w:rPr>
        <w:t>30</w:t>
      </w:r>
      <w:r w:rsidRPr="00C77E77">
        <w:rPr>
          <w:rFonts w:ascii="Times New Roman" w:eastAsia="標楷體" w:hAnsi="Times New Roman" w:cs="Times New Roman"/>
          <w:color w:val="000000" w:themeColor="text1"/>
          <w:sz w:val="28"/>
          <w:szCs w:val="28"/>
        </w:rPr>
        <w:t>億美元。但印度有</w:t>
      </w:r>
      <w:r w:rsidRPr="00C77E77">
        <w:rPr>
          <w:rFonts w:ascii="Times New Roman" w:eastAsia="標楷體" w:hAnsi="Times New Roman" w:cs="Times New Roman"/>
          <w:color w:val="000000" w:themeColor="text1"/>
          <w:sz w:val="28"/>
          <w:szCs w:val="28"/>
        </w:rPr>
        <w:t>12</w:t>
      </w:r>
      <w:r w:rsidRPr="00C77E77">
        <w:rPr>
          <w:rFonts w:ascii="Times New Roman" w:eastAsia="標楷體" w:hAnsi="Times New Roman" w:cs="Times New Roman"/>
          <w:color w:val="000000" w:themeColor="text1"/>
          <w:sz w:val="28"/>
          <w:szCs w:val="28"/>
        </w:rPr>
        <w:t>億多人口，平均每人不到</w:t>
      </w:r>
      <w:r w:rsidRPr="00C77E77">
        <w:rPr>
          <w:rFonts w:ascii="Times New Roman" w:eastAsia="標楷體" w:hAnsi="Times New Roman" w:cs="Times New Roman"/>
          <w:color w:val="000000" w:themeColor="text1"/>
          <w:sz w:val="28"/>
          <w:szCs w:val="28"/>
        </w:rPr>
        <w:t>2.5</w:t>
      </w:r>
      <w:r w:rsidRPr="00C77E77">
        <w:rPr>
          <w:rFonts w:ascii="Times New Roman" w:eastAsia="標楷體" w:hAnsi="Times New Roman" w:cs="Times New Roman"/>
          <w:color w:val="000000" w:themeColor="text1"/>
          <w:sz w:val="28"/>
          <w:szCs w:val="28"/>
        </w:rPr>
        <w:t>美元，故有相當大的成長空間。隨著所得及平均壽命增加，相關醫療器材也將大幅增長，特別是老年疾病相關的醫療器材。估計印度醫療器材市場在</w:t>
      </w:r>
      <w:r w:rsidRPr="00C77E77">
        <w:rPr>
          <w:rFonts w:ascii="Times New Roman" w:eastAsia="標楷體" w:hAnsi="Times New Roman" w:cs="Times New Roman"/>
          <w:color w:val="000000" w:themeColor="text1"/>
          <w:sz w:val="28"/>
          <w:szCs w:val="28"/>
        </w:rPr>
        <w:t>2023</w:t>
      </w:r>
      <w:r w:rsidRPr="00C77E77">
        <w:rPr>
          <w:rFonts w:ascii="Times New Roman" w:eastAsia="標楷體" w:hAnsi="Times New Roman" w:cs="Times New Roman"/>
          <w:color w:val="000000" w:themeColor="text1"/>
          <w:sz w:val="28"/>
          <w:szCs w:val="28"/>
        </w:rPr>
        <w:t>年可達</w:t>
      </w:r>
      <w:r w:rsidRPr="00C77E77">
        <w:rPr>
          <w:rFonts w:ascii="Times New Roman" w:eastAsia="標楷體" w:hAnsi="Times New Roman" w:cs="Times New Roman"/>
          <w:color w:val="000000" w:themeColor="text1"/>
          <w:sz w:val="28"/>
          <w:szCs w:val="28"/>
        </w:rPr>
        <w:t>110</w:t>
      </w:r>
      <w:r w:rsidRPr="00C77E77">
        <w:rPr>
          <w:rFonts w:ascii="Times New Roman" w:eastAsia="標楷體" w:hAnsi="Times New Roman" w:cs="Times New Roman"/>
          <w:color w:val="000000" w:themeColor="text1"/>
          <w:sz w:val="28"/>
          <w:szCs w:val="28"/>
        </w:rPr>
        <w:t>億美元。但印度醫療器材</w:t>
      </w:r>
      <w:r w:rsidRPr="00C77E77">
        <w:rPr>
          <w:rFonts w:ascii="Times New Roman" w:eastAsia="標楷體" w:hAnsi="Times New Roman" w:cs="Times New Roman"/>
          <w:color w:val="000000" w:themeColor="text1"/>
          <w:sz w:val="28"/>
          <w:szCs w:val="28"/>
        </w:rPr>
        <w:t>75</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仰賴進口，所以本土及國際大廠在印度有相當大的發展機會。目前醫療進口平均關稅約</w:t>
      </w:r>
      <w:r w:rsidRPr="00C77E77">
        <w:rPr>
          <w:rFonts w:ascii="Times New Roman" w:eastAsia="標楷體" w:hAnsi="Times New Roman" w:cs="Times New Roman"/>
          <w:color w:val="000000" w:themeColor="text1"/>
          <w:sz w:val="28"/>
          <w:szCs w:val="28"/>
        </w:rPr>
        <w:t>10</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，通常轉嫁到消費者身上。</w:t>
      </w:r>
      <w:r w:rsidRPr="00C77E77">
        <w:rPr>
          <w:rFonts w:ascii="Times New Roman" w:eastAsia="標楷體" w:hAnsi="Times New Roman" w:cs="Times New Roman"/>
          <w:color w:val="000000" w:themeColor="text1"/>
          <w:sz w:val="28"/>
          <w:szCs w:val="28"/>
          <w:vertAlign w:val="superscript"/>
        </w:rPr>
        <w:footnoteReference w:id="136"/>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商康揚輔具</w:t>
      </w:r>
      <w:r w:rsidR="00C43C65" w:rsidRPr="00C77E77">
        <w:rPr>
          <w:rFonts w:ascii="Times New Roman" w:eastAsia="標楷體" w:hAnsi="Times New Roman" w:cs="Times New Roman"/>
          <w:color w:val="000000" w:themeColor="text1"/>
          <w:sz w:val="28"/>
          <w:szCs w:val="28"/>
        </w:rPr>
        <w:t>（</w:t>
      </w:r>
      <w:r w:rsidR="00C43C65" w:rsidRPr="00C77E77">
        <w:rPr>
          <w:rFonts w:ascii="Times New Roman" w:eastAsia="標楷體" w:hAnsi="Times New Roman" w:cs="Times New Roman"/>
          <w:color w:val="000000" w:themeColor="text1"/>
          <w:sz w:val="28"/>
          <w:szCs w:val="28"/>
        </w:rPr>
        <w:t>Karma medical</w:t>
      </w:r>
      <w:r w:rsidR="00C43C65"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在</w:t>
      </w:r>
      <w:r w:rsidRPr="00C77E77">
        <w:rPr>
          <w:rFonts w:ascii="Times New Roman" w:eastAsia="標楷體" w:hAnsi="Times New Roman" w:cs="Times New Roman"/>
          <w:color w:val="000000" w:themeColor="text1"/>
          <w:sz w:val="28"/>
          <w:szCs w:val="28"/>
        </w:rPr>
        <w:t>2007</w:t>
      </w:r>
      <w:r w:rsidRPr="00C77E77">
        <w:rPr>
          <w:rFonts w:ascii="Times New Roman" w:eastAsia="標楷體" w:hAnsi="Times New Roman" w:cs="Times New Roman"/>
          <w:color w:val="000000" w:themeColor="text1"/>
          <w:sz w:val="28"/>
          <w:szCs w:val="28"/>
        </w:rPr>
        <w:t>年進入印度市場，目前輪椅銷售市佔率已高達五成左右，在全印度有</w:t>
      </w:r>
      <w:r w:rsidRPr="00C77E77">
        <w:rPr>
          <w:rFonts w:ascii="Times New Roman" w:eastAsia="標楷體" w:hAnsi="Times New Roman" w:cs="Times New Roman"/>
          <w:color w:val="000000" w:themeColor="text1"/>
          <w:sz w:val="28"/>
          <w:szCs w:val="28"/>
        </w:rPr>
        <w:t>1,100</w:t>
      </w:r>
      <w:r w:rsidRPr="00C77E77">
        <w:rPr>
          <w:rFonts w:ascii="Times New Roman" w:eastAsia="標楷體" w:hAnsi="Times New Roman" w:cs="Times New Roman"/>
          <w:color w:val="000000" w:themeColor="text1"/>
          <w:sz w:val="28"/>
          <w:szCs w:val="28"/>
        </w:rPr>
        <w:t>家經銷商、其中單價一萬元以上的中階輪椅，每年銷量平均成長三成。可見</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商在印度醫療市場具有相當競爭力。</w:t>
      </w:r>
    </w:p>
    <w:p w:rsidR="00FE0CDD" w:rsidRPr="00C77E77" w:rsidRDefault="00FE0CDD" w:rsidP="00FE0CDD">
      <w:pPr>
        <w:spacing w:beforeLines="50" w:before="180" w:afterLines="50" w:after="180" w:line="500" w:lineRule="exact"/>
        <w:ind w:firstLineChars="200" w:firstLine="56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印度缺乏醫療人力且城鄉醫療設備不均，</w:t>
      </w:r>
      <w:r w:rsidRPr="00C77E77">
        <w:rPr>
          <w:rFonts w:ascii="Times New Roman" w:eastAsia="標楷體" w:hAnsi="Times New Roman" w:cs="Times New Roman"/>
          <w:color w:val="000000" w:themeColor="text1"/>
          <w:sz w:val="28"/>
          <w:szCs w:val="28"/>
        </w:rPr>
        <w:t>70</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的印度醫生和專業醫療人士都集中在都會地區，</w:t>
      </w:r>
      <w:r w:rsidRPr="00C77E77">
        <w:rPr>
          <w:rFonts w:ascii="Times New Roman" w:eastAsia="標楷體" w:hAnsi="Times New Roman" w:cs="Times New Roman"/>
          <w:color w:val="000000" w:themeColor="text1"/>
          <w:sz w:val="28"/>
          <w:szCs w:val="28"/>
        </w:rPr>
        <w:t>2010</w:t>
      </w:r>
      <w:r w:rsidRPr="00C77E77">
        <w:rPr>
          <w:rFonts w:ascii="Times New Roman" w:eastAsia="標楷體" w:hAnsi="Times New Roman" w:cs="Times New Roman"/>
          <w:color w:val="000000" w:themeColor="text1"/>
          <w:sz w:val="28"/>
          <w:szCs w:val="28"/>
        </w:rPr>
        <w:t>年印度人口與床位比例為</w:t>
      </w:r>
      <w:r w:rsidRPr="00C77E77">
        <w:rPr>
          <w:rFonts w:ascii="Times New Roman" w:eastAsia="標楷體" w:hAnsi="Times New Roman" w:cs="Times New Roman"/>
          <w:color w:val="000000" w:themeColor="text1"/>
          <w:sz w:val="28"/>
          <w:szCs w:val="28"/>
        </w:rPr>
        <w:t>769</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，且多達</w:t>
      </w:r>
      <w:r w:rsidRPr="00C77E77">
        <w:rPr>
          <w:rFonts w:ascii="Times New Roman" w:eastAsia="標楷體" w:hAnsi="Times New Roman" w:cs="Times New Roman"/>
          <w:color w:val="000000" w:themeColor="text1"/>
          <w:sz w:val="28"/>
          <w:szCs w:val="28"/>
        </w:rPr>
        <w:t>66</w:t>
      </w:r>
      <w:r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themeColor="text1"/>
          <w:sz w:val="28"/>
          <w:szCs w:val="28"/>
        </w:rPr>
        <w:t>床位集中於都市，加以平均醫療人力資源低於全球平均值，促使印度必須透過行動醫療服務來彌補。工研院生物技術開發中心報告顯示，</w:t>
      </w:r>
      <w:r w:rsidRPr="00C77E77">
        <w:rPr>
          <w:rFonts w:ascii="Times New Roman" w:eastAsia="標楷體" w:hAnsi="Times New Roman" w:cs="Times New Roman"/>
          <w:color w:val="000000" w:themeColor="text1"/>
          <w:sz w:val="28"/>
          <w:szCs w:val="28"/>
        </w:rPr>
        <w:t>2011</w:t>
      </w:r>
      <w:r w:rsidRPr="00C77E77">
        <w:rPr>
          <w:rFonts w:ascii="Times New Roman" w:eastAsia="標楷體" w:hAnsi="Times New Roman" w:cs="Times New Roman"/>
          <w:color w:val="000000" w:themeColor="text1"/>
          <w:sz w:val="28"/>
          <w:szCs w:val="28"/>
        </w:rPr>
        <w:t>年印度擁</w:t>
      </w:r>
      <w:r w:rsidRPr="00C77E77">
        <w:rPr>
          <w:rFonts w:ascii="Times New Roman" w:eastAsia="標楷體" w:hAnsi="Times New Roman" w:cs="Times New Roman"/>
          <w:color w:val="000000" w:themeColor="text1"/>
          <w:sz w:val="28"/>
          <w:szCs w:val="28"/>
        </w:rPr>
        <w:lastRenderedPageBreak/>
        <w:t>有</w:t>
      </w:r>
      <w:r w:rsidRPr="00C77E77">
        <w:rPr>
          <w:rFonts w:ascii="Times New Roman" w:eastAsia="標楷體" w:hAnsi="Times New Roman" w:cs="Times New Roman"/>
          <w:color w:val="000000" w:themeColor="text1"/>
          <w:sz w:val="28"/>
          <w:szCs w:val="28"/>
        </w:rPr>
        <w:t>20</w:t>
      </w:r>
      <w:r w:rsidRPr="00C77E77">
        <w:rPr>
          <w:rFonts w:ascii="Times New Roman" w:eastAsia="標楷體" w:hAnsi="Times New Roman" w:cs="Times New Roman"/>
          <w:color w:val="000000" w:themeColor="text1"/>
          <w:sz w:val="28"/>
          <w:szCs w:val="28"/>
        </w:rPr>
        <w:t>家以上之行動醫療廠商，進行約</w:t>
      </w:r>
      <w:r w:rsidRPr="00C77E77">
        <w:rPr>
          <w:rFonts w:ascii="Times New Roman" w:eastAsia="標楷體" w:hAnsi="Times New Roman" w:cs="Times New Roman"/>
          <w:color w:val="000000" w:themeColor="text1"/>
          <w:sz w:val="28"/>
          <w:szCs w:val="28"/>
        </w:rPr>
        <w:t>50</w:t>
      </w:r>
      <w:r w:rsidRPr="00C77E77">
        <w:rPr>
          <w:rFonts w:ascii="Times New Roman" w:eastAsia="標楷體" w:hAnsi="Times New Roman" w:cs="Times New Roman"/>
          <w:color w:val="000000" w:themeColor="text1"/>
          <w:sz w:val="28"/>
          <w:szCs w:val="28"/>
        </w:rPr>
        <w:t>個行動醫療計畫，涵蓋遠端醫療人員訓練與交流</w:t>
      </w:r>
      <w:r w:rsidRPr="00C77E77">
        <w:rPr>
          <w:rFonts w:ascii="Times New Roman" w:eastAsia="新細明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線上教育課程、醫療與緊急服務諮詢、慢性疾病照護與監測、及時檢測資料傳輸與儲存等若干領域，透過手機或行動裝置達成醫療服務目的，乃我國相關企業切入印度智慧健康醫療照護產業之可行方式。</w:t>
      </w:r>
    </w:p>
    <w:p w:rsidR="00FE0CDD" w:rsidRPr="00C77E77" w:rsidRDefault="00FE0CDD" w:rsidP="00FE0CDD">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目前</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商聯發科技公司針對此情況研發雲端心血管疾病篩檢和監測系統，與非政府組織「世界衛生夥伴」（</w:t>
      </w:r>
      <w:r w:rsidRPr="00C77E77">
        <w:rPr>
          <w:rFonts w:ascii="Times New Roman" w:eastAsia="標楷體" w:hAnsi="Times New Roman" w:cs="Times New Roman"/>
          <w:color w:val="000000" w:themeColor="text1"/>
          <w:sz w:val="28"/>
          <w:szCs w:val="28"/>
        </w:rPr>
        <w:t>World Health Partners</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WHP</w:t>
      </w:r>
      <w:r w:rsidRPr="00C77E77">
        <w:rPr>
          <w:rFonts w:ascii="Times New Roman" w:eastAsia="標楷體" w:hAnsi="Times New Roman" w:cs="Times New Roman"/>
          <w:color w:val="000000" w:themeColor="text1"/>
          <w:sz w:val="28"/>
          <w:szCs w:val="28"/>
        </w:rPr>
        <w:t>）合作到印度北方省（</w:t>
      </w:r>
      <w:r w:rsidRPr="00C77E77">
        <w:rPr>
          <w:rFonts w:ascii="Times New Roman" w:eastAsia="標楷體" w:hAnsi="Times New Roman" w:cs="Times New Roman"/>
          <w:color w:val="000000" w:themeColor="text1"/>
          <w:sz w:val="28"/>
          <w:szCs w:val="28"/>
        </w:rPr>
        <w:t>Uttar Pradesh</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117</w:t>
      </w:r>
      <w:r w:rsidRPr="00C77E77">
        <w:rPr>
          <w:rFonts w:ascii="Times New Roman" w:eastAsia="標楷體" w:hAnsi="Times New Roman" w:cs="Times New Roman"/>
          <w:color w:val="000000" w:themeColor="text1"/>
          <w:sz w:val="28"/>
          <w:szCs w:val="28"/>
        </w:rPr>
        <w:t>個中心和比哈省（</w:t>
      </w:r>
      <w:r w:rsidRPr="00C77E77">
        <w:rPr>
          <w:rFonts w:ascii="Times New Roman" w:eastAsia="標楷體" w:hAnsi="Times New Roman" w:cs="Times New Roman"/>
          <w:color w:val="000000" w:themeColor="text1"/>
          <w:sz w:val="28"/>
          <w:szCs w:val="28"/>
        </w:rPr>
        <w:t>Bihar</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800</w:t>
      </w:r>
      <w:r w:rsidRPr="00C77E77">
        <w:rPr>
          <w:rFonts w:ascii="Times New Roman" w:eastAsia="標楷體" w:hAnsi="Times New Roman" w:cs="Times New Roman"/>
          <w:color w:val="000000" w:themeColor="text1"/>
          <w:sz w:val="28"/>
          <w:szCs w:val="28"/>
        </w:rPr>
        <w:t>個中心，為農民進行衛教、篩檢與檢查並測量心電圖，再將上述資料上傳雲端由一線城市醫</w:t>
      </w:r>
      <w:r w:rsidRPr="00C77E77">
        <w:rPr>
          <w:rFonts w:ascii="Times New Roman" w:eastAsia="標楷體" w:hAnsi="Times New Roman" w:cs="Times New Roman"/>
          <w:sz w:val="28"/>
          <w:szCs w:val="28"/>
        </w:rPr>
        <w:t>生判定是否需要進一步醫療諮詢和檢查。估計已有</w:t>
      </w:r>
      <w:r w:rsidRPr="00C77E77">
        <w:rPr>
          <w:rFonts w:ascii="Times New Roman" w:eastAsia="標楷體" w:hAnsi="Times New Roman" w:cs="Times New Roman"/>
          <w:sz w:val="28"/>
          <w:szCs w:val="28"/>
        </w:rPr>
        <w:t>130</w:t>
      </w:r>
      <w:r w:rsidRPr="00C77E77">
        <w:rPr>
          <w:rFonts w:ascii="Times New Roman" w:eastAsia="標楷體" w:hAnsi="Times New Roman" w:cs="Times New Roman"/>
          <w:sz w:val="28"/>
          <w:szCs w:val="28"/>
        </w:rPr>
        <w:t>萬名農村人口受惠。</w:t>
      </w:r>
    </w:p>
    <w:p w:rsidR="009113F3" w:rsidRPr="00C77E77" w:rsidRDefault="009113F3" w:rsidP="009113F3">
      <w:pPr>
        <w:pStyle w:val="afe"/>
        <w:tabs>
          <w:tab w:val="clear" w:pos="567"/>
          <w:tab w:val="left" w:pos="465"/>
        </w:tabs>
        <w:spacing w:beforeLines="50" w:before="180" w:afterLines="50" w:after="180" w:line="500" w:lineRule="exact"/>
        <w:ind w:leftChars="-1" w:left="-2" w:firstLine="560"/>
        <w:rPr>
          <w:color w:val="auto"/>
          <w:sz w:val="28"/>
          <w:szCs w:val="28"/>
        </w:rPr>
      </w:pPr>
      <w:r w:rsidRPr="00C77E77">
        <w:rPr>
          <w:color w:val="auto"/>
          <w:sz w:val="28"/>
          <w:szCs w:val="28"/>
        </w:rPr>
        <w:t>除了「智慧醫材」行銷當地的商機，隨著東南亞及印度中產階級隨所得提高，除了人均醫療支出提高之外，保健意識及保養意願亦提升，醫療觀光活動盛行之外，保健食品與美妝產品也大受歡迎。</w:t>
      </w:r>
    </w:p>
    <w:p w:rsidR="009113F3" w:rsidRPr="00C77E77" w:rsidRDefault="009113F3" w:rsidP="009113F3">
      <w:pPr>
        <w:pStyle w:val="afe"/>
        <w:tabs>
          <w:tab w:val="clear" w:pos="567"/>
          <w:tab w:val="left" w:pos="465"/>
        </w:tabs>
        <w:spacing w:beforeLines="50" w:before="180" w:afterLines="50" w:after="180" w:line="500" w:lineRule="exact"/>
        <w:ind w:leftChars="-1" w:left="-2" w:firstLine="560"/>
        <w:rPr>
          <w:color w:val="auto"/>
          <w:sz w:val="28"/>
          <w:szCs w:val="28"/>
        </w:rPr>
      </w:pPr>
      <w:r w:rsidRPr="00C77E77">
        <w:rPr>
          <w:color w:val="auto"/>
          <w:sz w:val="28"/>
          <w:szCs w:val="28"/>
        </w:rPr>
        <w:t>以印度為例，臺灣可與印度進行醫療雙向觀光。根據</w:t>
      </w:r>
      <w:r w:rsidRPr="00C77E77">
        <w:rPr>
          <w:color w:val="auto"/>
          <w:sz w:val="28"/>
          <w:szCs w:val="28"/>
        </w:rPr>
        <w:t>2013</w:t>
      </w:r>
      <w:r w:rsidRPr="00C77E77">
        <w:rPr>
          <w:color w:val="auto"/>
          <w:sz w:val="28"/>
          <w:szCs w:val="28"/>
        </w:rPr>
        <w:t>年六月的「研究與市場」（</w:t>
      </w:r>
      <w:r w:rsidRPr="00C77E77">
        <w:rPr>
          <w:color w:val="auto"/>
          <w:sz w:val="28"/>
          <w:szCs w:val="28"/>
        </w:rPr>
        <w:t>Research and Markets</w:t>
      </w:r>
      <w:r w:rsidRPr="00C77E77">
        <w:rPr>
          <w:color w:val="auto"/>
          <w:sz w:val="28"/>
          <w:szCs w:val="28"/>
        </w:rPr>
        <w:t>）預估，</w:t>
      </w:r>
      <w:r w:rsidRPr="00C77E77">
        <w:rPr>
          <w:color w:val="auto"/>
          <w:sz w:val="28"/>
          <w:szCs w:val="28"/>
        </w:rPr>
        <w:t>2013</w:t>
      </w:r>
      <w:r w:rsidRPr="00C77E77">
        <w:rPr>
          <w:color w:val="auto"/>
          <w:sz w:val="28"/>
          <w:szCs w:val="28"/>
        </w:rPr>
        <w:t>至</w:t>
      </w:r>
      <w:r w:rsidRPr="00C77E77">
        <w:rPr>
          <w:color w:val="auto"/>
          <w:sz w:val="28"/>
          <w:szCs w:val="28"/>
        </w:rPr>
        <w:t>2015</w:t>
      </w:r>
      <w:r w:rsidRPr="00C77E77">
        <w:rPr>
          <w:color w:val="auto"/>
          <w:sz w:val="28"/>
          <w:szCs w:val="28"/>
        </w:rPr>
        <w:t>年間印度醫療旅遊市場的複合年均增長率（</w:t>
      </w:r>
      <w:r w:rsidRPr="00C77E77">
        <w:rPr>
          <w:color w:val="auto"/>
          <w:sz w:val="28"/>
          <w:szCs w:val="28"/>
        </w:rPr>
        <w:t>Compounded Annual Growth Rate</w:t>
      </w:r>
      <w:r w:rsidRPr="00C77E77">
        <w:rPr>
          <w:color w:val="auto"/>
          <w:sz w:val="28"/>
          <w:szCs w:val="28"/>
        </w:rPr>
        <w:t>）高達</w:t>
      </w:r>
      <w:r w:rsidRPr="00C77E77">
        <w:rPr>
          <w:color w:val="auto"/>
          <w:sz w:val="28"/>
          <w:szCs w:val="28"/>
        </w:rPr>
        <w:t>20%</w:t>
      </w:r>
      <w:r w:rsidRPr="00C77E77">
        <w:rPr>
          <w:color w:val="auto"/>
          <w:sz w:val="28"/>
          <w:szCs w:val="28"/>
        </w:rPr>
        <w:t>。印度擁有合格且優良的醫療人員、先進技術與良好的醫療基礎建設，該國的精油</w:t>
      </w:r>
      <w:r w:rsidRPr="00C77E77">
        <w:rPr>
          <w:color w:val="auto"/>
          <w:sz w:val="28"/>
          <w:szCs w:val="28"/>
        </w:rPr>
        <w:t>SPA</w:t>
      </w:r>
      <w:r w:rsidRPr="00C77E77">
        <w:rPr>
          <w:color w:val="auto"/>
          <w:sz w:val="28"/>
          <w:szCs w:val="28"/>
        </w:rPr>
        <w:t>與瑜珈活動使其醫療旅遊市場具有吸引力。在</w:t>
      </w:r>
      <w:r w:rsidRPr="00C77E77">
        <w:rPr>
          <w:color w:val="auto"/>
          <w:sz w:val="28"/>
          <w:szCs w:val="28"/>
        </w:rPr>
        <w:t>2009</w:t>
      </w:r>
      <w:r w:rsidRPr="00C77E77">
        <w:rPr>
          <w:color w:val="auto"/>
          <w:sz w:val="28"/>
          <w:szCs w:val="28"/>
        </w:rPr>
        <w:t>至</w:t>
      </w:r>
      <w:r w:rsidRPr="00C77E77">
        <w:rPr>
          <w:color w:val="auto"/>
          <w:sz w:val="28"/>
          <w:szCs w:val="28"/>
        </w:rPr>
        <w:t>2012</w:t>
      </w:r>
      <w:r w:rsidRPr="00C77E77">
        <w:rPr>
          <w:color w:val="auto"/>
          <w:sz w:val="28"/>
          <w:szCs w:val="28"/>
        </w:rPr>
        <w:t>年間，印度總共吸引了來自全球約一百一十萬的醫療旅遊者，收益達二十四億美元，預期未來將有更驚人的成長。臺灣也可反向行銷醫療觀光，除了溫</w:t>
      </w:r>
      <w:r w:rsidRPr="00C77E77">
        <w:rPr>
          <w:color w:val="auto"/>
          <w:sz w:val="28"/>
          <w:szCs w:val="28"/>
        </w:rPr>
        <w:t>/</w:t>
      </w:r>
      <w:r w:rsidRPr="00C77E77">
        <w:rPr>
          <w:color w:val="auto"/>
          <w:sz w:val="28"/>
          <w:szCs w:val="28"/>
        </w:rPr>
        <w:t>冷泉和經絡推拿之外，臺灣的醫療美容也具有競爭力。</w:t>
      </w:r>
    </w:p>
    <w:p w:rsidR="009113F3" w:rsidRPr="00C77E77" w:rsidRDefault="009113F3" w:rsidP="009113F3">
      <w:pPr>
        <w:pStyle w:val="afe"/>
        <w:tabs>
          <w:tab w:val="clear" w:pos="567"/>
          <w:tab w:val="left" w:pos="465"/>
        </w:tabs>
        <w:spacing w:beforeLines="50" w:before="180" w:afterLines="50" w:after="180" w:line="500" w:lineRule="exact"/>
        <w:ind w:leftChars="-1" w:left="-2" w:firstLine="560"/>
        <w:rPr>
          <w:color w:val="auto"/>
          <w:sz w:val="28"/>
          <w:szCs w:val="28"/>
        </w:rPr>
      </w:pPr>
      <w:r w:rsidRPr="00C77E77">
        <w:rPr>
          <w:color w:val="auto"/>
          <w:sz w:val="28"/>
          <w:szCs w:val="28"/>
        </w:rPr>
        <w:t>藉由推廣醫療觀光之際，可同時行銷我國行動智慧醫材（如穿戴式心跳血氧監測）之外，更可行銷我國保健食品與美妝產品。例如，泰國已註冊的男性美容健康產品，</w:t>
      </w:r>
      <w:r w:rsidRPr="00C77E77">
        <w:rPr>
          <w:color w:val="auto"/>
          <w:sz w:val="28"/>
          <w:szCs w:val="28"/>
        </w:rPr>
        <w:t>2014</w:t>
      </w:r>
      <w:r w:rsidRPr="00C77E77">
        <w:rPr>
          <w:color w:val="auto"/>
          <w:sz w:val="28"/>
          <w:szCs w:val="28"/>
        </w:rPr>
        <w:t>年的年複合成長率達到</w:t>
      </w:r>
      <w:r w:rsidRPr="00C77E77">
        <w:rPr>
          <w:color w:val="auto"/>
          <w:sz w:val="28"/>
          <w:szCs w:val="28"/>
        </w:rPr>
        <w:t>5%</w:t>
      </w:r>
      <w:r w:rsidRPr="00C77E77">
        <w:rPr>
          <w:color w:val="auto"/>
          <w:sz w:val="28"/>
          <w:szCs w:val="28"/>
        </w:rPr>
        <w:t>，</w:t>
      </w:r>
      <w:r w:rsidRPr="00C77E77">
        <w:rPr>
          <w:color w:val="auto"/>
          <w:sz w:val="28"/>
          <w:szCs w:val="28"/>
        </w:rPr>
        <w:t>2015</w:t>
      </w:r>
      <w:r w:rsidRPr="00C77E77">
        <w:rPr>
          <w:color w:val="auto"/>
          <w:sz w:val="28"/>
          <w:szCs w:val="28"/>
        </w:rPr>
        <w:t>年的年複合成長率再增至</w:t>
      </w:r>
      <w:r w:rsidRPr="00C77E77">
        <w:rPr>
          <w:color w:val="auto"/>
          <w:sz w:val="28"/>
          <w:szCs w:val="28"/>
        </w:rPr>
        <w:t>8%</w:t>
      </w:r>
      <w:r w:rsidRPr="00C77E77">
        <w:rPr>
          <w:color w:val="auto"/>
          <w:sz w:val="28"/>
          <w:szCs w:val="28"/>
        </w:rPr>
        <w:t>，</w:t>
      </w:r>
      <w:r w:rsidRPr="00C77E77">
        <w:rPr>
          <w:color w:val="auto"/>
          <w:sz w:val="28"/>
          <w:szCs w:val="28"/>
        </w:rPr>
        <w:t>2017</w:t>
      </w:r>
      <w:r w:rsidRPr="00C77E77">
        <w:rPr>
          <w:color w:val="auto"/>
          <w:sz w:val="28"/>
          <w:szCs w:val="28"/>
        </w:rPr>
        <w:t>年商機預估超過</w:t>
      </w:r>
      <w:r w:rsidRPr="00C77E77">
        <w:rPr>
          <w:color w:val="auto"/>
          <w:sz w:val="28"/>
          <w:szCs w:val="28"/>
        </w:rPr>
        <w:t>120</w:t>
      </w:r>
      <w:r w:rsidRPr="00C77E77">
        <w:rPr>
          <w:color w:val="auto"/>
          <w:sz w:val="28"/>
          <w:szCs w:val="28"/>
        </w:rPr>
        <w:t>億美元，並以雙位數年成長超越香港。泰國男性時尚雜誌在</w:t>
      </w:r>
      <w:r w:rsidRPr="00C77E77">
        <w:rPr>
          <w:color w:val="auto"/>
          <w:sz w:val="28"/>
          <w:szCs w:val="28"/>
        </w:rPr>
        <w:t>2015</w:t>
      </w:r>
      <w:r w:rsidRPr="00C77E77">
        <w:rPr>
          <w:color w:val="auto"/>
          <w:sz w:val="28"/>
          <w:szCs w:val="28"/>
        </w:rPr>
        <w:t>年春夏號封面更採用臺灣男性模特兒做為宣</w:t>
      </w:r>
      <w:r w:rsidRPr="00C77E77">
        <w:rPr>
          <w:color w:val="auto"/>
          <w:sz w:val="28"/>
          <w:szCs w:val="28"/>
        </w:rPr>
        <w:lastRenderedPageBreak/>
        <w:t>傳號召，</w:t>
      </w:r>
      <w:r w:rsidRPr="00C77E77">
        <w:rPr>
          <w:rStyle w:val="a9"/>
          <w:color w:val="auto"/>
          <w:sz w:val="28"/>
          <w:szCs w:val="28"/>
        </w:rPr>
        <w:footnoteReference w:id="137"/>
      </w:r>
      <w:r w:rsidRPr="00C77E77">
        <w:rPr>
          <w:color w:val="auto"/>
          <w:sz w:val="28"/>
          <w:szCs w:val="28"/>
        </w:rPr>
        <w:t xml:space="preserve"> </w:t>
      </w:r>
      <w:r w:rsidRPr="00C77E77">
        <w:rPr>
          <w:color w:val="auto"/>
          <w:sz w:val="28"/>
          <w:szCs w:val="28"/>
        </w:rPr>
        <w:t>顯示臺灣美容健康產品在當地市場有發展潛能。</w:t>
      </w:r>
    </w:p>
    <w:p w:rsidR="00FE0CDD" w:rsidRPr="00C77E77" w:rsidRDefault="00FE0CDD" w:rsidP="00FE0CDD">
      <w:pPr>
        <w:pStyle w:val="afe"/>
        <w:tabs>
          <w:tab w:val="clear" w:pos="567"/>
          <w:tab w:val="left" w:pos="465"/>
        </w:tabs>
        <w:spacing w:beforeLines="50" w:before="180" w:afterLines="50" w:after="180" w:line="500" w:lineRule="exact"/>
        <w:ind w:leftChars="-1" w:left="-2" w:firstLineChars="0" w:firstLine="1"/>
        <w:rPr>
          <w:sz w:val="28"/>
          <w:szCs w:val="28"/>
        </w:rPr>
      </w:pPr>
      <w:r w:rsidRPr="00C77E77">
        <w:rPr>
          <w:sz w:val="28"/>
          <w:szCs w:val="28"/>
        </w:rPr>
        <w:t>綜上所述，東南亞國家中，馬來西亞、泰國、越南、菲律賓及印尼之潛在智慧醫材商機可觀，我國醫療器材廠商可立基於本身在高階居家醫療器材之競爭優勢，與兩國當地經銷商合作開拓銷售通路，降低兩國基礎建設不足所帶來之地理限制。</w:t>
      </w:r>
    </w:p>
    <w:p w:rsidR="00FE0CDD" w:rsidRPr="00C77E77" w:rsidRDefault="00FE0CDD" w:rsidP="00FE0CDD">
      <w:pPr>
        <w:pStyle w:val="afe"/>
        <w:tabs>
          <w:tab w:val="clear" w:pos="567"/>
          <w:tab w:val="left" w:pos="465"/>
        </w:tabs>
        <w:spacing w:beforeLines="50" w:before="180" w:afterLines="50" w:after="180" w:line="500" w:lineRule="exact"/>
        <w:ind w:leftChars="-1" w:left="-2" w:firstLineChars="0" w:firstLine="1"/>
        <w:rPr>
          <w:sz w:val="28"/>
          <w:szCs w:val="28"/>
        </w:rPr>
      </w:pPr>
      <w:r w:rsidRPr="00C77E77">
        <w:rPr>
          <w:sz w:val="28"/>
          <w:szCs w:val="28"/>
        </w:rPr>
        <w:t xml:space="preserve">    </w:t>
      </w:r>
      <w:r w:rsidRPr="00C77E77">
        <w:rPr>
          <w:sz w:val="28"/>
          <w:szCs w:val="28"/>
        </w:rPr>
        <w:t>新加坡與我國已簽署「臺星經濟夥伴協定」，關稅壁壘消除，加以新加坡醫療支出為東協國家中最高，醫療器材產業成熟，且該國資通訊產業及醫療器材產業能量豐沛，又擁有高技術人力與研發創新能量，乃東南亞國家中最有潛力發展智慧健康產業，該國並已成為東南亞其他國家（如印尼</w:t>
      </w:r>
      <w:r w:rsidRPr="00C77E77">
        <w:rPr>
          <w:sz w:val="28"/>
          <w:szCs w:val="28"/>
        </w:rPr>
        <w:t>)</w:t>
      </w:r>
      <w:r w:rsidRPr="00C77E77">
        <w:rPr>
          <w:sz w:val="28"/>
          <w:szCs w:val="28"/>
        </w:rPr>
        <w:t>之主要醫療器材進口國，故我國可與當地智慧醫療產業合作，以新加坡為進入東南亞之門戶，提升我國在東南亞智慧健康市場之能見度。</w:t>
      </w:r>
    </w:p>
    <w:p w:rsidR="00FE0CDD" w:rsidRPr="00C77E77" w:rsidRDefault="00FE0CDD" w:rsidP="00FE0CDD">
      <w:pPr>
        <w:pStyle w:val="afe"/>
        <w:tabs>
          <w:tab w:val="clear" w:pos="567"/>
          <w:tab w:val="left" w:pos="465"/>
        </w:tabs>
        <w:spacing w:beforeLines="50" w:before="180" w:afterLines="50" w:after="180" w:line="500" w:lineRule="exact"/>
        <w:ind w:firstLineChars="0" w:firstLine="0"/>
        <w:rPr>
          <w:sz w:val="28"/>
          <w:szCs w:val="28"/>
        </w:rPr>
      </w:pPr>
      <w:r w:rsidRPr="00C77E77">
        <w:rPr>
          <w:sz w:val="28"/>
          <w:szCs w:val="28"/>
        </w:rPr>
        <w:t xml:space="preserve">    </w:t>
      </w:r>
      <w:r w:rsidRPr="00C77E77">
        <w:rPr>
          <w:sz w:val="28"/>
          <w:szCs w:val="28"/>
        </w:rPr>
        <w:t>南亞國家中，印度人口眾多而醫療資源缺乏，雖然基礎設施不足但行動通訊普及，隨著醫療負擔日益加重，包含行動醫療在內之智慧健康照護產業之商機可期，特別是老年疾病相關之醫療器材需求逐漸增加。印度當地有不少民間組織或非政府組織進行偏鄉醫療服務，我國廠商可與之合作。</w:t>
      </w:r>
    </w:p>
    <w:p w:rsidR="009113F3" w:rsidRPr="00C77E77" w:rsidRDefault="009113F3" w:rsidP="009113F3">
      <w:pPr>
        <w:pStyle w:val="afe"/>
        <w:tabs>
          <w:tab w:val="clear" w:pos="567"/>
          <w:tab w:val="left" w:pos="465"/>
        </w:tabs>
        <w:spacing w:beforeLines="50" w:before="180" w:afterLines="50" w:after="180" w:line="500" w:lineRule="exact"/>
        <w:ind w:firstLineChars="202" w:firstLine="566"/>
        <w:rPr>
          <w:sz w:val="28"/>
          <w:szCs w:val="28"/>
        </w:rPr>
      </w:pPr>
      <w:r w:rsidRPr="00C77E77">
        <w:rPr>
          <w:sz w:val="28"/>
          <w:szCs w:val="28"/>
        </w:rPr>
        <w:t>除此之外，推動醫療雙向觀光（如印度</w:t>
      </w:r>
      <w:r w:rsidRPr="00C77E77">
        <w:rPr>
          <w:sz w:val="28"/>
          <w:szCs w:val="28"/>
        </w:rPr>
        <w:t>)</w:t>
      </w:r>
      <w:r w:rsidRPr="00C77E77">
        <w:rPr>
          <w:sz w:val="28"/>
          <w:szCs w:val="28"/>
        </w:rPr>
        <w:t>及拓銷我國保健食品與美妝產品（如泰國</w:t>
      </w:r>
      <w:r w:rsidRPr="00C77E77">
        <w:rPr>
          <w:sz w:val="28"/>
          <w:szCs w:val="28"/>
        </w:rPr>
        <w:t>)</w:t>
      </w:r>
      <w:r w:rsidRPr="00C77E77">
        <w:rPr>
          <w:sz w:val="28"/>
          <w:szCs w:val="28"/>
        </w:rPr>
        <w:t>，亦是潛在商機。</w:t>
      </w:r>
    </w:p>
    <w:p w:rsidR="00815FCC" w:rsidRPr="00C77E77" w:rsidRDefault="00815FCC" w:rsidP="0001327A">
      <w:pPr>
        <w:pStyle w:val="ab"/>
        <w:numPr>
          <w:ilvl w:val="0"/>
          <w:numId w:val="35"/>
        </w:numPr>
        <w:spacing w:before="50" w:after="50" w:line="500" w:lineRule="exact"/>
        <w:ind w:leftChars="0"/>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新農業</w:t>
      </w:r>
    </w:p>
    <w:p w:rsidR="00684ECD" w:rsidRPr="00C77E77" w:rsidRDefault="00684ECD" w:rsidP="00684ECD">
      <w:pPr>
        <w:spacing w:beforeLines="50" w:before="180" w:afterLines="50" w:after="18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由於東南亞國家具有種族多元的特性，因此提供了豐富的出口市場與農產品市場</w:t>
      </w:r>
      <w:r w:rsidR="00315772"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農業為東協國家非常重要的部門</w:t>
      </w:r>
      <w:r w:rsidR="00315772"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在寮國、越南，農業佔總</w:t>
      </w:r>
      <w:r w:rsidRPr="00C77E77">
        <w:rPr>
          <w:rFonts w:ascii="Times New Roman" w:eastAsia="標楷體" w:hAnsi="Times New Roman" w:cs="Times New Roman"/>
          <w:color w:val="000000" w:themeColor="text1"/>
          <w:sz w:val="28"/>
          <w:szCs w:val="28"/>
        </w:rPr>
        <w:t>GDP</w:t>
      </w:r>
      <w:r w:rsidRPr="00C77E77">
        <w:rPr>
          <w:rFonts w:ascii="Times New Roman" w:eastAsia="標楷體" w:hAnsi="Times New Roman" w:cs="Times New Roman"/>
          <w:color w:val="000000" w:themeColor="text1"/>
          <w:sz w:val="28"/>
          <w:szCs w:val="28"/>
        </w:rPr>
        <w:t>的比例超過</w:t>
      </w:r>
      <w:r w:rsidRPr="00C77E77">
        <w:rPr>
          <w:rFonts w:ascii="Times New Roman" w:eastAsia="標楷體" w:hAnsi="Times New Roman" w:cs="Times New Roman"/>
          <w:color w:val="000000" w:themeColor="text1"/>
          <w:sz w:val="28"/>
          <w:szCs w:val="28"/>
        </w:rPr>
        <w:t>20%</w:t>
      </w:r>
      <w:r w:rsidR="00315772"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在印尼、泰國、菲律賓及馬來西亞亦超過</w:t>
      </w:r>
      <w:r w:rsidRPr="00C77E77">
        <w:rPr>
          <w:rFonts w:ascii="Times New Roman" w:eastAsia="標楷體" w:hAnsi="Times New Roman" w:cs="Times New Roman"/>
          <w:color w:val="000000" w:themeColor="text1"/>
          <w:sz w:val="28"/>
          <w:szCs w:val="28"/>
        </w:rPr>
        <w:t>10%</w:t>
      </w:r>
      <w:r w:rsidR="00315772"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柬埔寨之農業人口佔總人口數超過</w:t>
      </w:r>
      <w:r w:rsidRPr="00C77E77">
        <w:rPr>
          <w:rFonts w:ascii="Times New Roman" w:eastAsia="標楷體" w:hAnsi="Times New Roman" w:cs="Times New Roman"/>
          <w:color w:val="000000" w:themeColor="text1"/>
          <w:sz w:val="28"/>
          <w:szCs w:val="28"/>
        </w:rPr>
        <w:t>80%</w:t>
      </w:r>
      <w:r w:rsidRPr="00C77E77">
        <w:rPr>
          <w:rFonts w:ascii="Times New Roman" w:eastAsia="標楷體" w:hAnsi="Times New Roman" w:cs="Times New Roman"/>
          <w:color w:val="000000" w:themeColor="text1"/>
          <w:sz w:val="28"/>
          <w:szCs w:val="28"/>
        </w:rPr>
        <w:t>。</w:t>
      </w:r>
      <w:r w:rsidR="00315772" w:rsidRPr="00C77E77">
        <w:rPr>
          <w:rFonts w:ascii="Times New Roman" w:eastAsia="標楷體" w:hAnsi="Times New Roman" w:cs="Times New Roman"/>
          <w:color w:val="000000" w:themeColor="text1"/>
          <w:sz w:val="28"/>
          <w:szCs w:val="28"/>
        </w:rPr>
        <w:t>而</w:t>
      </w:r>
      <w:r w:rsidRPr="00C77E77">
        <w:rPr>
          <w:rFonts w:ascii="Times New Roman" w:eastAsia="標楷體" w:hAnsi="Times New Roman" w:cs="Times New Roman"/>
          <w:color w:val="000000" w:themeColor="text1"/>
          <w:sz w:val="28"/>
          <w:szCs w:val="28"/>
        </w:rPr>
        <w:t>農業</w:t>
      </w:r>
      <w:r w:rsidR="00315772" w:rsidRPr="00C77E77">
        <w:rPr>
          <w:rFonts w:ascii="Times New Roman" w:eastAsia="標楷體" w:hAnsi="Times New Roman" w:cs="Times New Roman"/>
          <w:color w:val="000000" w:themeColor="text1"/>
          <w:sz w:val="28"/>
          <w:szCs w:val="28"/>
        </w:rPr>
        <w:t>在東協國家中，</w:t>
      </w:r>
      <w:r w:rsidRPr="00C77E77">
        <w:rPr>
          <w:rFonts w:ascii="Times New Roman" w:eastAsia="標楷體" w:hAnsi="Times New Roman" w:cs="Times New Roman"/>
          <w:color w:val="000000" w:themeColor="text1"/>
          <w:sz w:val="28"/>
          <w:szCs w:val="28"/>
        </w:rPr>
        <w:t>為具有相當出口競爭力之產業，尤其是在棕櫚油、天然橡膠、稻米、樹薯粉與糖等大宗原</w:t>
      </w:r>
      <w:r w:rsidRPr="00C77E77">
        <w:rPr>
          <w:rFonts w:ascii="Times New Roman" w:eastAsia="標楷體" w:hAnsi="Times New Roman" w:cs="Times New Roman"/>
          <w:color w:val="000000" w:themeColor="text1"/>
          <w:sz w:val="28"/>
          <w:szCs w:val="28"/>
        </w:rPr>
        <w:lastRenderedPageBreak/>
        <w:t>物料項目上，皆居全球重要地位。</w:t>
      </w:r>
      <w:r w:rsidRPr="00C77E77">
        <w:rPr>
          <w:rStyle w:val="a9"/>
          <w:rFonts w:ascii="Times New Roman" w:eastAsia="標楷體" w:hAnsi="Times New Roman" w:cs="Times New Roman"/>
          <w:color w:val="000000" w:themeColor="text1"/>
          <w:sz w:val="28"/>
          <w:szCs w:val="28"/>
        </w:rPr>
        <w:footnoteReference w:id="138"/>
      </w:r>
    </w:p>
    <w:p w:rsidR="00684ECD" w:rsidRPr="00C77E77" w:rsidRDefault="00684ECD" w:rsidP="00684ECD">
      <w:pPr>
        <w:spacing w:beforeLines="50" w:before="180" w:afterLines="50" w:after="18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在臺灣與東協農業合作方面上，從最早派駐農業技術團提供東南亞國家農業技術合作開始，除了部分國家有簽署政府間的農業合作備忘錄外，亦透過國際組織、非政府組織及民間團體等進行多面向農業合作與交流活動。</w:t>
      </w:r>
      <w:r w:rsidRPr="00C77E77">
        <w:rPr>
          <w:rStyle w:val="a9"/>
          <w:rFonts w:ascii="Times New Roman" w:eastAsia="標楷體" w:hAnsi="Times New Roman" w:cs="Times New Roman"/>
          <w:color w:val="000000" w:themeColor="text1"/>
          <w:sz w:val="28"/>
          <w:szCs w:val="28"/>
        </w:rPr>
        <w:footnoteReference w:id="139"/>
      </w:r>
    </w:p>
    <w:p w:rsidR="00684ECD" w:rsidRPr="00C77E77" w:rsidRDefault="00684ECD" w:rsidP="00684ECD">
      <w:pPr>
        <w:pStyle w:val="af9"/>
      </w:pPr>
      <w:bookmarkStart w:id="138" w:name="_Toc470676608"/>
      <w:r w:rsidRPr="00C77E77">
        <w:t>表</w:t>
      </w:r>
      <w:r w:rsidRPr="00C77E77">
        <w:t>4-4-</w:t>
      </w:r>
      <w:r w:rsidR="00A64C92" w:rsidRPr="00C77E77">
        <w:t>3</w:t>
      </w:r>
      <w:r w:rsidR="00A12A6E" w:rsidRPr="00C77E77">
        <w:t xml:space="preserve"> </w:t>
      </w:r>
      <w:r w:rsidRPr="00C77E77">
        <w:t>臺灣與東協之農業合作現況</w:t>
      </w:r>
      <w:bookmarkEnd w:id="138"/>
    </w:p>
    <w:tbl>
      <w:tblPr>
        <w:tblStyle w:val="af4"/>
        <w:tblW w:w="0" w:type="auto"/>
        <w:jc w:val="center"/>
        <w:tblLook w:val="04A0" w:firstRow="1" w:lastRow="0" w:firstColumn="1" w:lastColumn="0" w:noHBand="0" w:noVBand="1"/>
      </w:tblPr>
      <w:tblGrid>
        <w:gridCol w:w="1242"/>
        <w:gridCol w:w="3092"/>
        <w:gridCol w:w="2094"/>
        <w:gridCol w:w="2094"/>
      </w:tblGrid>
      <w:tr w:rsidR="00684ECD" w:rsidRPr="00C77E77" w:rsidTr="00684ECD">
        <w:trPr>
          <w:jc w:val="center"/>
        </w:trPr>
        <w:tc>
          <w:tcPr>
            <w:tcW w:w="1242" w:type="dxa"/>
            <w:shd w:val="clear" w:color="auto" w:fill="D9D9D9" w:themeFill="background1" w:themeFillShade="D9"/>
          </w:tcPr>
          <w:p w:rsidR="00684ECD" w:rsidRPr="00C77E77" w:rsidRDefault="00684ECD" w:rsidP="00CA3E98">
            <w:pPr>
              <w:spacing w:before="50" w:after="50" w:line="340" w:lineRule="exact"/>
              <w:jc w:val="center"/>
              <w:rPr>
                <w:rFonts w:ascii="Times New Roman" w:eastAsia="標楷體" w:hAnsi="Times New Roman" w:cs="Times New Roman"/>
                <w:szCs w:val="24"/>
              </w:rPr>
            </w:pPr>
            <w:r w:rsidRPr="00C77E77">
              <w:rPr>
                <w:rFonts w:ascii="Times New Roman" w:eastAsia="標楷體" w:hAnsi="Times New Roman" w:cs="Times New Roman"/>
                <w:szCs w:val="24"/>
              </w:rPr>
              <w:t>國家</w:t>
            </w:r>
          </w:p>
        </w:tc>
        <w:tc>
          <w:tcPr>
            <w:tcW w:w="3092" w:type="dxa"/>
            <w:shd w:val="clear" w:color="auto" w:fill="D9D9D9" w:themeFill="background1" w:themeFillShade="D9"/>
          </w:tcPr>
          <w:p w:rsidR="00684ECD" w:rsidRPr="00C77E77" w:rsidRDefault="00684ECD" w:rsidP="00CA3E98">
            <w:pPr>
              <w:spacing w:before="50" w:after="50" w:line="340" w:lineRule="exact"/>
              <w:jc w:val="center"/>
              <w:rPr>
                <w:rFonts w:ascii="Times New Roman" w:eastAsia="標楷體" w:hAnsi="Times New Roman" w:cs="Times New Roman"/>
                <w:szCs w:val="24"/>
              </w:rPr>
            </w:pPr>
            <w:r w:rsidRPr="00C77E77">
              <w:rPr>
                <w:rFonts w:ascii="Times New Roman" w:eastAsia="標楷體" w:hAnsi="Times New Roman" w:cs="Times New Roman"/>
                <w:szCs w:val="24"/>
              </w:rPr>
              <w:t>政府間之農業部門正式官方合作</w:t>
            </w:r>
          </w:p>
        </w:tc>
        <w:tc>
          <w:tcPr>
            <w:tcW w:w="2094" w:type="dxa"/>
            <w:shd w:val="clear" w:color="auto" w:fill="D9D9D9" w:themeFill="background1" w:themeFillShade="D9"/>
          </w:tcPr>
          <w:p w:rsidR="00684ECD" w:rsidRPr="00C77E77" w:rsidRDefault="00684ECD" w:rsidP="00CA3E98">
            <w:pPr>
              <w:spacing w:before="50" w:after="50" w:line="340" w:lineRule="exact"/>
              <w:jc w:val="center"/>
              <w:rPr>
                <w:rFonts w:ascii="Times New Roman" w:eastAsia="標楷體" w:hAnsi="Times New Roman" w:cs="Times New Roman"/>
                <w:szCs w:val="24"/>
              </w:rPr>
            </w:pPr>
            <w:r w:rsidRPr="00C77E77">
              <w:rPr>
                <w:rFonts w:ascii="Times New Roman" w:eastAsia="標楷體" w:hAnsi="Times New Roman" w:cs="Times New Roman"/>
                <w:szCs w:val="24"/>
              </w:rPr>
              <w:t>非政府組織之外交部</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國合會體系之農業技術合作</w:t>
            </w:r>
          </w:p>
        </w:tc>
        <w:tc>
          <w:tcPr>
            <w:tcW w:w="2094" w:type="dxa"/>
            <w:shd w:val="clear" w:color="auto" w:fill="D9D9D9" w:themeFill="background1" w:themeFillShade="D9"/>
          </w:tcPr>
          <w:p w:rsidR="00684ECD" w:rsidRPr="00C77E77" w:rsidRDefault="00684ECD" w:rsidP="00CA3E98">
            <w:pPr>
              <w:spacing w:before="50" w:after="50" w:line="340" w:lineRule="exact"/>
              <w:jc w:val="center"/>
              <w:rPr>
                <w:rFonts w:ascii="Times New Roman" w:eastAsia="標楷體" w:hAnsi="Times New Roman" w:cs="Times New Roman"/>
                <w:szCs w:val="24"/>
              </w:rPr>
            </w:pPr>
            <w:r w:rsidRPr="00C77E77">
              <w:rPr>
                <w:rFonts w:ascii="Times New Roman" w:eastAsia="標楷體" w:hAnsi="Times New Roman" w:cs="Times New Roman"/>
                <w:szCs w:val="24"/>
              </w:rPr>
              <w:t>透過國際組織之農業技術交流等合作</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印尼</w:t>
            </w:r>
          </w:p>
        </w:tc>
        <w:tc>
          <w:tcPr>
            <w:tcW w:w="3092" w:type="dxa"/>
          </w:tcPr>
          <w:p w:rsidR="00684ECD" w:rsidRPr="00C77E77" w:rsidRDefault="00684ECD" w:rsidP="00315772">
            <w:pPr>
              <w:spacing w:before="50" w:after="50" w:line="340" w:lineRule="exact"/>
              <w:jc w:val="both"/>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2004</w:t>
            </w:r>
            <w:r w:rsidRPr="00C77E77">
              <w:rPr>
                <w:rFonts w:ascii="Times New Roman" w:eastAsia="標楷體" w:hAnsi="Times New Roman" w:cs="Times New Roman"/>
                <w:szCs w:val="24"/>
              </w:rPr>
              <w:t>年「海洋及漁業合作備忘錄」、</w:t>
            </w:r>
            <w:r w:rsidRPr="00C77E77">
              <w:rPr>
                <w:rFonts w:ascii="Times New Roman" w:eastAsia="標楷體" w:hAnsi="Times New Roman" w:cs="Times New Roman"/>
                <w:szCs w:val="24"/>
              </w:rPr>
              <w:t>2006</w:t>
            </w:r>
            <w:r w:rsidRPr="00C77E77">
              <w:rPr>
                <w:rFonts w:ascii="Times New Roman" w:eastAsia="標楷體" w:hAnsi="Times New Roman" w:cs="Times New Roman"/>
                <w:szCs w:val="24"/>
              </w:rPr>
              <w:t>年「農業技術合作協定」、</w:t>
            </w:r>
            <w:r w:rsidRPr="00C77E77">
              <w:rPr>
                <w:rFonts w:ascii="Times New Roman" w:eastAsia="標楷體" w:hAnsi="Times New Roman" w:cs="Times New Roman"/>
                <w:szCs w:val="24"/>
              </w:rPr>
              <w:t>2016</w:t>
            </w:r>
            <w:r w:rsidRPr="00C77E77">
              <w:rPr>
                <w:rFonts w:ascii="Times New Roman" w:eastAsia="標楷體" w:hAnsi="Times New Roman" w:cs="Times New Roman"/>
                <w:szCs w:val="24"/>
              </w:rPr>
              <w:t>年簽署「駐印</w:t>
            </w:r>
            <w:r w:rsidR="00FD0D5A" w:rsidRPr="00C77E77">
              <w:rPr>
                <w:rFonts w:ascii="Times New Roman" w:eastAsia="標楷體" w:hAnsi="Times New Roman" w:cs="Times New Roman"/>
                <w:szCs w:val="24"/>
              </w:rPr>
              <w:t>臺</w:t>
            </w:r>
            <w:r w:rsidRPr="00C77E77">
              <w:rPr>
                <w:rFonts w:ascii="Times New Roman" w:eastAsia="標楷體" w:hAnsi="Times New Roman" w:cs="Times New Roman"/>
                <w:szCs w:val="24"/>
              </w:rPr>
              <w:t>北經濟貿易代表處與駐臺北印尼經濟貿易代表處」農業合作協定</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有；自</w:t>
            </w:r>
            <w:r w:rsidRPr="00C77E77">
              <w:rPr>
                <w:rFonts w:ascii="Times New Roman" w:eastAsia="標楷體" w:hAnsi="Times New Roman" w:cs="Times New Roman"/>
                <w:szCs w:val="24"/>
              </w:rPr>
              <w:t>1976</w:t>
            </w:r>
            <w:r w:rsidRPr="00C77E77">
              <w:rPr>
                <w:rFonts w:ascii="Times New Roman" w:eastAsia="標楷體" w:hAnsi="Times New Roman" w:cs="Times New Roman"/>
                <w:szCs w:val="24"/>
              </w:rPr>
              <w:t>年派駐「印尼技術團」至今</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APEC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AVRDC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APO</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泰國</w:t>
            </w:r>
          </w:p>
        </w:tc>
        <w:tc>
          <w:tcPr>
            <w:tcW w:w="3092" w:type="dxa"/>
          </w:tcPr>
          <w:p w:rsidR="00684ECD" w:rsidRPr="00C77E77" w:rsidRDefault="00684ECD" w:rsidP="00315772">
            <w:pPr>
              <w:spacing w:before="50" w:after="50" w:line="340" w:lineRule="exact"/>
              <w:jc w:val="both"/>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2003</w:t>
            </w:r>
            <w:r w:rsidRPr="00C77E77">
              <w:rPr>
                <w:rFonts w:ascii="Times New Roman" w:eastAsia="標楷體" w:hAnsi="Times New Roman" w:cs="Times New Roman"/>
                <w:szCs w:val="24"/>
              </w:rPr>
              <w:t>年「臺泰農業合作協定」，至</w:t>
            </w:r>
            <w:r w:rsidRPr="00C77E77">
              <w:rPr>
                <w:rFonts w:ascii="Times New Roman" w:eastAsia="標楷體" w:hAnsi="Times New Roman" w:cs="Times New Roman"/>
                <w:szCs w:val="24"/>
              </w:rPr>
              <w:t>2013</w:t>
            </w:r>
            <w:r w:rsidRPr="00C77E77">
              <w:rPr>
                <w:rFonts w:ascii="Times New Roman" w:eastAsia="標楷體" w:hAnsi="Times New Roman" w:cs="Times New Roman"/>
                <w:szCs w:val="24"/>
              </w:rPr>
              <w:t>年已召開四屆</w:t>
            </w:r>
            <w:r w:rsidR="00FD0D5A" w:rsidRPr="00C77E77">
              <w:rPr>
                <w:rFonts w:ascii="Times New Roman" w:eastAsia="標楷體" w:hAnsi="Times New Roman" w:cs="Times New Roman"/>
                <w:szCs w:val="24"/>
              </w:rPr>
              <w:t>臺</w:t>
            </w:r>
            <w:r w:rsidRPr="00C77E77">
              <w:rPr>
                <w:rFonts w:ascii="Times New Roman" w:eastAsia="標楷體" w:hAnsi="Times New Roman" w:cs="Times New Roman"/>
                <w:szCs w:val="24"/>
              </w:rPr>
              <w:t>泰農業合作會議</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1969</w:t>
            </w:r>
            <w:r w:rsidRPr="00C77E77">
              <w:rPr>
                <w:rFonts w:ascii="Times New Roman" w:eastAsia="標楷體" w:hAnsi="Times New Roman" w:cs="Times New Roman"/>
                <w:szCs w:val="24"/>
              </w:rPr>
              <w:t>年泰王山地計畫下提供農業技術輔導，惟</w:t>
            </w:r>
            <w:r w:rsidRPr="00C77E77">
              <w:rPr>
                <w:rFonts w:ascii="Times New Roman" w:eastAsia="標楷體" w:hAnsi="Times New Roman" w:cs="Times New Roman"/>
                <w:szCs w:val="24"/>
              </w:rPr>
              <w:t>2003</w:t>
            </w:r>
            <w:r w:rsidRPr="00C77E77">
              <w:rPr>
                <w:rFonts w:ascii="Times New Roman" w:eastAsia="標楷體" w:hAnsi="Times New Roman" w:cs="Times New Roman"/>
                <w:szCs w:val="24"/>
              </w:rPr>
              <w:t>年中斷直至</w:t>
            </w:r>
            <w:r w:rsidRPr="00C77E77">
              <w:rPr>
                <w:rFonts w:ascii="Times New Roman" w:eastAsia="標楷體" w:hAnsi="Times New Roman" w:cs="Times New Roman"/>
                <w:szCs w:val="24"/>
              </w:rPr>
              <w:t>2011</w:t>
            </w:r>
            <w:r w:rsidRPr="00C77E77">
              <w:rPr>
                <w:rFonts w:ascii="Times New Roman" w:eastAsia="標楷體" w:hAnsi="Times New Roman" w:cs="Times New Roman"/>
                <w:szCs w:val="24"/>
              </w:rPr>
              <w:t>年恢復合作至今</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APEC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AVRDC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APAARI</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FFTC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APO</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馬來西亞</w:t>
            </w:r>
          </w:p>
        </w:tc>
        <w:tc>
          <w:tcPr>
            <w:tcW w:w="3092" w:type="dxa"/>
          </w:tcPr>
          <w:p w:rsidR="00684ECD" w:rsidRPr="00C77E77" w:rsidRDefault="00684ECD" w:rsidP="00315772">
            <w:pPr>
              <w:spacing w:before="50" w:after="50" w:line="340" w:lineRule="exact"/>
              <w:jc w:val="both"/>
              <w:rPr>
                <w:rFonts w:ascii="Times New Roman" w:eastAsia="標楷體" w:hAnsi="Times New Roman" w:cs="Times New Roman"/>
                <w:szCs w:val="24"/>
              </w:rPr>
            </w:pPr>
            <w:r w:rsidRPr="00C77E77">
              <w:rPr>
                <w:rFonts w:ascii="Times New Roman" w:eastAsia="標楷體" w:hAnsi="Times New Roman" w:cs="Times New Roman"/>
                <w:szCs w:val="24"/>
              </w:rPr>
              <w:t>無；</w:t>
            </w:r>
            <w:r w:rsidRPr="00C77E77">
              <w:rPr>
                <w:rFonts w:ascii="Times New Roman" w:eastAsia="標楷體" w:hAnsi="Times New Roman" w:cs="Times New Roman"/>
                <w:szCs w:val="24"/>
              </w:rPr>
              <w:t>2010</w:t>
            </w:r>
            <w:r w:rsidRPr="00C77E77">
              <w:rPr>
                <w:rFonts w:ascii="Times New Roman" w:eastAsia="標楷體" w:hAnsi="Times New Roman" w:cs="Times New Roman"/>
                <w:szCs w:val="24"/>
              </w:rPr>
              <w:t>年曾推動簽署「臺馬農業合作備忘錄」，惟至今尚未簽署</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APEC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APAARI</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FFTC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APO</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AARDO</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菲律賓</w:t>
            </w:r>
          </w:p>
        </w:tc>
        <w:tc>
          <w:tcPr>
            <w:tcW w:w="3092" w:type="dxa"/>
          </w:tcPr>
          <w:p w:rsidR="00684ECD" w:rsidRPr="00C77E77" w:rsidRDefault="00684ECD" w:rsidP="00315772">
            <w:pPr>
              <w:spacing w:before="50" w:after="50" w:line="340" w:lineRule="exact"/>
              <w:jc w:val="both"/>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2005</w:t>
            </w:r>
            <w:r w:rsidRPr="00C77E77">
              <w:rPr>
                <w:rFonts w:ascii="Times New Roman" w:eastAsia="標楷體" w:hAnsi="Times New Roman" w:cs="Times New Roman"/>
                <w:szCs w:val="24"/>
              </w:rPr>
              <w:t>年「臺菲簽署農漁業合作瞭解備忘錄」，至今已召開五屆臺菲農業合作會議</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APEC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AVRDC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APAARI</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FFTC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APO</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AARDO</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越南</w:t>
            </w:r>
          </w:p>
        </w:tc>
        <w:tc>
          <w:tcPr>
            <w:tcW w:w="3092" w:type="dxa"/>
          </w:tcPr>
          <w:p w:rsidR="00684ECD" w:rsidRPr="00C77E77" w:rsidRDefault="00684ECD" w:rsidP="00315772">
            <w:pPr>
              <w:spacing w:before="50" w:after="50" w:line="340" w:lineRule="exact"/>
              <w:jc w:val="both"/>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1999</w:t>
            </w:r>
            <w:r w:rsidRPr="00C77E77">
              <w:rPr>
                <w:rFonts w:ascii="Times New Roman" w:eastAsia="標楷體" w:hAnsi="Times New Roman" w:cs="Times New Roman"/>
                <w:szCs w:val="24"/>
              </w:rPr>
              <w:t>年「臺越農漁業合作協定」，至今已召開八屆臺越農漁業合作會議</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APEC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AVRDC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APAARI</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FFTC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APO</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lastRenderedPageBreak/>
              <w:t>緬甸</w:t>
            </w:r>
          </w:p>
        </w:tc>
        <w:tc>
          <w:tcPr>
            <w:tcW w:w="3092" w:type="dxa"/>
          </w:tcPr>
          <w:p w:rsidR="00684ECD" w:rsidRPr="00C77E77" w:rsidRDefault="00684ECD" w:rsidP="00315772">
            <w:pPr>
              <w:spacing w:before="50" w:after="50" w:line="340" w:lineRule="exact"/>
              <w:jc w:val="both"/>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2014</w:t>
            </w:r>
            <w:r w:rsidRPr="00C77E77">
              <w:rPr>
                <w:rFonts w:ascii="Times New Roman" w:eastAsia="標楷體" w:hAnsi="Times New Roman" w:cs="Times New Roman"/>
                <w:szCs w:val="24"/>
              </w:rPr>
              <w:t>年「臺緬農業合作瞭解備忘錄」</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有；設有國合會辦事處</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汶萊</w:t>
            </w:r>
          </w:p>
        </w:tc>
        <w:tc>
          <w:tcPr>
            <w:tcW w:w="309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APEC</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新加坡</w:t>
            </w:r>
          </w:p>
        </w:tc>
        <w:tc>
          <w:tcPr>
            <w:tcW w:w="309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APEC</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APO</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寮國</w:t>
            </w:r>
          </w:p>
        </w:tc>
        <w:tc>
          <w:tcPr>
            <w:tcW w:w="309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APO</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柬埔寨</w:t>
            </w:r>
          </w:p>
        </w:tc>
        <w:tc>
          <w:tcPr>
            <w:tcW w:w="309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APO</w:t>
            </w:r>
          </w:p>
        </w:tc>
      </w:tr>
      <w:tr w:rsidR="00684ECD" w:rsidRPr="00C77E77" w:rsidTr="00684ECD">
        <w:trPr>
          <w:jc w:val="center"/>
        </w:trPr>
        <w:tc>
          <w:tcPr>
            <w:tcW w:w="124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印度</w:t>
            </w:r>
          </w:p>
        </w:tc>
        <w:tc>
          <w:tcPr>
            <w:tcW w:w="3092"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2016</w:t>
            </w:r>
            <w:r w:rsidRPr="00C77E77">
              <w:rPr>
                <w:rFonts w:ascii="Times New Roman" w:eastAsia="標楷體" w:hAnsi="Times New Roman" w:cs="Times New Roman"/>
                <w:szCs w:val="24"/>
              </w:rPr>
              <w:t>月</w:t>
            </w:r>
            <w:r w:rsidRPr="00C77E77">
              <w:rPr>
                <w:rFonts w:ascii="Times New Roman" w:eastAsia="標楷體" w:hAnsi="Times New Roman" w:cs="Times New Roman"/>
                <w:szCs w:val="24"/>
              </w:rPr>
              <w:t>6</w:t>
            </w:r>
            <w:r w:rsidRPr="00C77E77">
              <w:rPr>
                <w:rFonts w:ascii="Times New Roman" w:eastAsia="標楷體" w:hAnsi="Times New Roman" w:cs="Times New Roman"/>
                <w:szCs w:val="24"/>
              </w:rPr>
              <w:t>月</w:t>
            </w:r>
            <w:r w:rsidRPr="00C77E77">
              <w:rPr>
                <w:rFonts w:ascii="Times New Roman" w:eastAsia="標楷體" w:hAnsi="Times New Roman" w:cs="Times New Roman"/>
                <w:szCs w:val="24"/>
              </w:rPr>
              <w:t>17</w:t>
            </w:r>
            <w:r w:rsidRPr="00C77E77">
              <w:rPr>
                <w:rFonts w:ascii="Times New Roman" w:eastAsia="標楷體" w:hAnsi="Times New Roman" w:cs="Times New Roman"/>
                <w:szCs w:val="24"/>
              </w:rPr>
              <w:t>日印度內閣會議通過將與</w:t>
            </w:r>
            <w:r w:rsidR="00447B5C" w:rsidRPr="00C77E77">
              <w:rPr>
                <w:rFonts w:ascii="Times New Roman" w:eastAsia="標楷體" w:hAnsi="Times New Roman" w:cs="Times New Roman"/>
                <w:szCs w:val="24"/>
              </w:rPr>
              <w:t>臺灣</w:t>
            </w:r>
            <w:r w:rsidRPr="00C77E77">
              <w:rPr>
                <w:rFonts w:ascii="Times New Roman" w:eastAsia="標楷體" w:hAnsi="Times New Roman" w:cs="Times New Roman"/>
                <w:szCs w:val="24"/>
              </w:rPr>
              <w:t>簽署農業與相關領域合作備忘錄</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無</w:t>
            </w:r>
          </w:p>
        </w:tc>
        <w:tc>
          <w:tcPr>
            <w:tcW w:w="2094" w:type="dxa"/>
          </w:tcPr>
          <w:p w:rsidR="00684ECD" w:rsidRPr="00C77E77" w:rsidRDefault="00684ECD" w:rsidP="00CA3E98">
            <w:pPr>
              <w:spacing w:before="50" w:after="50" w:line="340" w:lineRule="exact"/>
              <w:rPr>
                <w:rFonts w:ascii="Times New Roman" w:eastAsia="標楷體" w:hAnsi="Times New Roman" w:cs="Times New Roman"/>
                <w:szCs w:val="24"/>
              </w:rPr>
            </w:pPr>
            <w:r w:rsidRPr="00C77E77">
              <w:rPr>
                <w:rFonts w:ascii="Times New Roman" w:eastAsia="標楷體" w:hAnsi="Times New Roman" w:cs="Times New Roman"/>
                <w:szCs w:val="24"/>
              </w:rPr>
              <w:t>有；</w:t>
            </w:r>
            <w:r w:rsidRPr="00C77E77">
              <w:rPr>
                <w:rFonts w:ascii="Times New Roman" w:eastAsia="標楷體" w:hAnsi="Times New Roman" w:cs="Times New Roman"/>
                <w:szCs w:val="24"/>
              </w:rPr>
              <w:t>APO</w:t>
            </w:r>
          </w:p>
        </w:tc>
      </w:tr>
    </w:tbl>
    <w:p w:rsidR="00684ECD" w:rsidRPr="00C77E77" w:rsidRDefault="00684ECD" w:rsidP="00684ECD">
      <w:pPr>
        <w:spacing w:before="50" w:after="50" w:line="360" w:lineRule="auto"/>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資料來源：臺東協農產貿易與農業合作之現況與可能面向</w:t>
      </w:r>
    </w:p>
    <w:p w:rsidR="00315772" w:rsidRPr="00C77E77" w:rsidRDefault="00B02868" w:rsidP="00315772">
      <w:pPr>
        <w:spacing w:before="50" w:after="50" w:line="500" w:lineRule="exact"/>
        <w:ind w:leftChars="50" w:left="120" w:firstLine="48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依據第二章表</w:t>
      </w:r>
      <w:r w:rsidRPr="00C77E77">
        <w:rPr>
          <w:rFonts w:ascii="Times New Roman" w:eastAsia="標楷體" w:hAnsi="Times New Roman" w:cs="Times New Roman"/>
          <w:sz w:val="28"/>
          <w:szCs w:val="28"/>
        </w:rPr>
        <w:t>2-3-12</w:t>
      </w:r>
      <w:r w:rsidRPr="00C77E77">
        <w:rPr>
          <w:rFonts w:ascii="Times New Roman" w:eastAsia="標楷體" w:hAnsi="Times New Roman" w:cs="Times New Roman"/>
          <w:sz w:val="28"/>
          <w:szCs w:val="28"/>
        </w:rPr>
        <w:t>東南亞國家與印度開放外人投資之重點產業分析得知，包括印尼、泰國、柬埔寨、印度等皆有開放農業為外人投資重點項目。然而，由於農業範圍極廣，包含糧食作物、畜牧、漁業養殖、農業機械、食品加工以及農業生技等項目，同時受限每個國家在土地、技術以及是否簽署合作協議之差異性，在考量上述因素下，並非每個東南亞國家都適合與我國在農業項目上進行雙邊交流與合作。截至目前盤點臺灣與東協國家中在農業合作議題上，主要以印尼、泰國、菲律賓及越南為合作對象。相對較少與馬來西亞、新加坡、寮國、汶萊與柬埔寨合作。而緬甸則於</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年開</w:t>
      </w:r>
      <w:r w:rsidRPr="00C77E77">
        <w:rPr>
          <w:rFonts w:ascii="Times New Roman" w:eastAsia="標楷體" w:hAnsi="Times New Roman" w:cs="Times New Roman"/>
          <w:color w:val="000000" w:themeColor="text1"/>
          <w:sz w:val="28"/>
          <w:szCs w:val="28"/>
        </w:rPr>
        <w:t>啟合作契機，後續在農業合作上應大有所為。因此，建議我國以目前有雙邊正式簽署農業合作之國家進行投資，針對尚未有官方合作協議之國家，透過非政府組織之外交部</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國合會體系之農業技術合作，進行農業交流。表</w:t>
      </w:r>
      <w:r w:rsidRPr="00C77E77">
        <w:rPr>
          <w:rFonts w:ascii="Times New Roman" w:eastAsia="標楷體" w:hAnsi="Times New Roman" w:cs="Times New Roman"/>
          <w:color w:val="000000" w:themeColor="text1"/>
          <w:sz w:val="28"/>
          <w:szCs w:val="28"/>
        </w:rPr>
        <w:t>4-4-4</w:t>
      </w:r>
      <w:r w:rsidRPr="00C77E77">
        <w:rPr>
          <w:rFonts w:ascii="Times New Roman" w:eastAsia="標楷體" w:hAnsi="Times New Roman" w:cs="Times New Roman"/>
          <w:color w:val="000000" w:themeColor="text1"/>
          <w:sz w:val="28"/>
          <w:szCs w:val="28"/>
        </w:rPr>
        <w:t>探討目前東協國家中我國可進行合作項目、當地需求以及我國農業利基之分析。</w:t>
      </w:r>
    </w:p>
    <w:p w:rsidR="00315772" w:rsidRPr="00C77E77" w:rsidRDefault="00315772">
      <w:pPr>
        <w:widowControl/>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br w:type="page"/>
      </w:r>
    </w:p>
    <w:p w:rsidR="00684ECD" w:rsidRPr="00C77E77" w:rsidRDefault="00684ECD" w:rsidP="00684ECD">
      <w:pPr>
        <w:pStyle w:val="af9"/>
        <w:rPr>
          <w:color w:val="auto"/>
        </w:rPr>
      </w:pPr>
      <w:bookmarkStart w:id="139" w:name="_Toc470676609"/>
      <w:r w:rsidRPr="00C77E77">
        <w:rPr>
          <w:color w:val="auto"/>
        </w:rPr>
        <w:lastRenderedPageBreak/>
        <w:t>表</w:t>
      </w:r>
      <w:r w:rsidRPr="00C77E77">
        <w:rPr>
          <w:color w:val="auto"/>
        </w:rPr>
        <w:t>4-4-</w:t>
      </w:r>
      <w:r w:rsidR="00A64C92" w:rsidRPr="00C77E77">
        <w:rPr>
          <w:color w:val="auto"/>
        </w:rPr>
        <w:t>4</w:t>
      </w:r>
      <w:r w:rsidR="00A12A6E" w:rsidRPr="00C77E77">
        <w:rPr>
          <w:color w:val="auto"/>
        </w:rPr>
        <w:t xml:space="preserve"> </w:t>
      </w:r>
      <w:r w:rsidRPr="00C77E77">
        <w:rPr>
          <w:color w:val="auto"/>
        </w:rPr>
        <w:t>臺灣在東協國家農業之投資機會</w:t>
      </w:r>
      <w:bookmarkEnd w:id="139"/>
    </w:p>
    <w:tbl>
      <w:tblPr>
        <w:tblStyle w:val="af4"/>
        <w:tblW w:w="0" w:type="auto"/>
        <w:jc w:val="center"/>
        <w:tblLook w:val="04A0" w:firstRow="1" w:lastRow="0" w:firstColumn="1" w:lastColumn="0" w:noHBand="0" w:noVBand="1"/>
      </w:tblPr>
      <w:tblGrid>
        <w:gridCol w:w="959"/>
        <w:gridCol w:w="1937"/>
        <w:gridCol w:w="2857"/>
        <w:gridCol w:w="2769"/>
      </w:tblGrid>
      <w:tr w:rsidR="00684ECD" w:rsidRPr="00C77E77" w:rsidTr="009551A7">
        <w:trPr>
          <w:jc w:val="center"/>
        </w:trPr>
        <w:tc>
          <w:tcPr>
            <w:tcW w:w="959" w:type="dxa"/>
            <w:shd w:val="clear" w:color="auto" w:fill="BFBFBF" w:themeFill="background1" w:themeFillShade="BF"/>
          </w:tcPr>
          <w:p w:rsidR="00684ECD" w:rsidRPr="00C77E77" w:rsidRDefault="00684ECD" w:rsidP="00CA3E98">
            <w:pPr>
              <w:spacing w:line="340" w:lineRule="exact"/>
              <w:jc w:val="center"/>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國家</w:t>
            </w:r>
          </w:p>
        </w:tc>
        <w:tc>
          <w:tcPr>
            <w:tcW w:w="1937" w:type="dxa"/>
            <w:shd w:val="clear" w:color="auto" w:fill="BFBFBF" w:themeFill="background1" w:themeFillShade="BF"/>
          </w:tcPr>
          <w:p w:rsidR="00684ECD" w:rsidRPr="00C77E77" w:rsidRDefault="00684ECD" w:rsidP="00CA3E98">
            <w:pPr>
              <w:spacing w:line="340" w:lineRule="exact"/>
              <w:jc w:val="center"/>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合作項目</w:t>
            </w:r>
          </w:p>
        </w:tc>
        <w:tc>
          <w:tcPr>
            <w:tcW w:w="2857" w:type="dxa"/>
            <w:shd w:val="clear" w:color="auto" w:fill="BFBFBF" w:themeFill="background1" w:themeFillShade="BF"/>
          </w:tcPr>
          <w:p w:rsidR="00684ECD" w:rsidRPr="00C77E77" w:rsidRDefault="00684ECD" w:rsidP="00CA3E98">
            <w:pPr>
              <w:spacing w:line="340" w:lineRule="exact"/>
              <w:jc w:val="center"/>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當地需求</w:t>
            </w:r>
          </w:p>
        </w:tc>
        <w:tc>
          <w:tcPr>
            <w:tcW w:w="2769" w:type="dxa"/>
            <w:shd w:val="clear" w:color="auto" w:fill="BFBFBF" w:themeFill="background1" w:themeFillShade="BF"/>
          </w:tcPr>
          <w:p w:rsidR="00684ECD" w:rsidRPr="00C77E77" w:rsidRDefault="00684ECD" w:rsidP="00CA3E98">
            <w:pPr>
              <w:spacing w:line="340" w:lineRule="exact"/>
              <w:jc w:val="center"/>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我國利基</w:t>
            </w:r>
          </w:p>
        </w:tc>
      </w:tr>
      <w:tr w:rsidR="00684ECD" w:rsidRPr="00C77E77" w:rsidTr="009551A7">
        <w:trPr>
          <w:jc w:val="center"/>
        </w:trPr>
        <w:tc>
          <w:tcPr>
            <w:tcW w:w="95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印尼</w:t>
            </w:r>
          </w:p>
        </w:tc>
        <w:tc>
          <w:tcPr>
            <w:tcW w:w="193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糧食作物、園藝、畜牧及坡地作物改良。此外拓展市場行銷及推廣、人力資源發展、食品多元化與學校及家庭菜圃發展、農業機械、園藝及土地灌溉發展等相關合作。</w:t>
            </w:r>
          </w:p>
        </w:tc>
        <w:tc>
          <w:tcPr>
            <w:tcW w:w="285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印尼擁有豐沛的天然資源及充足的勞動力，相對缺乏的是資金與技術，以及一般基礎設施急待改善與增加。</w:t>
            </w:r>
          </w:p>
        </w:tc>
        <w:tc>
          <w:tcPr>
            <w:tcW w:w="276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農業生產技術發達，研究人力充沛，各種農業科技均有深厚的基礎與成果，在食品加工業與養殖漁業等更有不錯的成功發展經驗。</w:t>
            </w:r>
          </w:p>
        </w:tc>
      </w:tr>
      <w:tr w:rsidR="00684ECD" w:rsidRPr="00C77E77" w:rsidTr="009551A7">
        <w:trPr>
          <w:jc w:val="center"/>
        </w:trPr>
        <w:tc>
          <w:tcPr>
            <w:tcW w:w="95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泰國</w:t>
            </w:r>
          </w:p>
        </w:tc>
        <w:tc>
          <w:tcPr>
            <w:tcW w:w="193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國合會將自</w:t>
            </w:r>
            <w:r w:rsidRPr="00C77E77">
              <w:rPr>
                <w:rFonts w:ascii="Times New Roman" w:eastAsia="標楷體" w:hAnsi="Times New Roman" w:cs="Times New Roman"/>
                <w:color w:val="000000" w:themeColor="text1"/>
                <w:szCs w:val="24"/>
              </w:rPr>
              <w:t>2017</w:t>
            </w:r>
            <w:r w:rsidRPr="00C77E77">
              <w:rPr>
                <w:rFonts w:ascii="Times New Roman" w:eastAsia="標楷體" w:hAnsi="Times New Roman" w:cs="Times New Roman"/>
                <w:color w:val="000000" w:themeColor="text1"/>
                <w:szCs w:val="24"/>
              </w:rPr>
              <w:t>年起，協助泰國啟動「甘藷、火焰百合及葡萄根砧健康種苗生產計畫」及「蔬果病蟲害與水果果實蠅綜合防治計畫」</w:t>
            </w:r>
          </w:p>
        </w:tc>
        <w:tc>
          <w:tcPr>
            <w:tcW w:w="285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主要生產水稻、樹薯、玉米、大豆、甘蔗、橡膠等重要農產品。但受到耕地面積的制約，泰國轉為致力於產業發展型的農業，將雞肉、水產養殖、蔬菜、水果等高經濟價值產品列為重點。</w:t>
            </w:r>
            <w:r w:rsidRPr="00C77E77">
              <w:rPr>
                <w:rStyle w:val="a9"/>
                <w:rFonts w:ascii="Times New Roman" w:eastAsia="標楷體" w:hAnsi="Times New Roman" w:cs="Times New Roman"/>
                <w:color w:val="000000" w:themeColor="text1"/>
                <w:szCs w:val="24"/>
              </w:rPr>
              <w:footnoteReference w:id="140"/>
            </w:r>
          </w:p>
        </w:tc>
        <w:tc>
          <w:tcPr>
            <w:tcW w:w="276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提供泰方園藝栽培技術，輸出包含品種試驗、組織培養、病蟲害防治等技術。</w:t>
            </w:r>
          </w:p>
        </w:tc>
      </w:tr>
      <w:tr w:rsidR="00684ECD" w:rsidRPr="00C77E77" w:rsidTr="009551A7">
        <w:trPr>
          <w:jc w:val="center"/>
        </w:trPr>
        <w:tc>
          <w:tcPr>
            <w:tcW w:w="95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菲律賓</w:t>
            </w:r>
          </w:p>
        </w:tc>
        <w:tc>
          <w:tcPr>
            <w:tcW w:w="193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水產養殖</w:t>
            </w:r>
          </w:p>
        </w:tc>
        <w:tc>
          <w:tcPr>
            <w:tcW w:w="285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菲律賓國人主要蛋白質來源為魚肉，目前漁獲已無法滿足當地需求。</w:t>
            </w:r>
          </w:p>
        </w:tc>
        <w:tc>
          <w:tcPr>
            <w:tcW w:w="276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有利我國引進水產養殖技術，開發菲國本地消費市場。</w:t>
            </w:r>
          </w:p>
        </w:tc>
      </w:tr>
      <w:tr w:rsidR="00684ECD" w:rsidRPr="00C77E77" w:rsidTr="009551A7">
        <w:trPr>
          <w:jc w:val="center"/>
        </w:trPr>
        <w:tc>
          <w:tcPr>
            <w:tcW w:w="95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越南</w:t>
            </w:r>
          </w:p>
        </w:tc>
        <w:tc>
          <w:tcPr>
            <w:tcW w:w="193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農業機械業、水產養殖生技產業</w:t>
            </w:r>
          </w:p>
        </w:tc>
        <w:tc>
          <w:tcPr>
            <w:tcW w:w="285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畜牧養殖、育種、基因工程、疾病防治及產品加工技術及設備僅占</w:t>
            </w:r>
            <w:r w:rsidRPr="00C77E77">
              <w:rPr>
                <w:rFonts w:ascii="Times New Roman" w:eastAsia="標楷體" w:hAnsi="Times New Roman" w:cs="Times New Roman"/>
                <w:color w:val="000000" w:themeColor="text1"/>
                <w:szCs w:val="24"/>
              </w:rPr>
              <w:t>12</w:t>
            </w:r>
            <w:r w:rsidRPr="00C77E77">
              <w:rPr>
                <w:rFonts w:ascii="Times New Roman" w:eastAsia="標楷體" w:hAnsi="Times New Roman" w:cs="Times New Roman"/>
                <w:color w:val="000000" w:themeColor="text1"/>
                <w:szCs w:val="24"/>
              </w:rPr>
              <w:t>％，先進技術及設備依賴國外。</w:t>
            </w:r>
          </w:p>
        </w:tc>
        <w:tc>
          <w:tcPr>
            <w:tcW w:w="276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我國水產繁養殖技術領先國際，可完全養殖之魚種達</w:t>
            </w:r>
            <w:r w:rsidRPr="00C77E77">
              <w:rPr>
                <w:rFonts w:ascii="Times New Roman" w:eastAsia="標楷體" w:hAnsi="Times New Roman" w:cs="Times New Roman"/>
                <w:color w:val="000000" w:themeColor="text1"/>
                <w:szCs w:val="24"/>
              </w:rPr>
              <w:t>70</w:t>
            </w:r>
            <w:r w:rsidRPr="00C77E77">
              <w:rPr>
                <w:rFonts w:ascii="Times New Roman" w:eastAsia="標楷體" w:hAnsi="Times New Roman" w:cs="Times New Roman"/>
                <w:color w:val="000000" w:themeColor="text1"/>
                <w:szCs w:val="24"/>
              </w:rPr>
              <w:t>餘種，所累積之研發人才、經驗及產業基礎均為水產養殖生技產業發展之利基及潛力。</w:t>
            </w:r>
          </w:p>
        </w:tc>
      </w:tr>
      <w:tr w:rsidR="00684ECD" w:rsidRPr="00C77E77" w:rsidTr="009551A7">
        <w:trPr>
          <w:jc w:val="center"/>
        </w:trPr>
        <w:tc>
          <w:tcPr>
            <w:tcW w:w="95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緬甸</w:t>
            </w:r>
          </w:p>
        </w:tc>
        <w:tc>
          <w:tcPr>
            <w:tcW w:w="193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農業機械業</w:t>
            </w:r>
          </w:p>
        </w:tc>
        <w:tc>
          <w:tcPr>
            <w:tcW w:w="285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緬甸農業機械發展水準不高，主要以小型農機為主，包括手扶拖拉機、動力耕整機、割曬穀機、脫粒機等。</w:t>
            </w:r>
          </w:p>
        </w:tc>
        <w:tc>
          <w:tcPr>
            <w:tcW w:w="2769" w:type="dxa"/>
          </w:tcPr>
          <w:p w:rsidR="00684ECD" w:rsidRPr="00C77E77" w:rsidRDefault="00447B5C"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臺</w:t>
            </w:r>
            <w:r w:rsidR="00684ECD" w:rsidRPr="00C77E77">
              <w:rPr>
                <w:rFonts w:ascii="Times New Roman" w:eastAsia="標楷體" w:hAnsi="Times New Roman" w:cs="Times New Roman"/>
                <w:color w:val="000000" w:themeColor="text1"/>
                <w:szCs w:val="24"/>
              </w:rPr>
              <w:t>灣農機的優勢在於完整的機械產業鏈，各式零配件都有。而且臺灣農業機械的性能跟日本不相上下，價格只有日本的一半。</w:t>
            </w:r>
          </w:p>
        </w:tc>
      </w:tr>
    </w:tbl>
    <w:p w:rsidR="004614E5" w:rsidRPr="00C77E77" w:rsidRDefault="004614E5">
      <w:pPr>
        <w:rPr>
          <w:rFonts w:ascii="Times New Roman" w:hAnsi="Times New Roman" w:cs="Times New Roman"/>
        </w:rPr>
      </w:pPr>
      <w:r w:rsidRPr="00C77E77">
        <w:rPr>
          <w:rFonts w:ascii="Times New Roman" w:hAnsi="Times New Roman" w:cs="Times New Roman"/>
        </w:rPr>
        <w:br w:type="page"/>
      </w:r>
    </w:p>
    <w:tbl>
      <w:tblPr>
        <w:tblStyle w:val="af4"/>
        <w:tblW w:w="0" w:type="auto"/>
        <w:jc w:val="center"/>
        <w:tblLook w:val="04A0" w:firstRow="1" w:lastRow="0" w:firstColumn="1" w:lastColumn="0" w:noHBand="0" w:noVBand="1"/>
      </w:tblPr>
      <w:tblGrid>
        <w:gridCol w:w="959"/>
        <w:gridCol w:w="1937"/>
        <w:gridCol w:w="2857"/>
        <w:gridCol w:w="2769"/>
      </w:tblGrid>
      <w:tr w:rsidR="00684ECD" w:rsidRPr="00C77E77" w:rsidTr="009551A7">
        <w:trPr>
          <w:jc w:val="center"/>
        </w:trPr>
        <w:tc>
          <w:tcPr>
            <w:tcW w:w="95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印度</w:t>
            </w:r>
          </w:p>
        </w:tc>
        <w:tc>
          <w:tcPr>
            <w:tcW w:w="193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食品加工</w:t>
            </w:r>
          </w:p>
        </w:tc>
        <w:tc>
          <w:tcPr>
            <w:tcW w:w="2857"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印度食品加工產業當務之急係提升食品物流倉儲</w:t>
            </w:r>
          </w:p>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設備，以降低配銷途中之損壞比率、多培養產業界所需之技術性勞工、建立全國性食品安全標準、提升食品檢驗技術、促進研究機構與產業合作等。</w:t>
            </w:r>
          </w:p>
        </w:tc>
        <w:tc>
          <w:tcPr>
            <w:tcW w:w="2769" w:type="dxa"/>
          </w:tcPr>
          <w:p w:rsidR="00684ECD" w:rsidRPr="00C77E77" w:rsidRDefault="00684ECD" w:rsidP="00CA3E98">
            <w:pPr>
              <w:spacing w:line="340" w:lineRule="exac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食品業者經多年發展，製造水準及研發技術極具競爭力，如能進入印度市場長期深耕，開發出適合印度口味的包裝飲料、零食及速食麵等，應能開創新的投資商機。</w:t>
            </w:r>
          </w:p>
        </w:tc>
      </w:tr>
    </w:tbl>
    <w:p w:rsidR="00684ECD" w:rsidRPr="00C77E77" w:rsidRDefault="00684ECD" w:rsidP="00684ECD">
      <w:pPr>
        <w:spacing w:before="50" w:after="50" w:line="360" w:lineRule="auto"/>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w:t>
      </w:r>
      <w:r w:rsidR="000C1684" w:rsidRPr="00C77E77">
        <w:rPr>
          <w:rFonts w:ascii="Times New Roman" w:eastAsia="標楷體" w:hAnsi="Times New Roman" w:cs="Times New Roman"/>
          <w:color w:val="000000" w:themeColor="text1"/>
          <w:sz w:val="28"/>
          <w:szCs w:val="28"/>
        </w:rPr>
        <w:t>本研究整理</w:t>
      </w:r>
      <w:r w:rsidRPr="00C77E77">
        <w:rPr>
          <w:rFonts w:ascii="Times New Roman" w:eastAsia="標楷體" w:hAnsi="Times New Roman" w:cs="Times New Roman"/>
          <w:color w:val="000000" w:themeColor="text1"/>
          <w:sz w:val="28"/>
          <w:szCs w:val="28"/>
        </w:rPr>
        <w:t>。</w:t>
      </w:r>
    </w:p>
    <w:p w:rsidR="00684ECD" w:rsidRPr="00C77E77" w:rsidRDefault="00684ECD" w:rsidP="00684ECD">
      <w:pPr>
        <w:spacing w:beforeLines="50" w:before="180" w:afterLines="50" w:after="180" w:line="500" w:lineRule="exact"/>
        <w:ind w:firstLineChars="202" w:firstLine="566"/>
        <w:rPr>
          <w:rFonts w:ascii="Times New Roman" w:eastAsia="標楷體" w:hAnsi="Times New Roman" w:cs="Times New Roman"/>
          <w:color w:val="000000" w:themeColor="text1"/>
          <w:sz w:val="28"/>
          <w:szCs w:val="28"/>
          <w:shd w:val="clear" w:color="auto" w:fill="FFFFFF" w:themeFill="background1"/>
        </w:rPr>
      </w:pPr>
      <w:r w:rsidRPr="00C77E77">
        <w:rPr>
          <w:rFonts w:ascii="Times New Roman" w:eastAsia="標楷體" w:hAnsi="Times New Roman" w:cs="Times New Roman"/>
          <w:sz w:val="28"/>
          <w:szCs w:val="28"/>
        </w:rPr>
        <w:t>綜合上述分析得知，雖然農業為大部分東南亞國家重要的生產部門，然臺灣目前僅與其中部分國家簽署農業協定，例如印尼、泰國、菲律賓、越南及緬甸進行實質交流與合作，其他國家在無官方管道的情況下，難以拓展市場。因此，建議應該積極透過與東協國家既有農業協定</w:t>
      </w:r>
      <w:r w:rsidR="008A623E" w:rsidRPr="00C77E77">
        <w:rPr>
          <w:rFonts w:ascii="Times New Roman" w:eastAsia="標楷體" w:hAnsi="Times New Roman" w:cs="Times New Roman"/>
          <w:sz w:val="28"/>
          <w:szCs w:val="28"/>
        </w:rPr>
        <w:t>，深化交流與合作，</w:t>
      </w:r>
      <w:r w:rsidR="008A623E" w:rsidRPr="00C77E77">
        <w:rPr>
          <w:rFonts w:ascii="Times New Roman" w:eastAsia="標楷體" w:hAnsi="Times New Roman" w:cs="Times New Roman"/>
          <w:color w:val="000000" w:themeColor="text1"/>
          <w:sz w:val="28"/>
          <w:szCs w:val="28"/>
        </w:rPr>
        <w:t>同時針對尚未建立農業協定之國家，進行市場分析。</w:t>
      </w:r>
      <w:r w:rsidR="008A623E" w:rsidRPr="00C77E77">
        <w:rPr>
          <w:rFonts w:ascii="Times New Roman" w:eastAsia="標楷體" w:hAnsi="Times New Roman" w:cs="Times New Roman"/>
          <w:color w:val="000000" w:themeColor="text1"/>
          <w:sz w:val="28"/>
          <w:szCs w:val="28"/>
          <w:shd w:val="clear" w:color="auto" w:fill="FFFFFF" w:themeFill="background1"/>
        </w:rPr>
        <w:t>另外，為因應不同國家之利基市場，可透過研究機構針對潛力產業深入研究，提出產業發展策略，以俾利未來將結果落實應用於產業層面</w:t>
      </w:r>
      <w:r w:rsidRPr="00C77E77">
        <w:rPr>
          <w:rFonts w:ascii="Times New Roman" w:eastAsia="標楷體" w:hAnsi="Times New Roman" w:cs="Times New Roman"/>
          <w:color w:val="000000" w:themeColor="text1"/>
          <w:sz w:val="28"/>
          <w:szCs w:val="28"/>
          <w:shd w:val="clear" w:color="auto" w:fill="FFFFFF" w:themeFill="background1"/>
        </w:rPr>
        <w:t>。</w:t>
      </w:r>
    </w:p>
    <w:p w:rsidR="000F0888" w:rsidRPr="00C77E77" w:rsidRDefault="00F04BBC" w:rsidP="00F90C03">
      <w:pPr>
        <w:spacing w:beforeLines="50" w:before="180" w:afterLines="50" w:after="180" w:line="500" w:lineRule="exact"/>
        <w:ind w:firstLineChars="202" w:firstLine="566"/>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最後</w:t>
      </w:r>
      <w:r w:rsidR="00F90C03" w:rsidRPr="00C77E77">
        <w:rPr>
          <w:rFonts w:ascii="Times New Roman" w:eastAsia="標楷體" w:hAnsi="Times New Roman" w:cs="Times New Roman"/>
          <w:color w:val="000000" w:themeColor="text1"/>
          <w:sz w:val="28"/>
          <w:szCs w:val="28"/>
        </w:rPr>
        <w:t>，值得注意的是</w:t>
      </w:r>
      <w:r w:rsidR="00BD59F7" w:rsidRPr="00C77E77">
        <w:rPr>
          <w:rFonts w:ascii="Times New Roman" w:eastAsia="標楷體" w:hAnsi="Times New Roman" w:cs="Times New Roman"/>
          <w:color w:val="000000" w:themeColor="text1"/>
          <w:sz w:val="28"/>
          <w:szCs w:val="28"/>
        </w:rPr>
        <w:t>，</w:t>
      </w:r>
      <w:r w:rsidR="00F90C03" w:rsidRPr="00C77E77">
        <w:rPr>
          <w:rFonts w:ascii="Times New Roman" w:eastAsia="標楷體" w:hAnsi="Times New Roman" w:cs="Times New Roman"/>
          <w:color w:val="000000" w:themeColor="text1"/>
          <w:sz w:val="28"/>
          <w:szCs w:val="28"/>
        </w:rPr>
        <w:t>由於農業為東南亞國家非常重要的部門。因此，為保護當地農業發展，</w:t>
      </w:r>
      <w:r w:rsidR="00BD59F7" w:rsidRPr="00C77E77">
        <w:rPr>
          <w:rFonts w:ascii="Times New Roman" w:eastAsia="標楷體" w:hAnsi="Times New Roman" w:cs="Times New Roman"/>
          <w:color w:val="000000" w:themeColor="text1"/>
          <w:sz w:val="28"/>
          <w:szCs w:val="28"/>
        </w:rPr>
        <w:t>部分國家</w:t>
      </w:r>
      <w:r w:rsidR="00F90C03" w:rsidRPr="00C77E77">
        <w:rPr>
          <w:rFonts w:ascii="Times New Roman" w:eastAsia="標楷體" w:hAnsi="Times New Roman" w:cs="Times New Roman"/>
          <w:color w:val="000000" w:themeColor="text1"/>
          <w:sz w:val="28"/>
          <w:szCs w:val="28"/>
        </w:rPr>
        <w:t>農產品進口政策相當保守，造成臺灣</w:t>
      </w:r>
      <w:r w:rsidR="00BD59F7" w:rsidRPr="00C77E77">
        <w:rPr>
          <w:rFonts w:ascii="Times New Roman" w:eastAsia="標楷體" w:hAnsi="Times New Roman" w:cs="Times New Roman"/>
          <w:color w:val="000000" w:themeColor="text1"/>
          <w:sz w:val="28"/>
          <w:szCs w:val="28"/>
        </w:rPr>
        <w:t>農產品</w:t>
      </w:r>
      <w:r w:rsidR="00F90C03" w:rsidRPr="00C77E77">
        <w:rPr>
          <w:rFonts w:ascii="Times New Roman" w:eastAsia="標楷體" w:hAnsi="Times New Roman" w:cs="Times New Roman"/>
          <w:color w:val="000000" w:themeColor="text1"/>
          <w:sz w:val="28"/>
          <w:szCs w:val="28"/>
        </w:rPr>
        <w:t>輸出之貿易障礙。以下將整理截至</w:t>
      </w:r>
      <w:r w:rsidR="00F90C03" w:rsidRPr="00C77E77">
        <w:rPr>
          <w:rFonts w:ascii="Times New Roman" w:eastAsia="標楷體" w:hAnsi="Times New Roman" w:cs="Times New Roman"/>
          <w:color w:val="000000" w:themeColor="text1"/>
          <w:sz w:val="28"/>
          <w:szCs w:val="28"/>
        </w:rPr>
        <w:t>2015</w:t>
      </w:r>
      <w:r w:rsidR="00F90C03" w:rsidRPr="00C77E77">
        <w:rPr>
          <w:rFonts w:ascii="Times New Roman" w:eastAsia="標楷體" w:hAnsi="Times New Roman" w:cs="Times New Roman"/>
          <w:color w:val="000000" w:themeColor="text1"/>
          <w:sz w:val="28"/>
          <w:szCs w:val="28"/>
        </w:rPr>
        <w:t>年為止，</w:t>
      </w:r>
      <w:r w:rsidR="001815AE" w:rsidRPr="00C77E77">
        <w:rPr>
          <w:rFonts w:ascii="Times New Roman" w:eastAsia="標楷體" w:hAnsi="Times New Roman" w:cs="Times New Roman"/>
          <w:color w:val="000000" w:themeColor="text1"/>
          <w:sz w:val="28"/>
          <w:szCs w:val="28"/>
        </w:rPr>
        <w:t>東南亞國家對</w:t>
      </w:r>
      <w:r w:rsidR="00E524DA" w:rsidRPr="00C77E77">
        <w:rPr>
          <w:rFonts w:ascii="Times New Roman" w:eastAsia="標楷體" w:hAnsi="Times New Roman" w:cs="Times New Roman"/>
          <w:color w:val="000000" w:themeColor="text1"/>
          <w:sz w:val="28"/>
          <w:szCs w:val="28"/>
        </w:rPr>
        <w:t>臺</w:t>
      </w:r>
      <w:r w:rsidR="001815AE" w:rsidRPr="00C77E77">
        <w:rPr>
          <w:rFonts w:ascii="Times New Roman" w:eastAsia="標楷體" w:hAnsi="Times New Roman" w:cs="Times New Roman"/>
          <w:color w:val="000000" w:themeColor="text1"/>
          <w:sz w:val="28"/>
          <w:szCs w:val="28"/>
        </w:rPr>
        <w:t>農業貿易障礙調查表</w:t>
      </w:r>
      <w:r w:rsidRPr="00C77E77">
        <w:rPr>
          <w:rFonts w:ascii="Times New Roman" w:eastAsia="標楷體" w:hAnsi="Times New Roman" w:cs="Times New Roman"/>
          <w:color w:val="000000" w:themeColor="text1"/>
          <w:sz w:val="28"/>
          <w:szCs w:val="28"/>
        </w:rPr>
        <w:t>，以提供我國政府及廠商之參考</w:t>
      </w:r>
      <w:r w:rsidR="00F90C03" w:rsidRPr="00C77E77">
        <w:rPr>
          <w:rFonts w:ascii="Times New Roman" w:eastAsia="標楷體" w:hAnsi="Times New Roman" w:cs="Times New Roman"/>
          <w:color w:val="000000" w:themeColor="text1"/>
          <w:sz w:val="28"/>
          <w:szCs w:val="28"/>
        </w:rPr>
        <w:t>。</w:t>
      </w:r>
    </w:p>
    <w:p w:rsidR="00BD59F7" w:rsidRPr="00C77E77" w:rsidRDefault="00BD59F7" w:rsidP="00F90C03">
      <w:pPr>
        <w:spacing w:beforeLines="50" w:before="180" w:afterLines="50" w:after="180" w:line="500" w:lineRule="exact"/>
        <w:ind w:firstLineChars="202" w:firstLine="566"/>
        <w:rPr>
          <w:rFonts w:ascii="Times New Roman" w:eastAsia="標楷體" w:hAnsi="Times New Roman" w:cs="Times New Roman"/>
          <w:color w:val="000000" w:themeColor="text1"/>
          <w:sz w:val="28"/>
          <w:szCs w:val="28"/>
        </w:rPr>
      </w:pPr>
    </w:p>
    <w:p w:rsidR="00BD59F7" w:rsidRPr="00C77E77" w:rsidRDefault="00BD59F7" w:rsidP="00F90C03">
      <w:pPr>
        <w:spacing w:beforeLines="50" w:before="180" w:afterLines="50" w:after="180" w:line="500" w:lineRule="exact"/>
        <w:ind w:firstLineChars="202" w:firstLine="566"/>
        <w:rPr>
          <w:rFonts w:ascii="Times New Roman" w:eastAsia="標楷體" w:hAnsi="Times New Roman" w:cs="Times New Roman"/>
          <w:sz w:val="28"/>
          <w:szCs w:val="28"/>
        </w:rPr>
      </w:pPr>
    </w:p>
    <w:p w:rsidR="00BD59F7" w:rsidRPr="00C77E77" w:rsidRDefault="00BD59F7" w:rsidP="00F90C03">
      <w:pPr>
        <w:spacing w:beforeLines="50" w:before="180" w:afterLines="50" w:after="180" w:line="500" w:lineRule="exact"/>
        <w:ind w:firstLineChars="202" w:firstLine="566"/>
        <w:rPr>
          <w:rFonts w:ascii="Times New Roman" w:eastAsia="標楷體" w:hAnsi="Times New Roman" w:cs="Times New Roman"/>
          <w:sz w:val="28"/>
          <w:szCs w:val="28"/>
        </w:rPr>
      </w:pPr>
    </w:p>
    <w:p w:rsidR="00BD59F7" w:rsidRPr="00C77E77" w:rsidRDefault="00BD59F7" w:rsidP="00F90C03">
      <w:pPr>
        <w:spacing w:beforeLines="50" w:before="180" w:afterLines="50" w:after="180" w:line="500" w:lineRule="exact"/>
        <w:ind w:firstLineChars="202" w:firstLine="566"/>
        <w:rPr>
          <w:rFonts w:ascii="Times New Roman" w:eastAsia="標楷體" w:hAnsi="Times New Roman" w:cs="Times New Roman"/>
          <w:sz w:val="28"/>
          <w:szCs w:val="28"/>
        </w:rPr>
      </w:pPr>
    </w:p>
    <w:p w:rsidR="00BD59F7" w:rsidRPr="00C77E77" w:rsidRDefault="00BD59F7" w:rsidP="00F90C03">
      <w:pPr>
        <w:spacing w:beforeLines="50" w:before="180" w:afterLines="50" w:after="180" w:line="500" w:lineRule="exact"/>
        <w:ind w:firstLineChars="202" w:firstLine="566"/>
        <w:rPr>
          <w:rFonts w:ascii="Times New Roman" w:eastAsia="標楷體" w:hAnsi="Times New Roman" w:cs="Times New Roman"/>
          <w:sz w:val="28"/>
          <w:szCs w:val="28"/>
        </w:rPr>
      </w:pPr>
    </w:p>
    <w:p w:rsidR="00BD59F7" w:rsidRPr="00C77E77" w:rsidRDefault="00BD59F7" w:rsidP="00F90C03">
      <w:pPr>
        <w:spacing w:beforeLines="50" w:before="180" w:afterLines="50" w:after="180" w:line="500" w:lineRule="exact"/>
        <w:ind w:firstLineChars="202" w:firstLine="566"/>
        <w:rPr>
          <w:rFonts w:ascii="Times New Roman" w:eastAsia="標楷體" w:hAnsi="Times New Roman" w:cs="Times New Roman"/>
          <w:sz w:val="28"/>
          <w:szCs w:val="28"/>
        </w:rPr>
      </w:pPr>
    </w:p>
    <w:p w:rsidR="00F90C03" w:rsidRPr="00C77E77" w:rsidRDefault="00F90C03" w:rsidP="00A12841">
      <w:pPr>
        <w:pStyle w:val="af9"/>
        <w:rPr>
          <w:color w:val="FF0000"/>
        </w:rPr>
      </w:pPr>
      <w:bookmarkStart w:id="140" w:name="_Toc470676610"/>
      <w:r w:rsidRPr="00C77E77">
        <w:lastRenderedPageBreak/>
        <w:t>表</w:t>
      </w:r>
      <w:r w:rsidRPr="00C77E77">
        <w:t xml:space="preserve">4-4-5 </w:t>
      </w:r>
      <w:r w:rsidRPr="00C77E77">
        <w:t>東南亞國家</w:t>
      </w:r>
      <w:r w:rsidR="001815AE" w:rsidRPr="00C77E77">
        <w:t>對</w:t>
      </w:r>
      <w:r w:rsidR="00E524DA" w:rsidRPr="00C77E77">
        <w:t>臺</w:t>
      </w:r>
      <w:r w:rsidR="001815AE" w:rsidRPr="00C77E77">
        <w:t>農業貿易障礙調查表</w:t>
      </w:r>
      <w:bookmarkEnd w:id="140"/>
    </w:p>
    <w:tbl>
      <w:tblPr>
        <w:tblStyle w:val="af4"/>
        <w:tblW w:w="0" w:type="auto"/>
        <w:tblLook w:val="04A0" w:firstRow="1" w:lastRow="0" w:firstColumn="1" w:lastColumn="0" w:noHBand="0" w:noVBand="1"/>
      </w:tblPr>
      <w:tblGrid>
        <w:gridCol w:w="1668"/>
        <w:gridCol w:w="1984"/>
        <w:gridCol w:w="5616"/>
      </w:tblGrid>
      <w:tr w:rsidR="00F90C03" w:rsidRPr="00C77E77" w:rsidTr="00BD59F7">
        <w:tc>
          <w:tcPr>
            <w:tcW w:w="9268" w:type="dxa"/>
            <w:gridSpan w:val="3"/>
            <w:shd w:val="clear" w:color="auto" w:fill="BFBFBF" w:themeFill="background1" w:themeFillShade="BF"/>
          </w:tcPr>
          <w:p w:rsidR="00F90C03" w:rsidRPr="00C77E77" w:rsidRDefault="00F90C03"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國家：印尼</w:t>
            </w:r>
          </w:p>
        </w:tc>
      </w:tr>
      <w:tr w:rsidR="00F90C03" w:rsidRPr="00C77E77" w:rsidTr="00FF140B">
        <w:tc>
          <w:tcPr>
            <w:tcW w:w="1668" w:type="dxa"/>
          </w:tcPr>
          <w:p w:rsidR="00F90C03" w:rsidRPr="00C77E77" w:rsidRDefault="00F90C03"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障礙類別</w:t>
            </w:r>
          </w:p>
        </w:tc>
        <w:tc>
          <w:tcPr>
            <w:tcW w:w="1984" w:type="dxa"/>
          </w:tcPr>
          <w:p w:rsidR="00F90C03" w:rsidRPr="00C77E77" w:rsidRDefault="00F90C03"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主要障礙</w:t>
            </w:r>
          </w:p>
        </w:tc>
        <w:tc>
          <w:tcPr>
            <w:tcW w:w="5616" w:type="dxa"/>
          </w:tcPr>
          <w:p w:rsidR="00F90C03" w:rsidRPr="00C77E77" w:rsidRDefault="00F90C03"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限制情況</w:t>
            </w:r>
          </w:p>
        </w:tc>
      </w:tr>
      <w:tr w:rsidR="00F90C03" w:rsidRPr="00C77E77" w:rsidTr="00FF140B">
        <w:tc>
          <w:tcPr>
            <w:tcW w:w="1668" w:type="dxa"/>
          </w:tcPr>
          <w:p w:rsidR="00F90C03" w:rsidRPr="00C77E77" w:rsidRDefault="00F04BBC"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非關稅</w:t>
            </w:r>
          </w:p>
        </w:tc>
        <w:tc>
          <w:tcPr>
            <w:tcW w:w="1984" w:type="dxa"/>
          </w:tcPr>
          <w:p w:rsidR="00F90C03" w:rsidRPr="00C77E77" w:rsidRDefault="00F04BBC"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限制進口</w:t>
            </w:r>
          </w:p>
        </w:tc>
        <w:tc>
          <w:tcPr>
            <w:tcW w:w="5616" w:type="dxa"/>
          </w:tcPr>
          <w:p w:rsidR="00F90C03" w:rsidRPr="00C77E77" w:rsidRDefault="00F04BBC"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自</w:t>
            </w:r>
            <w:r w:rsidRPr="00C77E77">
              <w:rPr>
                <w:rFonts w:ascii="Times New Roman" w:eastAsia="標楷體" w:hAnsi="Times New Roman" w:cs="Times New Roman"/>
                <w:szCs w:val="24"/>
              </w:rPr>
              <w:t>2013</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8</w:t>
            </w:r>
            <w:r w:rsidRPr="00C77E77">
              <w:rPr>
                <w:rFonts w:ascii="Times New Roman" w:eastAsia="標楷體" w:hAnsi="Times New Roman" w:cs="Times New Roman"/>
                <w:szCs w:val="24"/>
              </w:rPr>
              <w:t>月</w:t>
            </w:r>
            <w:r w:rsidRPr="00C77E77">
              <w:rPr>
                <w:rFonts w:ascii="Times New Roman" w:eastAsia="標楷體" w:hAnsi="Times New Roman" w:cs="Times New Roman"/>
                <w:szCs w:val="24"/>
              </w:rPr>
              <w:t>30</w:t>
            </w:r>
            <w:r w:rsidRPr="00C77E77">
              <w:rPr>
                <w:rFonts w:ascii="Times New Roman" w:eastAsia="標楷體" w:hAnsi="Times New Roman" w:cs="Times New Roman"/>
                <w:szCs w:val="24"/>
              </w:rPr>
              <w:t>日起，印尼進口商自國外輸入新鮮蔬果前，必須檢附出口國出具之「包裝場證書」、「果園或農場證書」及「優良農業操作證書」等文件，俾向該部農產品暨農產加工品市場銷售總司</w:t>
            </w:r>
            <w:r w:rsidRPr="00C77E77">
              <w:rPr>
                <w:rFonts w:ascii="Times New Roman" w:eastAsia="標楷體" w:hAnsi="Times New Roman" w:cs="Times New Roman"/>
                <w:szCs w:val="24"/>
              </w:rPr>
              <w:t>DPD</w:t>
            </w:r>
            <w:r w:rsidRPr="00C77E77">
              <w:rPr>
                <w:rFonts w:ascii="Times New Roman" w:eastAsia="標楷體" w:hAnsi="Times New Roman" w:cs="Times New Roman"/>
                <w:szCs w:val="24"/>
              </w:rPr>
              <w:t>單位申請推薦核准函，再憑該函向印尼貿易部申請進口准證。雖印尼對我現行之「吉園圃安全蔬果標章」納入核發「優良農業操作證書」依據等節均無意見，原則同意「吉園圃安全蔬果標章」可做為臺灣</w:t>
            </w:r>
            <w:r w:rsidRPr="00C77E77">
              <w:rPr>
                <w:rFonts w:ascii="Times New Roman" w:eastAsia="標楷體" w:hAnsi="Times New Roman" w:cs="Times New Roman"/>
                <w:szCs w:val="24"/>
              </w:rPr>
              <w:t>GAP</w:t>
            </w:r>
            <w:r w:rsidRPr="00C77E77">
              <w:rPr>
                <w:rFonts w:ascii="Times New Roman" w:eastAsia="標楷體" w:hAnsi="Times New Roman" w:cs="Times New Roman"/>
                <w:szCs w:val="24"/>
              </w:rPr>
              <w:t>證明文件，惟其針對進口產品要求相關證明文件，且審核機制因承辦人而異缺乏透明性，有違</w:t>
            </w:r>
            <w:r w:rsidRPr="00C77E77">
              <w:rPr>
                <w:rFonts w:ascii="Times New Roman" w:eastAsia="標楷體" w:hAnsi="Times New Roman" w:cs="Times New Roman"/>
                <w:szCs w:val="24"/>
              </w:rPr>
              <w:t>WTO</w:t>
            </w:r>
            <w:r w:rsidRPr="00C77E77">
              <w:rPr>
                <w:rFonts w:ascii="Times New Roman" w:eastAsia="標楷體" w:hAnsi="Times New Roman" w:cs="Times New Roman"/>
                <w:szCs w:val="24"/>
              </w:rPr>
              <w:t>不歧視及國民待遇原則。</w:t>
            </w:r>
          </w:p>
        </w:tc>
      </w:tr>
      <w:tr w:rsidR="00F04BBC" w:rsidRPr="00C77E77" w:rsidTr="00FF140B">
        <w:tc>
          <w:tcPr>
            <w:tcW w:w="1668" w:type="dxa"/>
          </w:tcPr>
          <w:p w:rsidR="00F04BBC" w:rsidRPr="00C77E77" w:rsidRDefault="00F04BBC"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標準與認證</w:t>
            </w:r>
          </w:p>
        </w:tc>
        <w:tc>
          <w:tcPr>
            <w:tcW w:w="1984" w:type="dxa"/>
          </w:tcPr>
          <w:p w:rsidR="00F04BBC" w:rsidRPr="00C77E77" w:rsidRDefault="00F04BBC"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清真產品認證</w:t>
            </w:r>
          </w:p>
        </w:tc>
        <w:tc>
          <w:tcPr>
            <w:tcW w:w="5616" w:type="dxa"/>
          </w:tcPr>
          <w:p w:rsidR="00F04BBC" w:rsidRPr="00C77E77" w:rsidRDefault="00F04BBC"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印尼於</w:t>
            </w:r>
            <w:r w:rsidRPr="00C77E77">
              <w:rPr>
                <w:rFonts w:ascii="Times New Roman" w:eastAsia="標楷體" w:hAnsi="Times New Roman" w:cs="Times New Roman"/>
                <w:szCs w:val="24"/>
              </w:rPr>
              <w:t>2014</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10</w:t>
            </w:r>
            <w:r w:rsidRPr="00C77E77">
              <w:rPr>
                <w:rFonts w:ascii="Times New Roman" w:eastAsia="標楷體" w:hAnsi="Times New Roman" w:cs="Times New Roman"/>
                <w:szCs w:val="24"/>
              </w:rPr>
              <w:t>月制定「清真產品認證法」，將對與食品、飲料、藥品、化妝品、化學品、生物產品、基因改造產品及日常生活使用等相關貨品及服務要求清真產品認證，該法律的行政執行規則預計於</w:t>
            </w:r>
            <w:r w:rsidRPr="00C77E77">
              <w:rPr>
                <w:rFonts w:ascii="Times New Roman" w:eastAsia="標楷體" w:hAnsi="Times New Roman" w:cs="Times New Roman"/>
                <w:szCs w:val="24"/>
              </w:rPr>
              <w:t>2017</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10</w:t>
            </w:r>
            <w:r w:rsidRPr="00C77E77">
              <w:rPr>
                <w:rFonts w:ascii="Times New Roman" w:eastAsia="標楷體" w:hAnsi="Times New Roman" w:cs="Times New Roman"/>
                <w:szCs w:val="24"/>
              </w:rPr>
              <w:t>月制定完成並上路，惟迄今執行法規尚未公布。該法涵概產品範疇相當廣泛，恐對我產出口產品造成進入障礙。</w:t>
            </w:r>
          </w:p>
        </w:tc>
      </w:tr>
      <w:tr w:rsidR="00F04BBC" w:rsidRPr="00C77E77" w:rsidTr="00FF140B">
        <w:tc>
          <w:tcPr>
            <w:tcW w:w="1668" w:type="dxa"/>
          </w:tcPr>
          <w:p w:rsidR="00F04BBC" w:rsidRPr="00C77E77" w:rsidRDefault="00F04BBC" w:rsidP="00310882">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檢驗與檢疫</w:t>
            </w:r>
          </w:p>
        </w:tc>
        <w:tc>
          <w:tcPr>
            <w:tcW w:w="1984" w:type="dxa"/>
          </w:tcPr>
          <w:p w:rsidR="00F04BBC" w:rsidRPr="00C77E77" w:rsidRDefault="00F04BBC" w:rsidP="00310882">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行政程序複雜不透明</w:t>
            </w:r>
          </w:p>
        </w:tc>
        <w:tc>
          <w:tcPr>
            <w:tcW w:w="5616" w:type="dxa"/>
          </w:tcPr>
          <w:p w:rsidR="00F04BBC" w:rsidRPr="00C77E77" w:rsidRDefault="00F04BBC" w:rsidP="00310882">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印尼食品檢驗申請程序繁複，審核速度緩慢，且資訊揭露不透明，提高廠商經營成本。</w:t>
            </w:r>
          </w:p>
        </w:tc>
      </w:tr>
      <w:tr w:rsidR="00FF140B" w:rsidRPr="00C77E77" w:rsidTr="00BD59F7">
        <w:tc>
          <w:tcPr>
            <w:tcW w:w="9268" w:type="dxa"/>
            <w:gridSpan w:val="3"/>
            <w:shd w:val="clear" w:color="auto" w:fill="BFBFBF" w:themeFill="background1" w:themeFillShade="BF"/>
          </w:tcPr>
          <w:p w:rsidR="00FF140B" w:rsidRPr="00C77E77" w:rsidRDefault="00FF140B"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國家：越南</w:t>
            </w:r>
          </w:p>
        </w:tc>
      </w:tr>
      <w:tr w:rsidR="00FF140B" w:rsidRPr="00C77E77" w:rsidTr="00FF140B">
        <w:tc>
          <w:tcPr>
            <w:tcW w:w="1668" w:type="dxa"/>
          </w:tcPr>
          <w:p w:rsidR="00FF140B" w:rsidRPr="00C77E77" w:rsidRDefault="00FF140B" w:rsidP="00310882">
            <w:pPr>
              <w:rPr>
                <w:rFonts w:ascii="Times New Roman" w:eastAsia="標楷體" w:hAnsi="Times New Roman" w:cs="Times New Roman"/>
                <w:szCs w:val="24"/>
              </w:rPr>
            </w:pPr>
            <w:r w:rsidRPr="00C77E77">
              <w:rPr>
                <w:rFonts w:ascii="Times New Roman" w:eastAsia="標楷體" w:hAnsi="Times New Roman" w:cs="Times New Roman"/>
                <w:szCs w:val="24"/>
              </w:rPr>
              <w:t>障礙類別</w:t>
            </w:r>
          </w:p>
        </w:tc>
        <w:tc>
          <w:tcPr>
            <w:tcW w:w="1984" w:type="dxa"/>
          </w:tcPr>
          <w:p w:rsidR="00FF140B" w:rsidRPr="00C77E77" w:rsidRDefault="00FF140B" w:rsidP="00310882">
            <w:pPr>
              <w:rPr>
                <w:rFonts w:ascii="Times New Roman" w:eastAsia="標楷體" w:hAnsi="Times New Roman" w:cs="Times New Roman"/>
                <w:szCs w:val="24"/>
              </w:rPr>
            </w:pPr>
            <w:r w:rsidRPr="00C77E77">
              <w:rPr>
                <w:rFonts w:ascii="Times New Roman" w:eastAsia="標楷體" w:hAnsi="Times New Roman" w:cs="Times New Roman"/>
                <w:szCs w:val="24"/>
              </w:rPr>
              <w:t>主要障礙</w:t>
            </w:r>
          </w:p>
        </w:tc>
        <w:tc>
          <w:tcPr>
            <w:tcW w:w="5616" w:type="dxa"/>
          </w:tcPr>
          <w:p w:rsidR="00FF140B" w:rsidRPr="00C77E77" w:rsidRDefault="00FF140B" w:rsidP="00310882">
            <w:pPr>
              <w:rPr>
                <w:rFonts w:ascii="Times New Roman" w:eastAsia="標楷體" w:hAnsi="Times New Roman" w:cs="Times New Roman"/>
                <w:szCs w:val="24"/>
              </w:rPr>
            </w:pPr>
            <w:r w:rsidRPr="00C77E77">
              <w:rPr>
                <w:rFonts w:ascii="Times New Roman" w:eastAsia="標楷體" w:hAnsi="Times New Roman" w:cs="Times New Roman"/>
                <w:szCs w:val="24"/>
              </w:rPr>
              <w:t>限制情況</w:t>
            </w:r>
          </w:p>
        </w:tc>
      </w:tr>
      <w:tr w:rsidR="00F90C03" w:rsidRPr="00C77E77" w:rsidTr="00FF140B">
        <w:tc>
          <w:tcPr>
            <w:tcW w:w="1668" w:type="dxa"/>
          </w:tcPr>
          <w:p w:rsidR="00F90C03" w:rsidRPr="00C77E77" w:rsidRDefault="00FF140B"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檢驗與檢疫</w:t>
            </w:r>
          </w:p>
        </w:tc>
        <w:tc>
          <w:tcPr>
            <w:tcW w:w="1984" w:type="dxa"/>
          </w:tcPr>
          <w:p w:rsidR="00F90C03" w:rsidRPr="00C77E77" w:rsidRDefault="00FF140B"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對自我國進口之水產品實施逐批檢驗措施</w:t>
            </w:r>
          </w:p>
        </w:tc>
        <w:tc>
          <w:tcPr>
            <w:tcW w:w="5616" w:type="dxa"/>
          </w:tcPr>
          <w:p w:rsidR="00F90C03" w:rsidRPr="00C77E77" w:rsidRDefault="00FF140B"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越南農業部公告自</w:t>
            </w:r>
            <w:r w:rsidRPr="00C77E77">
              <w:rPr>
                <w:rFonts w:ascii="Times New Roman" w:eastAsia="標楷體" w:hAnsi="Times New Roman" w:cs="Times New Roman"/>
                <w:szCs w:val="24"/>
              </w:rPr>
              <w:t>2015</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12</w:t>
            </w:r>
            <w:r w:rsidRPr="00C77E77">
              <w:rPr>
                <w:rFonts w:ascii="Times New Roman" w:eastAsia="標楷體" w:hAnsi="Times New Roman" w:cs="Times New Roman"/>
                <w:szCs w:val="24"/>
              </w:rPr>
              <w:t>月</w:t>
            </w:r>
            <w:r w:rsidRPr="00C77E77">
              <w:rPr>
                <w:rFonts w:ascii="Times New Roman" w:eastAsia="標楷體" w:hAnsi="Times New Roman" w:cs="Times New Roman"/>
                <w:szCs w:val="24"/>
              </w:rPr>
              <w:t>1</w:t>
            </w:r>
            <w:r w:rsidRPr="00C77E77">
              <w:rPr>
                <w:rFonts w:ascii="Times New Roman" w:eastAsia="標楷體" w:hAnsi="Times New Roman" w:cs="Times New Roman"/>
                <w:szCs w:val="24"/>
              </w:rPr>
              <w:t>日起針對所有自我國進口之水產品實施逐批檢驗措施。查越南檢疫官於同年</w:t>
            </w:r>
            <w:r w:rsidRPr="00C77E77">
              <w:rPr>
                <w:rFonts w:ascii="Times New Roman" w:eastAsia="標楷體" w:hAnsi="Times New Roman" w:cs="Times New Roman"/>
                <w:szCs w:val="24"/>
              </w:rPr>
              <w:t>10</w:t>
            </w:r>
            <w:r w:rsidRPr="00C77E77">
              <w:rPr>
                <w:rFonts w:ascii="Times New Roman" w:eastAsia="標楷體" w:hAnsi="Times New Roman" w:cs="Times New Roman"/>
                <w:szCs w:val="24"/>
              </w:rPr>
              <w:t>月</w:t>
            </w:r>
            <w:r w:rsidRPr="00C77E77">
              <w:rPr>
                <w:rFonts w:ascii="Times New Roman" w:eastAsia="標楷體" w:hAnsi="Times New Roman" w:cs="Times New Roman"/>
                <w:szCs w:val="24"/>
              </w:rPr>
              <w:t>12</w:t>
            </w:r>
            <w:r w:rsidRPr="00C77E77">
              <w:rPr>
                <w:rFonts w:ascii="Times New Roman" w:eastAsia="標楷體" w:hAnsi="Times New Roman" w:cs="Times New Roman"/>
                <w:szCs w:val="24"/>
              </w:rPr>
              <w:t>至</w:t>
            </w:r>
            <w:r w:rsidRPr="00C77E77">
              <w:rPr>
                <w:rFonts w:ascii="Times New Roman" w:eastAsia="標楷體" w:hAnsi="Times New Roman" w:cs="Times New Roman"/>
                <w:szCs w:val="24"/>
              </w:rPr>
              <w:t>16</w:t>
            </w:r>
            <w:r w:rsidRPr="00C77E77">
              <w:rPr>
                <w:rFonts w:ascii="Times New Roman" w:eastAsia="標楷體" w:hAnsi="Times New Roman" w:cs="Times New Roman"/>
                <w:szCs w:val="24"/>
              </w:rPr>
              <w:t>日赴</w:t>
            </w:r>
            <w:r w:rsidR="00E524DA" w:rsidRPr="00C77E77">
              <w:rPr>
                <w:rFonts w:ascii="Times New Roman" w:eastAsia="標楷體" w:hAnsi="Times New Roman" w:cs="Times New Roman"/>
                <w:szCs w:val="24"/>
              </w:rPr>
              <w:t>臺</w:t>
            </w:r>
            <w:r w:rsidRPr="00C77E77">
              <w:rPr>
                <w:rFonts w:ascii="Times New Roman" w:eastAsia="標楷體" w:hAnsi="Times New Roman" w:cs="Times New Roman"/>
                <w:szCs w:val="24"/>
              </w:rPr>
              <w:t>查廠，發現我國水產品輸出管理體制存在「系統性之重大缺失」，爰決定實施本項貿易管理措施。</w:t>
            </w:r>
          </w:p>
        </w:tc>
      </w:tr>
      <w:tr w:rsidR="00FF140B" w:rsidRPr="00C77E77" w:rsidTr="00BD59F7">
        <w:tc>
          <w:tcPr>
            <w:tcW w:w="9268" w:type="dxa"/>
            <w:gridSpan w:val="3"/>
            <w:shd w:val="clear" w:color="auto" w:fill="BFBFBF" w:themeFill="background1" w:themeFillShade="BF"/>
          </w:tcPr>
          <w:p w:rsidR="00FF140B" w:rsidRPr="00C77E77" w:rsidRDefault="00FF140B"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國家：泰國</w:t>
            </w:r>
          </w:p>
        </w:tc>
      </w:tr>
      <w:tr w:rsidR="00FF140B" w:rsidRPr="00C77E77" w:rsidTr="00FF140B">
        <w:tc>
          <w:tcPr>
            <w:tcW w:w="1668" w:type="dxa"/>
          </w:tcPr>
          <w:p w:rsidR="00FF140B" w:rsidRPr="00C77E77" w:rsidRDefault="00FF140B" w:rsidP="00310882">
            <w:pPr>
              <w:rPr>
                <w:rFonts w:ascii="Times New Roman" w:eastAsia="標楷體" w:hAnsi="Times New Roman" w:cs="Times New Roman"/>
                <w:szCs w:val="24"/>
              </w:rPr>
            </w:pPr>
            <w:r w:rsidRPr="00C77E77">
              <w:rPr>
                <w:rFonts w:ascii="Times New Roman" w:eastAsia="標楷體" w:hAnsi="Times New Roman" w:cs="Times New Roman"/>
                <w:szCs w:val="24"/>
              </w:rPr>
              <w:t>障礙類別</w:t>
            </w:r>
          </w:p>
        </w:tc>
        <w:tc>
          <w:tcPr>
            <w:tcW w:w="1984" w:type="dxa"/>
          </w:tcPr>
          <w:p w:rsidR="00FF140B" w:rsidRPr="00C77E77" w:rsidRDefault="00FF140B" w:rsidP="00310882">
            <w:pPr>
              <w:rPr>
                <w:rFonts w:ascii="Times New Roman" w:eastAsia="標楷體" w:hAnsi="Times New Roman" w:cs="Times New Roman"/>
                <w:szCs w:val="24"/>
              </w:rPr>
            </w:pPr>
            <w:r w:rsidRPr="00C77E77">
              <w:rPr>
                <w:rFonts w:ascii="Times New Roman" w:eastAsia="標楷體" w:hAnsi="Times New Roman" w:cs="Times New Roman"/>
                <w:szCs w:val="24"/>
              </w:rPr>
              <w:t>主要障礙</w:t>
            </w:r>
          </w:p>
        </w:tc>
        <w:tc>
          <w:tcPr>
            <w:tcW w:w="5616" w:type="dxa"/>
          </w:tcPr>
          <w:p w:rsidR="00FF140B" w:rsidRPr="00C77E77" w:rsidRDefault="00FF140B" w:rsidP="00310882">
            <w:pPr>
              <w:rPr>
                <w:rFonts w:ascii="Times New Roman" w:eastAsia="標楷體" w:hAnsi="Times New Roman" w:cs="Times New Roman"/>
                <w:szCs w:val="24"/>
              </w:rPr>
            </w:pPr>
            <w:r w:rsidRPr="00C77E77">
              <w:rPr>
                <w:rFonts w:ascii="Times New Roman" w:eastAsia="標楷體" w:hAnsi="Times New Roman" w:cs="Times New Roman"/>
                <w:szCs w:val="24"/>
              </w:rPr>
              <w:t>限制情況</w:t>
            </w:r>
          </w:p>
        </w:tc>
      </w:tr>
      <w:tr w:rsidR="00F90C03" w:rsidRPr="00C77E77" w:rsidTr="00FF140B">
        <w:tc>
          <w:tcPr>
            <w:tcW w:w="1668" w:type="dxa"/>
          </w:tcPr>
          <w:p w:rsidR="00F90C03" w:rsidRPr="00C77E77" w:rsidRDefault="00FF140B"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投資</w:t>
            </w:r>
          </w:p>
        </w:tc>
        <w:tc>
          <w:tcPr>
            <w:tcW w:w="1984" w:type="dxa"/>
          </w:tcPr>
          <w:p w:rsidR="00F90C03" w:rsidRPr="00C77E77" w:rsidRDefault="00FF140B" w:rsidP="00F90C03">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外商法禁止或限制外商公司在多項業別</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例如服務業</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之市場進入</w:t>
            </w:r>
          </w:p>
        </w:tc>
        <w:tc>
          <w:tcPr>
            <w:tcW w:w="5616" w:type="dxa"/>
          </w:tcPr>
          <w:p w:rsidR="00FF140B" w:rsidRPr="00C77E77" w:rsidRDefault="00FF140B" w:rsidP="00FF140B">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1.</w:t>
            </w:r>
            <w:r w:rsidRPr="00C77E77">
              <w:rPr>
                <w:rFonts w:ascii="Times New Roman" w:eastAsia="標楷體" w:hAnsi="Times New Roman" w:cs="Times New Roman"/>
                <w:szCs w:val="24"/>
              </w:rPr>
              <w:t>泰國於</w:t>
            </w:r>
            <w:r w:rsidRPr="00C77E77">
              <w:rPr>
                <w:rFonts w:ascii="Times New Roman" w:eastAsia="標楷體" w:hAnsi="Times New Roman" w:cs="Times New Roman"/>
                <w:szCs w:val="24"/>
              </w:rPr>
              <w:t>1999</w:t>
            </w:r>
            <w:r w:rsidRPr="00C77E77">
              <w:rPr>
                <w:rFonts w:ascii="Times New Roman" w:eastAsia="標楷體" w:hAnsi="Times New Roman" w:cs="Times New Roman"/>
                <w:szCs w:val="24"/>
              </w:rPr>
              <w:t>年開始實施外商法後，外商禁止經營外商法附錄中第一類所列</w:t>
            </w:r>
            <w:r w:rsidRPr="00C77E77">
              <w:rPr>
                <w:rFonts w:ascii="Times New Roman" w:eastAsia="標楷體" w:hAnsi="Times New Roman" w:cs="Times New Roman"/>
                <w:szCs w:val="24"/>
              </w:rPr>
              <w:t>9</w:t>
            </w:r>
            <w:r w:rsidRPr="00C77E77">
              <w:rPr>
                <w:rFonts w:ascii="Times New Roman" w:eastAsia="標楷體" w:hAnsi="Times New Roman" w:cs="Times New Roman"/>
                <w:szCs w:val="24"/>
              </w:rPr>
              <w:t>大產業；惟經取得內閣允許或特許執照，得經營第二、三類所列各產業。</w:t>
            </w:r>
          </w:p>
          <w:p w:rsidR="00FF140B" w:rsidRPr="00C77E77" w:rsidRDefault="00FF140B" w:rsidP="00FF140B">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2.</w:t>
            </w:r>
            <w:r w:rsidRPr="00C77E77">
              <w:rPr>
                <w:rFonts w:ascii="Times New Roman" w:eastAsia="標楷體" w:hAnsi="Times New Roman" w:cs="Times New Roman"/>
                <w:szCs w:val="24"/>
              </w:rPr>
              <w:t>外商法對於外國法人之定義及對外商營業之限制，對外商在泰投資經營發展不利。</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註：依據泰國外商法，泰國限制外商經營之服務業項目如下：</w:t>
            </w:r>
          </w:p>
          <w:p w:rsidR="00FF140B" w:rsidRPr="00C77E77" w:rsidRDefault="00FF140B" w:rsidP="00BD59F7">
            <w:pPr>
              <w:spacing w:line="300" w:lineRule="exact"/>
              <w:ind w:left="960" w:hangingChars="400" w:hanging="960"/>
              <w:rPr>
                <w:rFonts w:ascii="Times New Roman" w:eastAsia="標楷體" w:hAnsi="Times New Roman" w:cs="Times New Roman"/>
                <w:szCs w:val="24"/>
              </w:rPr>
            </w:pPr>
            <w:r w:rsidRPr="00C77E77">
              <w:rPr>
                <w:rFonts w:ascii="Times New Roman" w:eastAsia="標楷體" w:hAnsi="Times New Roman" w:cs="Times New Roman"/>
                <w:szCs w:val="24"/>
              </w:rPr>
              <w:t>第一類：因特殊理由禁止外國人經營的業別包含：</w:t>
            </w:r>
            <w:r w:rsidRPr="00C77E77">
              <w:rPr>
                <w:rFonts w:ascii="Times New Roman" w:eastAsia="標楷體" w:hAnsi="Times New Roman" w:cs="Times New Roman"/>
                <w:szCs w:val="24"/>
              </w:rPr>
              <w:t>1.</w:t>
            </w:r>
            <w:r w:rsidRPr="00C77E77">
              <w:rPr>
                <w:rFonts w:ascii="Times New Roman" w:eastAsia="標楷體" w:hAnsi="Times New Roman" w:cs="Times New Roman"/>
                <w:szCs w:val="24"/>
              </w:rPr>
              <w:t>報業、廣播電</w:t>
            </w:r>
            <w:r w:rsidR="00E524DA" w:rsidRPr="00C77E77">
              <w:rPr>
                <w:rFonts w:ascii="Times New Roman" w:eastAsia="標楷體" w:hAnsi="Times New Roman" w:cs="Times New Roman"/>
                <w:szCs w:val="24"/>
              </w:rPr>
              <w:t>臺</w:t>
            </w:r>
            <w:r w:rsidRPr="00C77E77">
              <w:rPr>
                <w:rFonts w:ascii="Times New Roman" w:eastAsia="標楷體" w:hAnsi="Times New Roman" w:cs="Times New Roman"/>
                <w:szCs w:val="24"/>
              </w:rPr>
              <w:t>、電視</w:t>
            </w:r>
            <w:r w:rsidR="00E524DA" w:rsidRPr="00C77E77">
              <w:rPr>
                <w:rFonts w:ascii="Times New Roman" w:eastAsia="標楷體" w:hAnsi="Times New Roman" w:cs="Times New Roman"/>
                <w:szCs w:val="24"/>
              </w:rPr>
              <w:t>臺</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2.</w:t>
            </w:r>
            <w:r w:rsidRPr="00C77E77">
              <w:rPr>
                <w:rFonts w:ascii="Times New Roman" w:eastAsia="標楷體" w:hAnsi="Times New Roman" w:cs="Times New Roman"/>
                <w:szCs w:val="24"/>
              </w:rPr>
              <w:t>農業、灌溉或園藝；</w:t>
            </w:r>
            <w:r w:rsidRPr="00C77E77">
              <w:rPr>
                <w:rFonts w:ascii="Times New Roman" w:eastAsia="標楷體" w:hAnsi="Times New Roman" w:cs="Times New Roman"/>
                <w:szCs w:val="24"/>
              </w:rPr>
              <w:t>3.</w:t>
            </w:r>
            <w:r w:rsidRPr="00C77E77">
              <w:rPr>
                <w:rFonts w:ascii="Times New Roman" w:eastAsia="標楷體" w:hAnsi="Times New Roman" w:cs="Times New Roman"/>
                <w:szCs w:val="24"/>
              </w:rPr>
              <w:t>動物育種；</w:t>
            </w:r>
            <w:r w:rsidRPr="00C77E77">
              <w:rPr>
                <w:rFonts w:ascii="Times New Roman" w:eastAsia="標楷體" w:hAnsi="Times New Roman" w:cs="Times New Roman"/>
                <w:szCs w:val="24"/>
              </w:rPr>
              <w:t>4.</w:t>
            </w:r>
            <w:r w:rsidRPr="00C77E77">
              <w:rPr>
                <w:rFonts w:ascii="Times New Roman" w:eastAsia="標楷體" w:hAnsi="Times New Roman" w:cs="Times New Roman"/>
                <w:szCs w:val="24"/>
              </w:rPr>
              <w:t>林業及木材保育；</w:t>
            </w:r>
            <w:r w:rsidRPr="00C77E77">
              <w:rPr>
                <w:rFonts w:ascii="Times New Roman" w:eastAsia="標楷體" w:hAnsi="Times New Roman" w:cs="Times New Roman"/>
                <w:szCs w:val="24"/>
              </w:rPr>
              <w:t>5.</w:t>
            </w:r>
            <w:r w:rsidRPr="00C77E77">
              <w:rPr>
                <w:rFonts w:ascii="Times New Roman" w:eastAsia="標楷體" w:hAnsi="Times New Roman" w:cs="Times New Roman"/>
                <w:szCs w:val="24"/>
              </w:rPr>
              <w:t>漁業；</w:t>
            </w:r>
            <w:r w:rsidRPr="00C77E77">
              <w:rPr>
                <w:rFonts w:ascii="Times New Roman" w:eastAsia="標楷體" w:hAnsi="Times New Roman" w:cs="Times New Roman"/>
                <w:szCs w:val="24"/>
              </w:rPr>
              <w:t>6.</w:t>
            </w:r>
            <w:r w:rsidRPr="00C77E77">
              <w:rPr>
                <w:rFonts w:ascii="Times New Roman" w:eastAsia="標楷體" w:hAnsi="Times New Roman" w:cs="Times New Roman"/>
                <w:szCs w:val="24"/>
              </w:rPr>
              <w:t>泰草本粹取；</w:t>
            </w:r>
            <w:r w:rsidRPr="00C77E77">
              <w:rPr>
                <w:rFonts w:ascii="Times New Roman" w:eastAsia="標楷體" w:hAnsi="Times New Roman" w:cs="Times New Roman"/>
                <w:szCs w:val="24"/>
              </w:rPr>
              <w:t>7.</w:t>
            </w:r>
            <w:r w:rsidRPr="00C77E77">
              <w:rPr>
                <w:rFonts w:ascii="Times New Roman" w:eastAsia="標楷體" w:hAnsi="Times New Roman" w:cs="Times New Roman"/>
                <w:szCs w:val="24"/>
              </w:rPr>
              <w:t>泰國古董貿易：</w:t>
            </w:r>
            <w:r w:rsidRPr="00C77E77">
              <w:rPr>
                <w:rFonts w:ascii="Times New Roman" w:eastAsia="標楷體" w:hAnsi="Times New Roman" w:cs="Times New Roman"/>
                <w:szCs w:val="24"/>
              </w:rPr>
              <w:t>8.</w:t>
            </w:r>
            <w:r w:rsidRPr="00C77E77">
              <w:rPr>
                <w:rFonts w:ascii="Times New Roman" w:eastAsia="標楷體" w:hAnsi="Times New Roman" w:cs="Times New Roman"/>
                <w:szCs w:val="24"/>
              </w:rPr>
              <w:t>製造佛像及缽；</w:t>
            </w:r>
            <w:r w:rsidRPr="00C77E77">
              <w:rPr>
                <w:rFonts w:ascii="Times New Roman" w:eastAsia="標楷體" w:hAnsi="Times New Roman" w:cs="Times New Roman"/>
                <w:szCs w:val="24"/>
              </w:rPr>
              <w:t>9.</w:t>
            </w:r>
            <w:r w:rsidRPr="00C77E77">
              <w:rPr>
                <w:rFonts w:ascii="Times New Roman" w:eastAsia="標楷體" w:hAnsi="Times New Roman" w:cs="Times New Roman"/>
                <w:szCs w:val="24"/>
              </w:rPr>
              <w:t>土地販售。</w:t>
            </w:r>
          </w:p>
          <w:p w:rsidR="00FF140B" w:rsidRPr="00C77E77" w:rsidRDefault="00FF140B" w:rsidP="00BD59F7">
            <w:pPr>
              <w:spacing w:line="300" w:lineRule="exact"/>
              <w:ind w:left="960" w:hangingChars="400" w:hanging="960"/>
              <w:rPr>
                <w:rFonts w:ascii="Times New Roman" w:eastAsia="標楷體" w:hAnsi="Times New Roman" w:cs="Times New Roman"/>
                <w:szCs w:val="24"/>
              </w:rPr>
            </w:pPr>
            <w:r w:rsidRPr="00C77E77">
              <w:rPr>
                <w:rFonts w:ascii="Times New Roman" w:eastAsia="標楷體" w:hAnsi="Times New Roman" w:cs="Times New Roman"/>
                <w:szCs w:val="24"/>
              </w:rPr>
              <w:t>第二類：基於國家安全、維護風土民俗、保障當地製造及保護天然資源等原因，禁止外國人經營</w:t>
            </w:r>
            <w:r w:rsidRPr="00C77E77">
              <w:rPr>
                <w:rFonts w:ascii="Times New Roman" w:eastAsia="標楷體" w:hAnsi="Times New Roman" w:cs="Times New Roman"/>
                <w:szCs w:val="24"/>
              </w:rPr>
              <w:lastRenderedPageBreak/>
              <w:t>業，需內閣同意後才允許經營相關產業。</w:t>
            </w:r>
          </w:p>
          <w:p w:rsidR="00FF140B" w:rsidRPr="00C77E77" w:rsidRDefault="00FF140B" w:rsidP="00BD59F7">
            <w:pPr>
              <w:spacing w:line="300" w:lineRule="exact"/>
              <w:ind w:left="960" w:hangingChars="400" w:hanging="960"/>
              <w:rPr>
                <w:rFonts w:ascii="Times New Roman" w:eastAsia="標楷體" w:hAnsi="Times New Roman" w:cs="Times New Roman"/>
                <w:szCs w:val="24"/>
              </w:rPr>
            </w:pPr>
            <w:r w:rsidRPr="00C77E77">
              <w:rPr>
                <w:rFonts w:ascii="Times New Roman" w:eastAsia="標楷體" w:hAnsi="Times New Roman" w:cs="Times New Roman"/>
                <w:szCs w:val="24"/>
              </w:rPr>
              <w:t>第三類：泰國人對外國人未具競爭力之業務，惟需先取得特許執照：碾米與麵粉製造、包括魚類等水產養殖、植木、會計服務業；法律服務業；建築服務業；工程服務業；旅店業、不含旅店管理；導遊業</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包括旅行社業務</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；除部會級法規規定的服務業以外的其他服務業</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仲介代理業，但不包括</w:t>
            </w:r>
            <w:r w:rsidRPr="00C77E77">
              <w:rPr>
                <w:rFonts w:ascii="Times New Roman" w:eastAsia="標楷體" w:hAnsi="Times New Roman" w:cs="Times New Roman"/>
                <w:szCs w:val="24"/>
              </w:rPr>
              <w:t>(a)</w:t>
            </w:r>
            <w:r w:rsidRPr="00C77E77">
              <w:rPr>
                <w:rFonts w:ascii="Times New Roman" w:eastAsia="標楷體" w:hAnsi="Times New Roman" w:cs="Times New Roman"/>
                <w:szCs w:val="24"/>
              </w:rPr>
              <w:t>證券交易仲介或代理、農產品期貨交易、有價證券買賣服務；</w:t>
            </w:r>
            <w:r w:rsidRPr="00C77E77">
              <w:rPr>
                <w:rFonts w:ascii="Times New Roman" w:eastAsia="標楷體" w:hAnsi="Times New Roman" w:cs="Times New Roman"/>
                <w:szCs w:val="24"/>
              </w:rPr>
              <w:t>(b)</w:t>
            </w:r>
            <w:r w:rsidRPr="00C77E77">
              <w:rPr>
                <w:rFonts w:ascii="Times New Roman" w:eastAsia="標楷體" w:hAnsi="Times New Roman" w:cs="Times New Roman"/>
                <w:szCs w:val="24"/>
              </w:rPr>
              <w:t>為聯營企業的生產、服務需要提供買賣、採購、尋求服務的仲介或代理業務；</w:t>
            </w:r>
            <w:r w:rsidRPr="00C77E77">
              <w:rPr>
                <w:rFonts w:ascii="Times New Roman" w:eastAsia="標楷體" w:hAnsi="Times New Roman" w:cs="Times New Roman"/>
                <w:szCs w:val="24"/>
              </w:rPr>
              <w:t>(c)</w:t>
            </w:r>
            <w:r w:rsidRPr="00C77E77">
              <w:rPr>
                <w:rFonts w:ascii="Times New Roman" w:eastAsia="標楷體" w:hAnsi="Times New Roman" w:cs="Times New Roman"/>
                <w:szCs w:val="24"/>
              </w:rPr>
              <w:t>為外國人投入最低資本</w:t>
            </w:r>
            <w:r w:rsidRPr="00C77E77">
              <w:rPr>
                <w:rFonts w:ascii="Times New Roman" w:eastAsia="標楷體" w:hAnsi="Times New Roman" w:cs="Times New Roman"/>
                <w:szCs w:val="24"/>
              </w:rPr>
              <w:t>1</w:t>
            </w:r>
            <w:r w:rsidRPr="00C77E77">
              <w:rPr>
                <w:rFonts w:ascii="Times New Roman" w:eastAsia="標楷體" w:hAnsi="Times New Roman" w:cs="Times New Roman"/>
                <w:szCs w:val="24"/>
              </w:rPr>
              <w:t>億泰銖以上的行銷國內產品或進口產品的國際貿易企業提供買賣、採購、推銷、尋求國內外市場的仲介或代理業務。</w:t>
            </w:r>
            <w:r w:rsidRPr="00C77E77">
              <w:rPr>
                <w:rFonts w:ascii="Times New Roman" w:eastAsia="標楷體" w:hAnsi="Times New Roman" w:cs="Times New Roman"/>
                <w:szCs w:val="24"/>
              </w:rPr>
              <w:t>(d)</w:t>
            </w:r>
            <w:r w:rsidRPr="00C77E77">
              <w:rPr>
                <w:rFonts w:ascii="Times New Roman" w:eastAsia="標楷體" w:hAnsi="Times New Roman" w:cs="Times New Roman"/>
                <w:szCs w:val="24"/>
              </w:rPr>
              <w:t>部級法規規定的其他仲介或代理業</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w:t>
            </w:r>
          </w:p>
          <w:p w:rsidR="00F90C03" w:rsidRPr="00C77E77" w:rsidRDefault="00FF140B" w:rsidP="00FF140B">
            <w:pPr>
              <w:spacing w:line="300" w:lineRule="exact"/>
              <w:rPr>
                <w:rFonts w:ascii="Times New Roman" w:eastAsia="標楷體" w:hAnsi="Times New Roman" w:cs="Times New Roman"/>
                <w:szCs w:val="24"/>
              </w:rPr>
            </w:pPr>
            <w:r w:rsidRPr="00C77E77">
              <w:rPr>
                <w:rFonts w:ascii="Times New Roman" w:eastAsia="標楷體" w:hAnsi="Times New Roman" w:cs="Times New Roman"/>
                <w:szCs w:val="24"/>
              </w:rPr>
              <w:t>3.</w:t>
            </w:r>
            <w:r w:rsidRPr="00C77E77">
              <w:rPr>
                <w:rFonts w:ascii="Times New Roman" w:eastAsia="標楷體" w:hAnsi="Times New Roman" w:cs="Times New Roman"/>
                <w:szCs w:val="24"/>
              </w:rPr>
              <w:t>倘以泰國人註冊公司及其營運項目，其外人持股受限於</w:t>
            </w:r>
            <w:r w:rsidRPr="00C77E77">
              <w:rPr>
                <w:rFonts w:ascii="Times New Roman" w:eastAsia="標楷體" w:hAnsi="Times New Roman" w:cs="Times New Roman"/>
                <w:szCs w:val="24"/>
              </w:rPr>
              <w:t>49%</w:t>
            </w:r>
            <w:r w:rsidRPr="00C77E77">
              <w:rPr>
                <w:rFonts w:ascii="Times New Roman" w:eastAsia="標楷體" w:hAnsi="Times New Roman" w:cs="Times New Roman"/>
                <w:szCs w:val="24"/>
              </w:rPr>
              <w:t>規定，並需依照法泰國公司等相關規定。</w:t>
            </w:r>
          </w:p>
        </w:tc>
      </w:tr>
    </w:tbl>
    <w:p w:rsidR="00F90C03" w:rsidRPr="00C77E77" w:rsidRDefault="00BD59F7" w:rsidP="00BD59F7">
      <w:pPr>
        <w:spacing w:before="50" w:after="50" w:line="360" w:lineRule="auto"/>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資料來源：本研究整理自經濟部貿易局。</w:t>
      </w:r>
    </w:p>
    <w:p w:rsidR="000F0888" w:rsidRPr="00C77E77" w:rsidRDefault="000F0888">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F10EBB" w:rsidRPr="00C77E77" w:rsidRDefault="00F10EBB">
      <w:pPr>
        <w:widowControl/>
        <w:rPr>
          <w:rFonts w:ascii="Times New Roman" w:eastAsia="標楷體" w:hAnsi="Times New Roman" w:cs="Times New Roman"/>
          <w:sz w:val="28"/>
          <w:szCs w:val="28"/>
        </w:rPr>
      </w:pPr>
    </w:p>
    <w:p w:rsidR="00897640" w:rsidRPr="00C77E77" w:rsidRDefault="00684ECD" w:rsidP="00BE07E4">
      <w:pPr>
        <w:pStyle w:val="1"/>
        <w:spacing w:line="500" w:lineRule="exact"/>
        <w:jc w:val="center"/>
        <w:rPr>
          <w:rFonts w:ascii="Times New Roman" w:eastAsia="標楷體" w:hAnsi="Times New Roman" w:cs="Times New Roman"/>
          <w:sz w:val="36"/>
          <w:szCs w:val="36"/>
        </w:rPr>
      </w:pPr>
      <w:r w:rsidRPr="00C77E77">
        <w:rPr>
          <w:rFonts w:ascii="Times New Roman" w:eastAsia="標楷體" w:hAnsi="Times New Roman" w:cs="Times New Roman"/>
          <w:color w:val="000000" w:themeColor="text1"/>
          <w:sz w:val="28"/>
          <w:szCs w:val="28"/>
        </w:rPr>
        <w:br w:type="page"/>
      </w:r>
      <w:bookmarkStart w:id="141" w:name="_Toc470676323"/>
      <w:r w:rsidR="00897640" w:rsidRPr="00C77E77">
        <w:rPr>
          <w:rFonts w:ascii="Times New Roman" w:eastAsia="標楷體" w:hAnsi="Times New Roman" w:cs="Times New Roman"/>
          <w:sz w:val="36"/>
          <w:szCs w:val="36"/>
        </w:rPr>
        <w:lastRenderedPageBreak/>
        <w:t>第五章</w:t>
      </w:r>
      <w:r w:rsidR="00897640" w:rsidRPr="00C77E77">
        <w:rPr>
          <w:rFonts w:ascii="Times New Roman" w:eastAsia="標楷體" w:hAnsi="Times New Roman" w:cs="Times New Roman"/>
          <w:sz w:val="36"/>
          <w:szCs w:val="36"/>
        </w:rPr>
        <w:t xml:space="preserve"> </w:t>
      </w:r>
      <w:r w:rsidR="00897640" w:rsidRPr="00C77E77">
        <w:rPr>
          <w:rFonts w:ascii="Times New Roman" w:eastAsia="標楷體" w:hAnsi="Times New Roman" w:cs="Times New Roman"/>
          <w:sz w:val="36"/>
          <w:szCs w:val="36"/>
        </w:rPr>
        <w:t>結論</w:t>
      </w:r>
      <w:bookmarkEnd w:id="141"/>
    </w:p>
    <w:p w:rsidR="002E0017" w:rsidRPr="00C77E77" w:rsidRDefault="003C3DA7" w:rsidP="002E0017">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本研究依序分析了電子收費、電子化政府、智慧校園、電子商務、智慧物流、雲端系統、太陽能、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照明、綠色運輸、石化、智慧醫療、新農業等十二項我國產業的發展現況、競爭優勢與劣勢，同時盤點了東協各國與印度的當地需求。在結論的部份我們依序提出「</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合作發展的整體佈局以及個別產業之策略建議，然後再評估我國新南向政策可能面對的其它外部因素，包括中國大陸一帶一路的影響與因應對策，以及蒐集新加坡、日本與韓國等競爭對手國在東協與印度所採取並可供我國借鏡之作法。最後評估近期</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之發展趨勢作出相關建議。</w:t>
      </w:r>
    </w:p>
    <w:p w:rsidR="000E37C3" w:rsidRPr="00C77E77" w:rsidRDefault="003C3DA7" w:rsidP="003C3DA7">
      <w:pPr>
        <w:pStyle w:val="ab"/>
        <w:numPr>
          <w:ilvl w:val="0"/>
          <w:numId w:val="22"/>
        </w:numPr>
        <w:spacing w:beforeLines="50" w:before="180" w:afterLines="50" w:after="180" w:line="500" w:lineRule="exact"/>
        <w:ind w:leftChars="0"/>
        <w:jc w:val="both"/>
        <w:outlineLvl w:val="1"/>
        <w:rPr>
          <w:rFonts w:ascii="Times New Roman" w:eastAsia="標楷體" w:hAnsi="Times New Roman" w:cs="Times New Roman"/>
          <w:b/>
          <w:sz w:val="32"/>
          <w:szCs w:val="32"/>
        </w:rPr>
      </w:pPr>
      <w:bookmarkStart w:id="142" w:name="_Toc470676324"/>
      <w:r w:rsidRPr="00C77E77">
        <w:rPr>
          <w:rFonts w:ascii="Times New Roman" w:eastAsia="標楷體" w:hAnsi="Times New Roman" w:cs="Times New Roman"/>
          <w:b/>
          <w:sz w:val="32"/>
          <w:szCs w:val="32"/>
        </w:rPr>
        <w:t>「</w:t>
      </w:r>
      <w:r w:rsidRPr="00C77E77">
        <w:rPr>
          <w:rFonts w:ascii="Times New Roman" w:eastAsia="標楷體" w:hAnsi="Times New Roman" w:cs="Times New Roman"/>
          <w:b/>
          <w:sz w:val="32"/>
          <w:szCs w:val="32"/>
        </w:rPr>
        <w:t>10+2</w:t>
      </w:r>
      <w:r w:rsidRPr="00C77E77">
        <w:rPr>
          <w:rFonts w:ascii="Times New Roman" w:eastAsia="標楷體" w:hAnsi="Times New Roman" w:cs="Times New Roman"/>
          <w:b/>
          <w:sz w:val="32"/>
          <w:szCs w:val="32"/>
        </w:rPr>
        <w:t>」產業南向發展之整體佈局建議</w:t>
      </w:r>
      <w:bookmarkEnd w:id="142"/>
    </w:p>
    <w:p w:rsidR="003C3DA7" w:rsidRPr="00C77E77" w:rsidRDefault="00B964EB" w:rsidP="003C3DA7">
      <w:pPr>
        <w:pStyle w:val="afe"/>
        <w:spacing w:beforeLines="50" w:before="180" w:afterLines="50" w:after="180" w:line="500" w:lineRule="exact"/>
        <w:ind w:firstLine="560"/>
        <w:rPr>
          <w:color w:val="auto"/>
          <w:sz w:val="28"/>
          <w:szCs w:val="28"/>
        </w:rPr>
      </w:pPr>
      <w:r w:rsidRPr="00C77E77">
        <w:rPr>
          <w:sz w:val="28"/>
          <w:szCs w:val="28"/>
        </w:rPr>
        <w:t>「</w:t>
      </w:r>
      <w:r w:rsidRPr="00C77E77">
        <w:rPr>
          <w:sz w:val="28"/>
          <w:szCs w:val="28"/>
        </w:rPr>
        <w:t>10+2</w:t>
      </w:r>
      <w:r w:rsidRPr="00C77E77">
        <w:rPr>
          <w:sz w:val="28"/>
          <w:szCs w:val="28"/>
        </w:rPr>
        <w:t>」產業之輸出需要考慮其推動上的先決條件及前提，包括電力供應、供應鏈完整性等當地政經發展現況及產業環境，以利後續推動。</w:t>
      </w:r>
      <w:r w:rsidR="003C3DA7" w:rsidRPr="00C77E77">
        <w:rPr>
          <w:sz w:val="28"/>
          <w:szCs w:val="28"/>
        </w:rPr>
        <w:t>由於東</w:t>
      </w:r>
      <w:r w:rsidR="003C3DA7" w:rsidRPr="00C77E77">
        <w:rPr>
          <w:color w:val="auto"/>
          <w:sz w:val="28"/>
          <w:szCs w:val="28"/>
        </w:rPr>
        <w:t>南亞國家與印度各國無論在國情、文化與經濟發展程度等差別迥異，單單印度一國的</w:t>
      </w:r>
      <w:r w:rsidR="003C3DA7" w:rsidRPr="00C77E77">
        <w:rPr>
          <w:color w:val="auto"/>
          <w:sz w:val="28"/>
          <w:szCs w:val="28"/>
        </w:rPr>
        <w:t>29</w:t>
      </w:r>
      <w:r w:rsidR="003C3DA7" w:rsidRPr="00C77E77">
        <w:rPr>
          <w:color w:val="auto"/>
          <w:sz w:val="28"/>
          <w:szCs w:val="28"/>
        </w:rPr>
        <w:t>個邦，就像是</w:t>
      </w:r>
      <w:r w:rsidR="003C3DA7" w:rsidRPr="00C77E77">
        <w:rPr>
          <w:color w:val="auto"/>
          <w:sz w:val="28"/>
          <w:szCs w:val="28"/>
        </w:rPr>
        <w:t>30</w:t>
      </w:r>
      <w:r w:rsidR="003C3DA7" w:rsidRPr="00C77E77">
        <w:rPr>
          <w:color w:val="auto"/>
          <w:sz w:val="28"/>
          <w:szCs w:val="28"/>
        </w:rPr>
        <w:t>個國家，很難用一個清晰的概念去描述整體樣貌。自</w:t>
      </w:r>
      <w:r w:rsidR="003C3DA7" w:rsidRPr="00C77E77">
        <w:rPr>
          <w:color w:val="auto"/>
          <w:sz w:val="28"/>
          <w:szCs w:val="28"/>
        </w:rPr>
        <w:t>2007</w:t>
      </w:r>
      <w:r w:rsidR="003C3DA7" w:rsidRPr="00C77E77">
        <w:rPr>
          <w:color w:val="auto"/>
          <w:sz w:val="28"/>
          <w:szCs w:val="28"/>
        </w:rPr>
        <w:t>年至</w:t>
      </w:r>
      <w:r w:rsidR="003C3DA7" w:rsidRPr="00C77E77">
        <w:rPr>
          <w:color w:val="auto"/>
          <w:sz w:val="28"/>
          <w:szCs w:val="28"/>
        </w:rPr>
        <w:t>2014</w:t>
      </w:r>
      <w:r w:rsidR="003C3DA7" w:rsidRPr="00C77E77">
        <w:rPr>
          <w:color w:val="auto"/>
          <w:sz w:val="28"/>
          <w:szCs w:val="28"/>
        </w:rPr>
        <w:t>年，東協十國之人均</w:t>
      </w:r>
      <w:r w:rsidR="003C3DA7" w:rsidRPr="00C77E77">
        <w:rPr>
          <w:color w:val="auto"/>
          <w:sz w:val="28"/>
          <w:szCs w:val="28"/>
        </w:rPr>
        <w:t>GDP</w:t>
      </w:r>
      <w:r w:rsidR="003C3DA7" w:rsidRPr="00C77E77">
        <w:rPr>
          <w:color w:val="auto"/>
          <w:sz w:val="28"/>
          <w:szCs w:val="28"/>
        </w:rPr>
        <w:t>呈倍數成長；</w:t>
      </w:r>
      <w:r w:rsidR="003C3DA7" w:rsidRPr="00C77E77">
        <w:rPr>
          <w:color w:val="auto"/>
          <w:sz w:val="28"/>
          <w:szCs w:val="28"/>
        </w:rPr>
        <w:t>2007</w:t>
      </w:r>
      <w:r w:rsidR="003C3DA7" w:rsidRPr="00C77E77">
        <w:rPr>
          <w:color w:val="auto"/>
          <w:sz w:val="28"/>
          <w:szCs w:val="28"/>
        </w:rPr>
        <w:t>年東協整體人均</w:t>
      </w:r>
      <w:r w:rsidR="003C3DA7" w:rsidRPr="00C77E77">
        <w:rPr>
          <w:color w:val="auto"/>
          <w:sz w:val="28"/>
          <w:szCs w:val="28"/>
        </w:rPr>
        <w:t>GDP</w:t>
      </w:r>
      <w:r w:rsidR="003C3DA7" w:rsidRPr="00C77E77">
        <w:rPr>
          <w:color w:val="auto"/>
          <w:sz w:val="28"/>
          <w:szCs w:val="28"/>
        </w:rPr>
        <w:t>僅</w:t>
      </w:r>
      <w:r w:rsidR="003C3DA7" w:rsidRPr="00C77E77">
        <w:rPr>
          <w:color w:val="auto"/>
          <w:sz w:val="28"/>
          <w:szCs w:val="28"/>
        </w:rPr>
        <w:t>2,341</w:t>
      </w:r>
      <w:r w:rsidR="003C3DA7" w:rsidRPr="00C77E77">
        <w:rPr>
          <w:color w:val="auto"/>
          <w:sz w:val="28"/>
          <w:szCs w:val="28"/>
        </w:rPr>
        <w:t>美元，至</w:t>
      </w:r>
      <w:r w:rsidR="003C3DA7" w:rsidRPr="00C77E77">
        <w:rPr>
          <w:color w:val="auto"/>
          <w:sz w:val="28"/>
          <w:szCs w:val="28"/>
        </w:rPr>
        <w:t xml:space="preserve"> 2014</w:t>
      </w:r>
      <w:r w:rsidR="003C3DA7" w:rsidRPr="00C77E77">
        <w:rPr>
          <w:color w:val="auto"/>
          <w:sz w:val="28"/>
          <w:szCs w:val="28"/>
        </w:rPr>
        <w:t>已達</w:t>
      </w:r>
      <w:r w:rsidR="003C3DA7" w:rsidRPr="00C77E77">
        <w:rPr>
          <w:color w:val="auto"/>
          <w:sz w:val="28"/>
          <w:szCs w:val="28"/>
        </w:rPr>
        <w:t>4,136</w:t>
      </w:r>
      <w:r w:rsidR="003C3DA7" w:rsidRPr="00C77E77">
        <w:rPr>
          <w:color w:val="auto"/>
          <w:sz w:val="28"/>
          <w:szCs w:val="28"/>
        </w:rPr>
        <w:t>美元。東協十國中，新加坡與汶萊遙遙領先其他東南亞國家，人均</w:t>
      </w:r>
      <w:r w:rsidR="003C3DA7" w:rsidRPr="00C77E77">
        <w:rPr>
          <w:color w:val="auto"/>
          <w:sz w:val="28"/>
          <w:szCs w:val="28"/>
        </w:rPr>
        <w:t>GDP</w:t>
      </w:r>
      <w:r w:rsidR="003C3DA7" w:rsidRPr="00C77E77">
        <w:rPr>
          <w:color w:val="auto"/>
          <w:sz w:val="28"/>
          <w:szCs w:val="28"/>
        </w:rPr>
        <w:t>分別為</w:t>
      </w:r>
      <w:r w:rsidR="003C3DA7" w:rsidRPr="00C77E77">
        <w:rPr>
          <w:color w:val="auto"/>
          <w:sz w:val="28"/>
          <w:szCs w:val="28"/>
        </w:rPr>
        <w:t>56,287</w:t>
      </w:r>
      <w:r w:rsidR="003C3DA7" w:rsidRPr="00C77E77">
        <w:rPr>
          <w:color w:val="auto"/>
          <w:sz w:val="28"/>
          <w:szCs w:val="28"/>
        </w:rPr>
        <w:t>美元與</w:t>
      </w:r>
      <w:r w:rsidR="003C3DA7" w:rsidRPr="00C77E77">
        <w:rPr>
          <w:color w:val="auto"/>
          <w:sz w:val="28"/>
          <w:szCs w:val="28"/>
        </w:rPr>
        <w:t>41,535</w:t>
      </w:r>
      <w:r w:rsidR="003C3DA7" w:rsidRPr="00C77E77">
        <w:rPr>
          <w:color w:val="auto"/>
          <w:sz w:val="28"/>
          <w:szCs w:val="28"/>
        </w:rPr>
        <w:t>美元，與部分歐美先進國家相當；馬來西亞排名第三（</w:t>
      </w:r>
      <w:r w:rsidR="003C3DA7" w:rsidRPr="00C77E77">
        <w:rPr>
          <w:color w:val="auto"/>
          <w:sz w:val="28"/>
          <w:szCs w:val="28"/>
        </w:rPr>
        <w:t>10,784</w:t>
      </w:r>
      <w:r w:rsidR="003C3DA7" w:rsidRPr="00C77E77">
        <w:rPr>
          <w:color w:val="auto"/>
          <w:sz w:val="28"/>
          <w:szCs w:val="28"/>
        </w:rPr>
        <w:t>美元），泰國、印尼與菲律賓則分居第四、五、六，人均</w:t>
      </w:r>
      <w:r w:rsidR="003C3DA7" w:rsidRPr="00C77E77">
        <w:rPr>
          <w:color w:val="auto"/>
          <w:sz w:val="28"/>
          <w:szCs w:val="28"/>
        </w:rPr>
        <w:t>GDP</w:t>
      </w:r>
      <w:r w:rsidR="003C3DA7" w:rsidRPr="00C77E77">
        <w:rPr>
          <w:color w:val="auto"/>
          <w:sz w:val="28"/>
          <w:szCs w:val="28"/>
        </w:rPr>
        <w:t>約</w:t>
      </w:r>
      <w:r w:rsidR="003C3DA7" w:rsidRPr="00C77E77">
        <w:rPr>
          <w:color w:val="auto"/>
          <w:sz w:val="28"/>
          <w:szCs w:val="28"/>
        </w:rPr>
        <w:t>5,400</w:t>
      </w:r>
      <w:r w:rsidR="003C3DA7" w:rsidRPr="00C77E77">
        <w:rPr>
          <w:color w:val="auto"/>
          <w:sz w:val="28"/>
          <w:szCs w:val="28"/>
        </w:rPr>
        <w:t>美元至</w:t>
      </w:r>
      <w:r w:rsidR="003C3DA7" w:rsidRPr="00C77E77">
        <w:rPr>
          <w:color w:val="auto"/>
          <w:sz w:val="28"/>
          <w:szCs w:val="28"/>
        </w:rPr>
        <w:t>2,800</w:t>
      </w:r>
      <w:r w:rsidR="003C3DA7" w:rsidRPr="00C77E77">
        <w:rPr>
          <w:color w:val="auto"/>
          <w:sz w:val="28"/>
          <w:szCs w:val="28"/>
        </w:rPr>
        <w:t>美元區間；越南、寮國、緬甸與柬埔寨人均</w:t>
      </w:r>
      <w:r w:rsidR="003C3DA7" w:rsidRPr="00C77E77">
        <w:rPr>
          <w:color w:val="auto"/>
          <w:sz w:val="28"/>
          <w:szCs w:val="28"/>
        </w:rPr>
        <w:t>GDP</w:t>
      </w:r>
      <w:r w:rsidR="003C3DA7" w:rsidRPr="00C77E77">
        <w:rPr>
          <w:color w:val="auto"/>
          <w:sz w:val="28"/>
          <w:szCs w:val="28"/>
        </w:rPr>
        <w:t>相對小很多，約</w:t>
      </w:r>
      <w:r w:rsidR="003C3DA7" w:rsidRPr="00C77E77">
        <w:rPr>
          <w:color w:val="auto"/>
          <w:sz w:val="28"/>
          <w:szCs w:val="28"/>
        </w:rPr>
        <w:t>1,000</w:t>
      </w:r>
      <w:r w:rsidR="003C3DA7" w:rsidRPr="00C77E77">
        <w:rPr>
          <w:color w:val="auto"/>
          <w:sz w:val="28"/>
          <w:szCs w:val="28"/>
        </w:rPr>
        <w:t>美元至</w:t>
      </w:r>
      <w:r w:rsidR="003C3DA7" w:rsidRPr="00C77E77">
        <w:rPr>
          <w:color w:val="auto"/>
          <w:sz w:val="28"/>
          <w:szCs w:val="28"/>
        </w:rPr>
        <w:t>2,000</w:t>
      </w:r>
      <w:r w:rsidR="003C3DA7" w:rsidRPr="00C77E77">
        <w:rPr>
          <w:color w:val="auto"/>
          <w:sz w:val="28"/>
          <w:szCs w:val="28"/>
        </w:rPr>
        <w:t>美元。</w:t>
      </w:r>
      <w:r w:rsidR="003C3DA7" w:rsidRPr="00C77E77">
        <w:rPr>
          <w:rStyle w:val="a9"/>
          <w:color w:val="auto"/>
          <w:sz w:val="28"/>
          <w:szCs w:val="28"/>
        </w:rPr>
        <w:footnoteReference w:id="141"/>
      </w:r>
      <w:r w:rsidR="003C3DA7" w:rsidRPr="00C77E77">
        <w:rPr>
          <w:color w:val="auto"/>
          <w:sz w:val="28"/>
          <w:szCs w:val="28"/>
        </w:rPr>
        <w:t>面對這些充滿差異性的目標市場，本節彙整各方意見後，歸納出「</w:t>
      </w:r>
      <w:r w:rsidR="003C3DA7" w:rsidRPr="00C77E77">
        <w:rPr>
          <w:color w:val="auto"/>
          <w:sz w:val="28"/>
          <w:szCs w:val="28"/>
        </w:rPr>
        <w:t>10+2</w:t>
      </w:r>
      <w:r w:rsidR="003C3DA7" w:rsidRPr="00C77E77">
        <w:rPr>
          <w:color w:val="auto"/>
          <w:sz w:val="28"/>
          <w:szCs w:val="28"/>
        </w:rPr>
        <w:t>」產業南向雙邊合作的應秉持的總體原則。</w:t>
      </w:r>
      <w:r w:rsidR="003C3DA7" w:rsidRPr="00C77E77">
        <w:rPr>
          <w:color w:val="auto"/>
          <w:sz w:val="28"/>
          <w:szCs w:val="28"/>
        </w:rPr>
        <w:t xml:space="preserve"> </w:t>
      </w:r>
    </w:p>
    <w:p w:rsidR="003C3DA7" w:rsidRPr="00C77E77" w:rsidRDefault="003C3DA7" w:rsidP="0001327A">
      <w:pPr>
        <w:pStyle w:val="ab"/>
        <w:numPr>
          <w:ilvl w:val="0"/>
          <w:numId w:val="124"/>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針對戰略佈局之建議</w:t>
      </w:r>
    </w:p>
    <w:p w:rsidR="00B038B2" w:rsidRPr="00C77E77" w:rsidRDefault="00B038B2" w:rsidP="00B038B2">
      <w:pPr>
        <w:pStyle w:val="ab"/>
        <w:spacing w:beforeLines="50" w:before="180" w:afterLines="50" w:after="180" w:line="500" w:lineRule="exact"/>
        <w:ind w:leftChars="0" w:left="720"/>
        <w:jc w:val="both"/>
        <w:rPr>
          <w:rFonts w:ascii="Times New Roman" w:eastAsia="標楷體" w:hAnsi="Times New Roman" w:cs="Times New Roman"/>
          <w:b/>
          <w:sz w:val="28"/>
          <w:szCs w:val="28"/>
        </w:rPr>
      </w:pPr>
    </w:p>
    <w:p w:rsidR="00025DF5" w:rsidRPr="00C77E77" w:rsidRDefault="00025DF5" w:rsidP="003C3DA7">
      <w:pPr>
        <w:pStyle w:val="ab"/>
        <w:widowControl/>
        <w:numPr>
          <w:ilvl w:val="1"/>
          <w:numId w:val="4"/>
        </w:numPr>
        <w:spacing w:beforeLines="50" w:before="180" w:afterLines="50" w:after="180" w:line="500" w:lineRule="exact"/>
        <w:ind w:leftChars="0" w:left="426"/>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lastRenderedPageBreak/>
        <w:t>先在臺灣建立示範場域</w:t>
      </w:r>
    </w:p>
    <w:p w:rsidR="00025DF5" w:rsidRPr="00C77E77" w:rsidRDefault="00025DF5" w:rsidP="003C3DA7">
      <w:pPr>
        <w:pStyle w:val="ab"/>
        <w:widowControl/>
        <w:spacing w:beforeLines="50" w:before="180" w:afterLines="50" w:after="180" w:line="500" w:lineRule="exact"/>
        <w:ind w:leftChars="0" w:left="426"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w:t>
      </w:r>
      <w:r w:rsidR="003C3DA7" w:rsidRPr="00C77E77">
        <w:rPr>
          <w:rFonts w:ascii="Times New Roman" w:eastAsia="標楷體" w:hAnsi="Times New Roman" w:cs="Times New Roman"/>
          <w:sz w:val="28"/>
          <w:szCs w:val="28"/>
        </w:rPr>
        <w:t>東協以及印度都在邁向工業化的過程，無庸置疑</w:t>
      </w:r>
      <w:r w:rsidRPr="00C77E77">
        <w:rPr>
          <w:rFonts w:ascii="Times New Roman" w:eastAsia="標楷體" w:hAnsi="Times New Roman" w:cs="Times New Roman"/>
          <w:sz w:val="28"/>
          <w:szCs w:val="28"/>
        </w:rPr>
        <w:t>皆</w:t>
      </w:r>
      <w:r w:rsidR="003C3DA7" w:rsidRPr="00C77E77">
        <w:rPr>
          <w:rFonts w:ascii="Times New Roman" w:eastAsia="標楷體" w:hAnsi="Times New Roman" w:cs="Times New Roman"/>
          <w:sz w:val="28"/>
          <w:szCs w:val="28"/>
        </w:rPr>
        <w:t>存在</w:t>
      </w:r>
      <w:r w:rsidRPr="00C77E77">
        <w:rPr>
          <w:rFonts w:ascii="Times New Roman" w:eastAsia="標楷體" w:hAnsi="Times New Roman" w:cs="Times New Roman"/>
          <w:sz w:val="28"/>
          <w:szCs w:val="28"/>
        </w:rPr>
        <w:t>商機，但私單位能量有限，只能做到點對點佈局。因此建議政府</w:t>
      </w:r>
      <w:r w:rsidR="003C3DA7" w:rsidRPr="00C77E77">
        <w:rPr>
          <w:rFonts w:ascii="Times New Roman" w:eastAsia="標楷體" w:hAnsi="Times New Roman" w:cs="Times New Roman"/>
          <w:sz w:val="28"/>
          <w:szCs w:val="28"/>
        </w:rPr>
        <w:t>先在臺灣建置一個示範樣版。</w:t>
      </w:r>
      <w:r w:rsidRPr="00C77E77">
        <w:rPr>
          <w:rFonts w:ascii="Times New Roman" w:eastAsia="標楷體" w:hAnsi="Times New Roman" w:cs="Times New Roman"/>
          <w:sz w:val="28"/>
          <w:szCs w:val="28"/>
        </w:rPr>
        <w:t>展示臺灣實力給各國看。再結合眾廠商力量，透過駐外單位或是一個專責單位帶領行銷推廣，到世界各國去做整廠輸出，提高臺灣在國外的整體產業印象及外銷機會，才能夠真正把產業推銷出去。</w:t>
      </w:r>
    </w:p>
    <w:p w:rsidR="003C3DA7" w:rsidRPr="00C77E77" w:rsidRDefault="003C3DA7" w:rsidP="003C3DA7">
      <w:pPr>
        <w:pStyle w:val="ab"/>
        <w:widowControl/>
        <w:spacing w:beforeLines="50" w:before="180" w:afterLines="50" w:after="180" w:line="500" w:lineRule="exact"/>
        <w:ind w:leftChars="0" w:left="426"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舉例來說，在物流方面從貨物進來的電子化紀錄管控，運輸過程運用車載電腦的駕駛、路徑管理，倉儲的環境區域控制，臺灣的廠商都能做，但若要所有流程從頭包到尾，廠商不願意冒如此大的風險對單一計劃投入這麼多。</w:t>
      </w:r>
    </w:p>
    <w:p w:rsidR="00AD47F5" w:rsidRPr="00C77E77" w:rsidRDefault="00AD47F5" w:rsidP="003C3DA7">
      <w:pPr>
        <w:pStyle w:val="ab"/>
        <w:widowControl/>
        <w:spacing w:beforeLines="50" w:before="180" w:afterLines="50" w:after="180" w:line="500" w:lineRule="exact"/>
        <w:ind w:leftChars="0" w:left="426"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此外，</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灣或可善加運用現有資源，例如在智慧城巿方面，臺北、臺中、高雄等曾經取得國際智慧城市發展獎項，包括智慧交通、智慧商務、智慧學習、智慧能源等方面，已完成相當多的建置。可以透過如臺北舉辦「</w:t>
      </w:r>
      <w:r w:rsidRPr="00C77E77">
        <w:rPr>
          <w:rFonts w:ascii="Times New Roman" w:eastAsia="標楷體" w:hAnsi="Times New Roman" w:cs="Times New Roman"/>
          <w:color w:val="000000" w:themeColor="text1"/>
          <w:sz w:val="28"/>
          <w:szCs w:val="28"/>
        </w:rPr>
        <w:t>2016</w:t>
      </w:r>
      <w:r w:rsidRPr="00C77E77">
        <w:rPr>
          <w:rFonts w:ascii="Times New Roman" w:eastAsia="標楷體" w:hAnsi="Times New Roman" w:cs="Times New Roman"/>
          <w:color w:val="000000" w:themeColor="text1"/>
          <w:sz w:val="28"/>
          <w:szCs w:val="28"/>
        </w:rPr>
        <w:t>智慧城市展」之機會，邀請東南亞及印度潛在客戶來臺參展，並安排參訪地方政府的各項政策。</w:t>
      </w:r>
    </w:p>
    <w:p w:rsidR="003C3DA7" w:rsidRPr="00C77E77" w:rsidRDefault="00AD1999" w:rsidP="003C3DA7">
      <w:pPr>
        <w:pStyle w:val="ab"/>
        <w:widowControl/>
        <w:numPr>
          <w:ilvl w:val="1"/>
          <w:numId w:val="4"/>
        </w:numPr>
        <w:spacing w:beforeLines="50" w:before="180" w:afterLines="50" w:after="180" w:line="500" w:lineRule="exact"/>
        <w:ind w:leftChars="0" w:left="426"/>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以降低風險、提昇素質與安全作為推展智慧</w:t>
      </w:r>
      <w:r w:rsidR="003C3DA7" w:rsidRPr="00C77E77">
        <w:rPr>
          <w:rFonts w:ascii="Times New Roman" w:eastAsia="標楷體" w:hAnsi="Times New Roman" w:cs="Times New Roman"/>
          <w:b/>
          <w:color w:val="000000" w:themeColor="text1"/>
          <w:sz w:val="28"/>
          <w:szCs w:val="28"/>
        </w:rPr>
        <w:t>型系統整合技術</w:t>
      </w:r>
      <w:r w:rsidRPr="00C77E77">
        <w:rPr>
          <w:rFonts w:ascii="Times New Roman" w:eastAsia="標楷體" w:hAnsi="Times New Roman" w:cs="Times New Roman"/>
          <w:b/>
          <w:color w:val="000000" w:themeColor="text1"/>
          <w:sz w:val="28"/>
          <w:szCs w:val="28"/>
        </w:rPr>
        <w:t>之</w:t>
      </w:r>
      <w:r w:rsidR="007E611D" w:rsidRPr="00C77E77">
        <w:rPr>
          <w:rFonts w:ascii="Times New Roman" w:eastAsia="標楷體" w:hAnsi="Times New Roman" w:cs="Times New Roman"/>
          <w:b/>
          <w:color w:val="000000" w:themeColor="text1"/>
          <w:sz w:val="28"/>
          <w:szCs w:val="28"/>
        </w:rPr>
        <w:t>訴求</w:t>
      </w:r>
    </w:p>
    <w:p w:rsidR="003C3DA7" w:rsidRPr="00C77E77" w:rsidRDefault="003C3DA7" w:rsidP="003C3DA7">
      <w:pPr>
        <w:pStyle w:val="ab"/>
        <w:widowControl/>
        <w:numPr>
          <w:ilvl w:val="3"/>
          <w:numId w:val="4"/>
        </w:numPr>
        <w:spacing w:beforeLines="50" w:before="180" w:afterLines="50" w:after="180" w:line="500" w:lineRule="exact"/>
        <w:ind w:leftChars="0" w:left="851"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新南向</w:t>
      </w:r>
      <w:r w:rsidR="007E611D" w:rsidRPr="00C77E77">
        <w:rPr>
          <w:rFonts w:ascii="Times New Roman" w:eastAsia="標楷體" w:hAnsi="Times New Roman" w:cs="Times New Roman"/>
          <w:sz w:val="28"/>
          <w:szCs w:val="28"/>
        </w:rPr>
        <w:t>並非</w:t>
      </w:r>
      <w:r w:rsidR="00F218DC" w:rsidRPr="00C77E77">
        <w:rPr>
          <w:rFonts w:ascii="Times New Roman" w:eastAsia="標楷體" w:hAnsi="Times New Roman" w:cs="Times New Roman"/>
          <w:sz w:val="28"/>
          <w:szCs w:val="28"/>
        </w:rPr>
        <w:t>只求對</w:t>
      </w:r>
      <w:r w:rsidR="007E611D" w:rsidRPr="00C77E77">
        <w:rPr>
          <w:rFonts w:ascii="Times New Roman" w:eastAsia="標楷體" w:hAnsi="Times New Roman" w:cs="Times New Roman"/>
          <w:sz w:val="28"/>
          <w:szCs w:val="28"/>
        </w:rPr>
        <w:t>我國經濟有</w:t>
      </w:r>
      <w:r w:rsidRPr="00C77E77">
        <w:rPr>
          <w:rFonts w:ascii="Times New Roman" w:eastAsia="標楷體" w:hAnsi="Times New Roman" w:cs="Times New Roman"/>
          <w:sz w:val="28"/>
          <w:szCs w:val="28"/>
        </w:rPr>
        <w:t>發展，同時也要想到須讓合作的國家得利。</w:t>
      </w:r>
      <w:r w:rsidR="007E611D" w:rsidRPr="00C77E77">
        <w:rPr>
          <w:rFonts w:ascii="Times New Roman" w:eastAsia="標楷體" w:hAnsi="Times New Roman" w:cs="Times New Roman"/>
          <w:sz w:val="28"/>
          <w:szCs w:val="28"/>
        </w:rPr>
        <w:t>東協與印度的人口眾多，在當地推行</w:t>
      </w:r>
      <w:r w:rsidRPr="00C77E77">
        <w:rPr>
          <w:rFonts w:ascii="Times New Roman" w:eastAsia="標楷體" w:hAnsi="Times New Roman" w:cs="Times New Roman"/>
          <w:sz w:val="28"/>
          <w:szCs w:val="28"/>
        </w:rPr>
        <w:t>「智慧」型產業的自動化必須出自於減少出錯、降低危險，而不是取代人工，才</w:t>
      </w:r>
      <w:r w:rsidR="007E611D" w:rsidRPr="00C77E77">
        <w:rPr>
          <w:rFonts w:ascii="Times New Roman" w:eastAsia="標楷體" w:hAnsi="Times New Roman" w:cs="Times New Roman"/>
          <w:sz w:val="28"/>
          <w:szCs w:val="28"/>
        </w:rPr>
        <w:t>不會搶走當地人的工作機會，</w:t>
      </w:r>
      <w:r w:rsidR="00E524DA" w:rsidRPr="00C77E77">
        <w:rPr>
          <w:rFonts w:ascii="Times New Roman" w:eastAsia="標楷體" w:hAnsi="Times New Roman" w:cs="Times New Roman"/>
          <w:sz w:val="28"/>
          <w:szCs w:val="28"/>
        </w:rPr>
        <w:t>臺</w:t>
      </w:r>
      <w:r w:rsidR="00F218DC" w:rsidRPr="00C77E77">
        <w:rPr>
          <w:rFonts w:ascii="Times New Roman" w:eastAsia="標楷體" w:hAnsi="Times New Roman" w:cs="Times New Roman"/>
          <w:sz w:val="28"/>
          <w:szCs w:val="28"/>
        </w:rPr>
        <w:t>灣產業</w:t>
      </w:r>
      <w:r w:rsidR="007E611D" w:rsidRPr="00C77E77">
        <w:rPr>
          <w:rFonts w:ascii="Times New Roman" w:eastAsia="標楷體" w:hAnsi="Times New Roman" w:cs="Times New Roman"/>
          <w:sz w:val="28"/>
          <w:szCs w:val="28"/>
        </w:rPr>
        <w:t>也才</w:t>
      </w:r>
      <w:r w:rsidRPr="00C77E77">
        <w:rPr>
          <w:rFonts w:ascii="Times New Roman" w:eastAsia="標楷體" w:hAnsi="Times New Roman" w:cs="Times New Roman"/>
          <w:sz w:val="28"/>
          <w:szCs w:val="28"/>
        </w:rPr>
        <w:t>有成功</w:t>
      </w:r>
      <w:r w:rsidR="00F218DC" w:rsidRPr="00C77E77">
        <w:rPr>
          <w:rFonts w:ascii="Times New Roman" w:eastAsia="標楷體" w:hAnsi="Times New Roman" w:cs="Times New Roman"/>
          <w:sz w:val="28"/>
          <w:szCs w:val="28"/>
        </w:rPr>
        <w:t>推行</w:t>
      </w:r>
      <w:r w:rsidRPr="00C77E77">
        <w:rPr>
          <w:rFonts w:ascii="Times New Roman" w:eastAsia="標楷體" w:hAnsi="Times New Roman" w:cs="Times New Roman"/>
          <w:sz w:val="28"/>
          <w:szCs w:val="28"/>
        </w:rPr>
        <w:t>的可能。</w:t>
      </w:r>
      <w:r w:rsidR="00F218DC" w:rsidRPr="00C77E77">
        <w:rPr>
          <w:rFonts w:ascii="Times New Roman" w:eastAsia="標楷體" w:hAnsi="Times New Roman" w:cs="Times New Roman"/>
          <w:sz w:val="28"/>
          <w:szCs w:val="28"/>
        </w:rPr>
        <w:t>舉例來說，印度的生產模式非常勞力密集，</w:t>
      </w:r>
      <w:r w:rsidRPr="00C77E77">
        <w:rPr>
          <w:rFonts w:ascii="Times New Roman" w:eastAsia="標楷體" w:hAnsi="Times New Roman" w:cs="Times New Roman"/>
          <w:sz w:val="28"/>
          <w:szCs w:val="28"/>
        </w:rPr>
        <w:t>比起機器設備還要花錢投資購買、保養維修，又常常遇到跳電等情況；採取人工其實是更便宜有效率的方式。</w:t>
      </w:r>
      <w:r w:rsidR="00A9722C" w:rsidRPr="00C77E77">
        <w:rPr>
          <w:rFonts w:ascii="Times New Roman" w:eastAsia="標楷體" w:hAnsi="Times New Roman" w:cs="Times New Roman"/>
          <w:sz w:val="28"/>
          <w:szCs w:val="28"/>
        </w:rPr>
        <w:t>印度的</w:t>
      </w:r>
      <w:r w:rsidRPr="00C77E77">
        <w:rPr>
          <w:rFonts w:ascii="Times New Roman" w:eastAsia="標楷體" w:hAnsi="Times New Roman" w:cs="Times New Roman"/>
          <w:sz w:val="28"/>
          <w:szCs w:val="28"/>
        </w:rPr>
        <w:t>酪農業沒有大型的養牛戶，而是每戶養</w:t>
      </w:r>
      <w:r w:rsidRPr="00C77E77">
        <w:rPr>
          <w:rFonts w:ascii="Times New Roman" w:eastAsia="標楷體" w:hAnsi="Times New Roman" w:cs="Times New Roman"/>
          <w:sz w:val="28"/>
          <w:szCs w:val="28"/>
        </w:rPr>
        <w:t>3</w:t>
      </w:r>
      <w:r w:rsidR="00703088" w:rsidRPr="00C77E77">
        <w:rPr>
          <w:rFonts w:ascii="Times New Roman" w:eastAsia="標楷體" w:hAnsi="Times New Roman" w:cs="Times New Roman"/>
          <w:sz w:val="28"/>
          <w:szCs w:val="28"/>
        </w:rPr>
        <w:t>頭牛，把奶送給中間商，蒐集好了以後再拿到工廠消毒販售。換言之，</w:t>
      </w:r>
      <w:r w:rsidRPr="00C77E77">
        <w:rPr>
          <w:rFonts w:ascii="Times New Roman" w:eastAsia="標楷體" w:hAnsi="Times New Roman" w:cs="Times New Roman"/>
          <w:sz w:val="28"/>
          <w:szCs w:val="28"/>
        </w:rPr>
        <w:t>以人</w:t>
      </w:r>
      <w:r w:rsidR="00A9722C" w:rsidRPr="00C77E77">
        <w:rPr>
          <w:rFonts w:ascii="Times New Roman" w:eastAsia="標楷體" w:hAnsi="Times New Roman" w:cs="Times New Roman"/>
          <w:sz w:val="28"/>
          <w:szCs w:val="28"/>
        </w:rPr>
        <w:t>工來取代機器，只要管理得宜，讓每個作業員都能做好自己分內的工作</w:t>
      </w:r>
      <w:r w:rsidRPr="00C77E77">
        <w:rPr>
          <w:rFonts w:ascii="Times New Roman" w:eastAsia="標楷體" w:hAnsi="Times New Roman" w:cs="Times New Roman"/>
          <w:sz w:val="28"/>
          <w:szCs w:val="28"/>
        </w:rPr>
        <w:t>，那麼生產效率其實不差。</w:t>
      </w:r>
    </w:p>
    <w:p w:rsidR="003C3DA7" w:rsidRPr="00C77E77" w:rsidRDefault="003C3DA7" w:rsidP="003C3DA7">
      <w:pPr>
        <w:pStyle w:val="ab"/>
        <w:widowControl/>
        <w:numPr>
          <w:ilvl w:val="3"/>
          <w:numId w:val="4"/>
        </w:numPr>
        <w:spacing w:beforeLines="50" w:before="180" w:afterLines="50" w:after="180" w:line="500" w:lineRule="exact"/>
        <w:ind w:leftChars="0" w:left="851"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對現階段的東協與印度來說，新南向政策中有關電子收費、電子化政府、智慧城市等「智慧</w:t>
      </w:r>
      <w:r w:rsidR="005F73B0" w:rsidRPr="00C77E77">
        <w:rPr>
          <w:rFonts w:ascii="Times New Roman" w:eastAsia="標楷體" w:hAnsi="Times New Roman" w:cs="Times New Roman"/>
          <w:sz w:val="28"/>
          <w:szCs w:val="28"/>
        </w:rPr>
        <w:t>型</w:t>
      </w:r>
      <w:r w:rsidRPr="00C77E77">
        <w:rPr>
          <w:rFonts w:ascii="Times New Roman" w:eastAsia="標楷體" w:hAnsi="Times New Roman" w:cs="Times New Roman"/>
          <w:sz w:val="28"/>
          <w:szCs w:val="28"/>
        </w:rPr>
        <w:t>」產業，出發點若是用機器取代人力，</w:t>
      </w:r>
      <w:r w:rsidR="005F73B0" w:rsidRPr="00C77E77">
        <w:rPr>
          <w:rFonts w:ascii="Times New Roman" w:eastAsia="標楷體" w:hAnsi="Times New Roman" w:cs="Times New Roman"/>
          <w:sz w:val="28"/>
          <w:szCs w:val="28"/>
        </w:rPr>
        <w:t>將</w:t>
      </w:r>
      <w:r w:rsidRPr="00C77E77">
        <w:rPr>
          <w:rFonts w:ascii="Times New Roman" w:eastAsia="標楷體" w:hAnsi="Times New Roman" w:cs="Times New Roman"/>
          <w:sz w:val="28"/>
          <w:szCs w:val="28"/>
        </w:rPr>
        <w:t>造成員工縮減，</w:t>
      </w:r>
      <w:r w:rsidR="005F73B0" w:rsidRPr="00C77E77">
        <w:rPr>
          <w:rFonts w:ascii="Times New Roman" w:eastAsia="標楷體" w:hAnsi="Times New Roman" w:cs="Times New Roman"/>
          <w:sz w:val="28"/>
          <w:szCs w:val="28"/>
        </w:rPr>
        <w:t>引發當地社會疑慮，非永續經營之道</w:t>
      </w:r>
      <w:r w:rsidRPr="00C77E77">
        <w:rPr>
          <w:rFonts w:ascii="Times New Roman" w:eastAsia="標楷體" w:hAnsi="Times New Roman" w:cs="Times New Roman"/>
          <w:sz w:val="28"/>
          <w:szCs w:val="28"/>
        </w:rPr>
        <w:t>。</w:t>
      </w:r>
    </w:p>
    <w:p w:rsidR="003C3DA7" w:rsidRPr="00C77E77" w:rsidRDefault="003C3DA7" w:rsidP="003C3DA7">
      <w:pPr>
        <w:pStyle w:val="ab"/>
        <w:widowControl/>
        <w:numPr>
          <w:ilvl w:val="3"/>
          <w:numId w:val="4"/>
        </w:numPr>
        <w:spacing w:beforeLines="50" w:before="180" w:afterLines="50" w:after="180" w:line="500" w:lineRule="exact"/>
        <w:ind w:leftChars="0" w:left="851"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例如</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來到印度，就會造成印度的失業問題，未必是印度政府所樂見者。印度未解決就業問題前，不會全面地電子化（智慧化）、去人工化。也許可以從小的城市開始著手嘗試智慧校園、智慧醫療等產業，再一步步推到其他地區。</w:t>
      </w:r>
    </w:p>
    <w:p w:rsidR="003C3DA7" w:rsidRPr="00C77E77" w:rsidRDefault="003C3DA7" w:rsidP="003C3DA7">
      <w:pPr>
        <w:pStyle w:val="ab"/>
        <w:widowControl/>
        <w:numPr>
          <w:ilvl w:val="1"/>
          <w:numId w:val="4"/>
        </w:numPr>
        <w:spacing w:beforeLines="50" w:before="180" w:afterLines="50" w:after="180" w:line="500" w:lineRule="exact"/>
        <w:ind w:leftChars="0" w:left="426"/>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聚焦建立一些成功的大型應用案例與亮點。</w:t>
      </w:r>
    </w:p>
    <w:p w:rsidR="003C3DA7" w:rsidRPr="00C77E77" w:rsidRDefault="003C3DA7" w:rsidP="003C3DA7">
      <w:pPr>
        <w:pStyle w:val="ab"/>
        <w:widowControl/>
        <w:numPr>
          <w:ilvl w:val="3"/>
          <w:numId w:val="4"/>
        </w:numPr>
        <w:spacing w:beforeLines="50" w:before="180" w:afterLines="50" w:after="180" w:line="500" w:lineRule="exact"/>
        <w:ind w:leftChars="0" w:left="960" w:hanging="393"/>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這幾年來，因為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灣政策多頭、多變，加上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灣的投資重要性逐漸降低，導致南向國家的政府已經失去對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灣的信任。政府應該要對內凝聚共識、對外展現決心，</w:t>
      </w:r>
      <w:r w:rsidR="002C228B" w:rsidRPr="00C77E77">
        <w:rPr>
          <w:rFonts w:ascii="Times New Roman" w:eastAsia="標楷體" w:hAnsi="Times New Roman" w:cs="Times New Roman"/>
          <w:sz w:val="28"/>
          <w:szCs w:val="28"/>
        </w:rPr>
        <w:t>先集中力量培養幾個大的產業，才能讓南向國家產生印象、建立信賴感</w:t>
      </w:r>
      <w:r w:rsidRPr="00C77E77">
        <w:rPr>
          <w:rFonts w:ascii="Times New Roman" w:eastAsia="標楷體" w:hAnsi="Times New Roman" w:cs="Times New Roman"/>
          <w:sz w:val="28"/>
          <w:szCs w:val="28"/>
        </w:rPr>
        <w:t>。</w:t>
      </w:r>
    </w:p>
    <w:p w:rsidR="003C3DA7" w:rsidRPr="00C77E77" w:rsidRDefault="003C3DA7" w:rsidP="003C3DA7">
      <w:pPr>
        <w:pStyle w:val="ab"/>
        <w:widowControl/>
        <w:numPr>
          <w:ilvl w:val="3"/>
          <w:numId w:val="4"/>
        </w:numPr>
        <w:spacing w:beforeLines="50" w:before="180" w:afterLines="50" w:after="180" w:line="500" w:lineRule="exact"/>
        <w:ind w:leftChars="0" w:left="960" w:hanging="393"/>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政府在推動的新南向政策、「</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」產業，整體看來不夠聚焦，策略意涵也不夠淺顯易懂。「</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」產業是找國內有潛力的廠商往外發展，但是這些有「能力」的廠商「意願」如何？尚不得而知。此外，</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產業和海外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商的製造業特質與強項呈現落差。「十大系統」整合找不到每個系統的頭去整合、推到國外。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灣如果沒有夠份量的業者出來，就要試著跟當地業者合作，因為本地人比較容易拿到標案。</w:t>
      </w:r>
    </w:p>
    <w:p w:rsidR="003C3DA7" w:rsidRPr="00C77E77" w:rsidRDefault="00FD0D5A" w:rsidP="003C3DA7">
      <w:pPr>
        <w:pStyle w:val="ab"/>
        <w:widowControl/>
        <w:numPr>
          <w:ilvl w:val="3"/>
          <w:numId w:val="4"/>
        </w:numPr>
        <w:spacing w:beforeLines="50" w:before="180" w:afterLines="50" w:after="180" w:line="500" w:lineRule="exact"/>
        <w:ind w:leftChars="0" w:left="960" w:hanging="393"/>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灣有強大的</w:t>
      </w:r>
      <w:r w:rsidR="003C3DA7" w:rsidRPr="00C77E77">
        <w:rPr>
          <w:rFonts w:ascii="Times New Roman" w:eastAsia="標楷體" w:hAnsi="Times New Roman" w:cs="Times New Roman"/>
          <w:sz w:val="28"/>
          <w:szCs w:val="28"/>
        </w:rPr>
        <w:t>ICT</w:t>
      </w:r>
      <w:r w:rsidR="002C228B" w:rsidRPr="00C77E77">
        <w:rPr>
          <w:rFonts w:ascii="Times New Roman" w:eastAsia="標楷體" w:hAnsi="Times New Roman" w:cs="Times New Roman"/>
          <w:sz w:val="28"/>
          <w:szCs w:val="28"/>
        </w:rPr>
        <w:t>能力，許多大型系統公司，如神通、凌羣等，有實</w:t>
      </w:r>
      <w:r w:rsidR="003C3DA7" w:rsidRPr="00C77E77">
        <w:rPr>
          <w:rFonts w:ascii="Times New Roman" w:eastAsia="標楷體" w:hAnsi="Times New Roman" w:cs="Times New Roman"/>
          <w:sz w:val="28"/>
          <w:szCs w:val="28"/>
        </w:rPr>
        <w:t>力</w:t>
      </w:r>
      <w:r w:rsidR="002C228B" w:rsidRPr="00C77E77">
        <w:rPr>
          <w:rFonts w:ascii="Times New Roman" w:eastAsia="標楷體" w:hAnsi="Times New Roman" w:cs="Times New Roman"/>
          <w:sz w:val="28"/>
          <w:szCs w:val="28"/>
        </w:rPr>
        <w:t>可協助</w:t>
      </w:r>
      <w:r w:rsidR="003C3DA7" w:rsidRPr="00C77E77">
        <w:rPr>
          <w:rFonts w:ascii="Times New Roman" w:eastAsia="標楷體" w:hAnsi="Times New Roman" w:cs="Times New Roman"/>
          <w:sz w:val="28"/>
          <w:szCs w:val="28"/>
        </w:rPr>
        <w:t>南進目標市場</w:t>
      </w:r>
      <w:r w:rsidR="002C228B" w:rsidRPr="00C77E77">
        <w:rPr>
          <w:rFonts w:ascii="Times New Roman" w:eastAsia="標楷體" w:hAnsi="Times New Roman" w:cs="Times New Roman"/>
          <w:sz w:val="28"/>
          <w:szCs w:val="28"/>
        </w:rPr>
        <w:t>，尤其是柬緬寮等發展較為落後的</w:t>
      </w:r>
      <w:r w:rsidR="003C3DA7" w:rsidRPr="00C77E77">
        <w:rPr>
          <w:rFonts w:ascii="Times New Roman" w:eastAsia="標楷體" w:hAnsi="Times New Roman" w:cs="Times New Roman"/>
          <w:sz w:val="28"/>
          <w:szCs w:val="28"/>
        </w:rPr>
        <w:t>國</w:t>
      </w:r>
      <w:r w:rsidR="002C228B" w:rsidRPr="00C77E77">
        <w:rPr>
          <w:rFonts w:ascii="Times New Roman" w:eastAsia="標楷體" w:hAnsi="Times New Roman" w:cs="Times New Roman"/>
          <w:sz w:val="28"/>
          <w:szCs w:val="28"/>
        </w:rPr>
        <w:t>家</w:t>
      </w:r>
      <w:r w:rsidR="003C3DA7" w:rsidRPr="00C77E77">
        <w:rPr>
          <w:rFonts w:ascii="Times New Roman" w:eastAsia="標楷體" w:hAnsi="Times New Roman" w:cs="Times New Roman"/>
          <w:sz w:val="28"/>
          <w:szCs w:val="28"/>
        </w:rPr>
        <w:t>建立中央銀行、交易所等大型應用</w:t>
      </w:r>
      <w:r w:rsidR="002C228B" w:rsidRPr="00C77E77">
        <w:rPr>
          <w:rFonts w:ascii="Times New Roman" w:eastAsia="標楷體" w:hAnsi="Times New Roman" w:cs="Times New Roman"/>
          <w:sz w:val="28"/>
          <w:szCs w:val="28"/>
        </w:rPr>
        <w:t>機構</w:t>
      </w:r>
      <w:r w:rsidR="003C3DA7" w:rsidRPr="00C77E77">
        <w:rPr>
          <w:rFonts w:ascii="Times New Roman" w:eastAsia="標楷體" w:hAnsi="Times New Roman" w:cs="Times New Roman"/>
          <w:sz w:val="28"/>
          <w:szCs w:val="28"/>
        </w:rPr>
        <w:t>。</w:t>
      </w:r>
      <w:r w:rsidR="002C228B" w:rsidRPr="00C77E77">
        <w:rPr>
          <w:rFonts w:ascii="Times New Roman" w:eastAsia="標楷體" w:hAnsi="Times New Roman" w:cs="Times New Roman"/>
          <w:sz w:val="28"/>
          <w:szCs w:val="28"/>
        </w:rPr>
        <w:t>因此</w:t>
      </w: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灣</w:t>
      </w:r>
      <w:r w:rsidR="002C228B" w:rsidRPr="00C77E77">
        <w:rPr>
          <w:rFonts w:ascii="Times New Roman" w:eastAsia="標楷體" w:hAnsi="Times New Roman" w:cs="Times New Roman"/>
          <w:sz w:val="28"/>
          <w:szCs w:val="28"/>
        </w:rPr>
        <w:t>必須</w:t>
      </w:r>
      <w:r w:rsidR="003C3DA7" w:rsidRPr="00C77E77">
        <w:rPr>
          <w:rFonts w:ascii="Times New Roman" w:eastAsia="標楷體" w:hAnsi="Times New Roman" w:cs="Times New Roman"/>
          <w:sz w:val="28"/>
          <w:szCs w:val="28"/>
        </w:rPr>
        <w:t>從聚焦、建立一個</w:t>
      </w: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灣品牌做起，才能打入內需市場。</w:t>
      </w:r>
    </w:p>
    <w:p w:rsidR="003C3DA7" w:rsidRPr="00C77E77" w:rsidRDefault="003C3DA7" w:rsidP="003C3DA7">
      <w:pPr>
        <w:pStyle w:val="ab"/>
        <w:widowControl/>
        <w:numPr>
          <w:ilvl w:val="1"/>
          <w:numId w:val="4"/>
        </w:numPr>
        <w:spacing w:beforeLines="50" w:before="180" w:afterLines="50" w:after="180" w:line="500" w:lineRule="exact"/>
        <w:ind w:leftChars="0" w:left="426"/>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適度法規鬆綁</w:t>
      </w:r>
    </w:p>
    <w:p w:rsidR="003C3DA7" w:rsidRPr="00C77E77" w:rsidRDefault="003C3DA7" w:rsidP="003C3DA7">
      <w:pPr>
        <w:widowControl/>
        <w:spacing w:beforeLines="50" w:before="180" w:afterLines="50" w:after="180" w:line="500" w:lineRule="exact"/>
        <w:ind w:left="426"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政府應要完善中小企業多</w:t>
      </w:r>
      <w:r w:rsidR="00617860" w:rsidRPr="00C77E77">
        <w:rPr>
          <w:rFonts w:ascii="Times New Roman" w:eastAsia="標楷體" w:hAnsi="Times New Roman" w:cs="Times New Roman"/>
          <w:sz w:val="28"/>
          <w:szCs w:val="28"/>
        </w:rPr>
        <w:t>元融資管道，除了現有的信保機制，應發展更多元化的籌資、融</w:t>
      </w:r>
      <w:r w:rsidR="00617860" w:rsidRPr="00C77E77">
        <w:rPr>
          <w:rFonts w:ascii="Times New Roman" w:eastAsia="標楷體" w:hAnsi="Times New Roman" w:cs="Times New Roman"/>
          <w:color w:val="000000" w:themeColor="text1"/>
          <w:sz w:val="28"/>
          <w:szCs w:val="28"/>
        </w:rPr>
        <w:t>資工具</w:t>
      </w:r>
      <w:r w:rsidRPr="00C77E77">
        <w:rPr>
          <w:rFonts w:ascii="Times New Roman" w:eastAsia="標楷體" w:hAnsi="Times New Roman" w:cs="Times New Roman"/>
          <w:color w:val="000000" w:themeColor="text1"/>
          <w:sz w:val="28"/>
          <w:szCs w:val="28"/>
        </w:rPr>
        <w:t>，</w:t>
      </w:r>
      <w:r w:rsidR="00E17E95" w:rsidRPr="00C77E77">
        <w:rPr>
          <w:rFonts w:ascii="Times New Roman" w:eastAsia="標楷體" w:hAnsi="Times New Roman" w:cs="Times New Roman"/>
          <w:color w:val="000000" w:themeColor="text1"/>
          <w:sz w:val="28"/>
          <w:szCs w:val="28"/>
        </w:rPr>
        <w:t>亦可考量以租賃方式解決中小企業資金需</w:t>
      </w:r>
      <w:r w:rsidR="00E17E95" w:rsidRPr="00C77E77">
        <w:rPr>
          <w:rFonts w:ascii="Times New Roman" w:eastAsia="標楷體" w:hAnsi="Times New Roman" w:cs="Times New Roman"/>
          <w:color w:val="000000" w:themeColor="text1"/>
          <w:sz w:val="28"/>
          <w:szCs w:val="28"/>
        </w:rPr>
        <w:lastRenderedPageBreak/>
        <w:t>求，</w:t>
      </w:r>
      <w:r w:rsidRPr="00C77E77">
        <w:rPr>
          <w:rFonts w:ascii="Times New Roman" w:eastAsia="標楷體" w:hAnsi="Times New Roman" w:cs="Times New Roman"/>
          <w:color w:val="000000" w:themeColor="text1"/>
          <w:sz w:val="28"/>
          <w:szCs w:val="28"/>
        </w:rPr>
        <w:t>並且扶植新創公司，</w:t>
      </w:r>
      <w:r w:rsidR="00617860" w:rsidRPr="00C77E77">
        <w:rPr>
          <w:rFonts w:ascii="Times New Roman" w:eastAsia="標楷體" w:hAnsi="Times New Roman" w:cs="Times New Roman"/>
          <w:color w:val="000000" w:themeColor="text1"/>
          <w:sz w:val="28"/>
          <w:szCs w:val="28"/>
        </w:rPr>
        <w:t>以</w:t>
      </w:r>
      <w:r w:rsidRPr="00C77E77">
        <w:rPr>
          <w:rFonts w:ascii="Times New Roman" w:eastAsia="標楷體" w:hAnsi="Times New Roman" w:cs="Times New Roman"/>
          <w:color w:val="000000" w:themeColor="text1"/>
          <w:sz w:val="28"/>
          <w:szCs w:val="28"/>
        </w:rPr>
        <w:t>跟上新興商業模式。臺灣</w:t>
      </w:r>
      <w:r w:rsidRPr="00C77E77">
        <w:rPr>
          <w:rFonts w:ascii="Times New Roman" w:eastAsia="標楷體" w:hAnsi="Times New Roman" w:cs="Times New Roman"/>
          <w:color w:val="000000" w:themeColor="text1"/>
          <w:sz w:val="28"/>
          <w:szCs w:val="28"/>
        </w:rPr>
        <w:t>ICT</w:t>
      </w:r>
      <w:r w:rsidRPr="00C77E77">
        <w:rPr>
          <w:rFonts w:ascii="Times New Roman" w:eastAsia="標楷體" w:hAnsi="Times New Roman" w:cs="Times New Roman"/>
          <w:color w:val="000000" w:themeColor="text1"/>
          <w:sz w:val="28"/>
          <w:szCs w:val="28"/>
        </w:rPr>
        <w:t>產業實力堅強，政府扶植中小企</w:t>
      </w:r>
      <w:r w:rsidRPr="00C77E77">
        <w:rPr>
          <w:rFonts w:ascii="Times New Roman" w:eastAsia="標楷體" w:hAnsi="Times New Roman" w:cs="Times New Roman"/>
          <w:sz w:val="28"/>
          <w:szCs w:val="28"/>
        </w:rPr>
        <w:t>業的經驗豐富，十分適合發展創新產業。政府亦應思考整合中小企業，集中資源投資一、二個優勢產業，打造專屬於臺灣的</w:t>
      </w:r>
      <w:r w:rsidRPr="00C77E77">
        <w:rPr>
          <w:rFonts w:ascii="Times New Roman" w:eastAsia="標楷體" w:hAnsi="Times New Roman" w:cs="Times New Roman"/>
          <w:sz w:val="28"/>
          <w:szCs w:val="28"/>
        </w:rPr>
        <w:t>TW</w:t>
      </w:r>
      <w:r w:rsidRPr="00C77E77">
        <w:rPr>
          <w:rFonts w:ascii="Times New Roman" w:eastAsia="標楷體" w:hAnsi="Times New Roman" w:cs="Times New Roman"/>
          <w:sz w:val="28"/>
          <w:szCs w:val="28"/>
        </w:rPr>
        <w:t>供應鏈。</w:t>
      </w:r>
    </w:p>
    <w:p w:rsidR="003C3DA7" w:rsidRPr="00C77E77" w:rsidRDefault="003C3DA7" w:rsidP="0001327A">
      <w:pPr>
        <w:pStyle w:val="ab"/>
        <w:widowControl/>
        <w:numPr>
          <w:ilvl w:val="0"/>
          <w:numId w:val="124"/>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針對資源整合之建議</w:t>
      </w:r>
    </w:p>
    <w:p w:rsidR="003C3DA7" w:rsidRPr="00C77E77" w:rsidRDefault="003C3DA7" w:rsidP="0001327A">
      <w:pPr>
        <w:pStyle w:val="ab"/>
        <w:widowControl/>
        <w:numPr>
          <w:ilvl w:val="0"/>
          <w:numId w:val="125"/>
        </w:numPr>
        <w:spacing w:beforeLines="50" w:before="180" w:afterLines="50" w:after="180" w:line="500" w:lineRule="exact"/>
        <w:ind w:leftChars="0" w:left="426"/>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駐外單位調整之建議</w:t>
      </w:r>
    </w:p>
    <w:p w:rsidR="00A313D3" w:rsidRPr="00C77E77" w:rsidRDefault="003C3DA7" w:rsidP="0001327A">
      <w:pPr>
        <w:pStyle w:val="ab"/>
        <w:widowControl/>
        <w:numPr>
          <w:ilvl w:val="0"/>
          <w:numId w:val="126"/>
        </w:numPr>
        <w:spacing w:beforeLines="50" w:before="180" w:afterLines="50" w:after="180" w:line="500" w:lineRule="exact"/>
        <w:ind w:leftChars="0" w:left="709"/>
        <w:jc w:val="both"/>
        <w:rPr>
          <w:rFonts w:ascii="Times New Roman" w:eastAsia="標楷體" w:hAnsi="Times New Roman" w:cs="Times New Roman"/>
          <w:color w:val="FF0000"/>
          <w:sz w:val="28"/>
          <w:szCs w:val="28"/>
        </w:rPr>
      </w:pPr>
      <w:r w:rsidRPr="00C77E77">
        <w:rPr>
          <w:rFonts w:ascii="Times New Roman" w:eastAsia="標楷體" w:hAnsi="Times New Roman" w:cs="Times New Roman"/>
          <w:sz w:val="28"/>
          <w:szCs w:val="28"/>
        </w:rPr>
        <w:t>讓駐外的外館有協助廠商行銷的經費與責任。外館目前最大的問題是職責分配不清，造成推展貿易、幫助廠商的功能並未發展順利。可透過行政院院長指示、行政命令執行調整，明確賦予外館海外拓銷的責任</w:t>
      </w:r>
      <w:r w:rsidRPr="00C77E77">
        <w:rPr>
          <w:rFonts w:ascii="Times New Roman" w:eastAsia="標楷體" w:hAnsi="Times New Roman" w:cs="Times New Roman"/>
          <w:sz w:val="28"/>
          <w:szCs w:val="28"/>
        </w:rPr>
        <w:t>KPI</w:t>
      </w:r>
      <w:r w:rsidRPr="00C77E77">
        <w:rPr>
          <w:rFonts w:ascii="Times New Roman" w:eastAsia="標楷體" w:hAnsi="Times New Roman" w:cs="Times New Roman"/>
          <w:sz w:val="28"/>
          <w:szCs w:val="28"/>
        </w:rPr>
        <w:t>。目前經濟組設一個組長、三個秘書，作所有的事情，且幾乎都是在辦公室的文書工作。應該在秘書下面配一到兩個當地人，協助蒐集資料，才能徹底了解當地的情況。</w:t>
      </w:r>
    </w:p>
    <w:p w:rsidR="003C3DA7" w:rsidRPr="00C77E77" w:rsidRDefault="009351CF" w:rsidP="0001327A">
      <w:pPr>
        <w:pStyle w:val="ab"/>
        <w:widowControl/>
        <w:numPr>
          <w:ilvl w:val="0"/>
          <w:numId w:val="126"/>
        </w:numPr>
        <w:spacing w:beforeLines="50" w:before="180" w:afterLines="50" w:after="180" w:line="500" w:lineRule="exact"/>
        <w:ind w:leftChars="0" w:left="709"/>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調整</w:t>
      </w:r>
      <w:r w:rsidR="003C3DA7" w:rsidRPr="00C77E77">
        <w:rPr>
          <w:rFonts w:ascii="Times New Roman" w:eastAsia="標楷體" w:hAnsi="Times New Roman" w:cs="Times New Roman"/>
          <w:color w:val="000000" w:themeColor="text1"/>
          <w:sz w:val="28"/>
          <w:szCs w:val="28"/>
        </w:rPr>
        <w:t>外貿協會</w:t>
      </w:r>
      <w:r w:rsidRPr="00C77E77">
        <w:rPr>
          <w:rFonts w:ascii="Times New Roman" w:eastAsia="標楷體" w:hAnsi="Times New Roman" w:cs="Times New Roman"/>
          <w:color w:val="000000" w:themeColor="text1"/>
          <w:sz w:val="28"/>
          <w:szCs w:val="28"/>
        </w:rPr>
        <w:t>的工作重點</w:t>
      </w:r>
      <w:r w:rsidR="003C3DA7" w:rsidRPr="00C77E77">
        <w:rPr>
          <w:rFonts w:ascii="Times New Roman" w:eastAsia="標楷體" w:hAnsi="Times New Roman" w:cs="Times New Roman"/>
          <w:color w:val="000000" w:themeColor="text1"/>
          <w:sz w:val="28"/>
          <w:szCs w:val="28"/>
        </w:rPr>
        <w:t>。</w:t>
      </w:r>
      <w:r w:rsidR="00F51AD4" w:rsidRPr="00C77E77">
        <w:rPr>
          <w:rFonts w:ascii="Times New Roman" w:eastAsia="標楷體" w:hAnsi="Times New Roman" w:cs="Times New Roman"/>
          <w:color w:val="000000" w:themeColor="text1"/>
          <w:sz w:val="28"/>
          <w:szCs w:val="28"/>
        </w:rPr>
        <w:t>國貿</w:t>
      </w:r>
      <w:r w:rsidRPr="00C77E77">
        <w:rPr>
          <w:rFonts w:ascii="Times New Roman" w:eastAsia="標楷體" w:hAnsi="Times New Roman" w:cs="Times New Roman"/>
          <w:color w:val="000000" w:themeColor="text1"/>
          <w:sz w:val="28"/>
          <w:szCs w:val="28"/>
        </w:rPr>
        <w:t>局的「優質平價」等方案</w:t>
      </w:r>
      <w:r w:rsidR="00B12CC8" w:rsidRPr="00C77E77">
        <w:rPr>
          <w:rFonts w:ascii="Times New Roman" w:eastAsia="標楷體" w:hAnsi="Times New Roman" w:cs="Times New Roman"/>
          <w:color w:val="000000" w:themeColor="text1"/>
          <w:sz w:val="28"/>
          <w:szCs w:val="28"/>
        </w:rPr>
        <w:t>已挹注貿協拓銷</w:t>
      </w:r>
      <w:r w:rsidR="00E524DA" w:rsidRPr="00C77E77">
        <w:rPr>
          <w:rFonts w:ascii="Times New Roman" w:eastAsia="標楷體" w:hAnsi="Times New Roman" w:cs="Times New Roman"/>
          <w:color w:val="000000" w:themeColor="text1"/>
          <w:sz w:val="28"/>
          <w:szCs w:val="28"/>
        </w:rPr>
        <w:t>臺</w:t>
      </w:r>
      <w:r w:rsidR="00B12CC8" w:rsidRPr="00C77E77">
        <w:rPr>
          <w:rFonts w:ascii="Times New Roman" w:eastAsia="標楷體" w:hAnsi="Times New Roman" w:cs="Times New Roman"/>
          <w:color w:val="000000" w:themeColor="text1"/>
          <w:sz w:val="28"/>
          <w:szCs w:val="28"/>
        </w:rPr>
        <w:t>灣精品的經費與資源，建議</w:t>
      </w:r>
      <w:r w:rsidR="00A313D3" w:rsidRPr="00C77E77">
        <w:rPr>
          <w:rFonts w:ascii="Times New Roman" w:eastAsia="標楷體" w:hAnsi="Times New Roman" w:cs="Times New Roman"/>
          <w:color w:val="000000" w:themeColor="text1"/>
          <w:sz w:val="28"/>
          <w:szCs w:val="28"/>
        </w:rPr>
        <w:t>貿協不需再提供一般性的總體經貿商情資訊，而是更深入的蒐集廠商所需之資訊，如當地的法令規章、有何潛在合作夥伴等。</w:t>
      </w:r>
    </w:p>
    <w:p w:rsidR="003C3DA7" w:rsidRPr="00C77E77" w:rsidRDefault="003C3DA7" w:rsidP="0001327A">
      <w:pPr>
        <w:pStyle w:val="ab"/>
        <w:widowControl/>
        <w:numPr>
          <w:ilvl w:val="0"/>
          <w:numId w:val="126"/>
        </w:numPr>
        <w:spacing w:beforeLines="50" w:before="180" w:afterLines="50" w:after="180" w:line="500" w:lineRule="exact"/>
        <w:ind w:leftChars="0" w:left="851"/>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建議在當地另外設立一個權責機構「南向辦公室分部」，並成立統一的新聞中心。爭取在</w:t>
      </w:r>
      <w:r w:rsidR="00F51AD4" w:rsidRPr="00C77E77">
        <w:rPr>
          <w:rFonts w:ascii="Times New Roman" w:eastAsia="標楷體" w:hAnsi="Times New Roman" w:cs="Times New Roman"/>
          <w:sz w:val="28"/>
          <w:szCs w:val="28"/>
        </w:rPr>
        <w:t>各國</w:t>
      </w:r>
      <w:r w:rsidRPr="00C77E77">
        <w:rPr>
          <w:rFonts w:ascii="Times New Roman" w:eastAsia="標楷體" w:hAnsi="Times New Roman" w:cs="Times New Roman"/>
          <w:sz w:val="28"/>
          <w:szCs w:val="28"/>
        </w:rPr>
        <w:t>媒體的曝光機會，包裝行銷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灣在當地的善行跟義舉；並深入瞭解海外的法規，協助</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商處理問題。</w:t>
      </w:r>
    </w:p>
    <w:p w:rsidR="003C3DA7" w:rsidRPr="00C77E77" w:rsidRDefault="003C3DA7" w:rsidP="0001327A">
      <w:pPr>
        <w:pStyle w:val="ab"/>
        <w:widowControl/>
        <w:numPr>
          <w:ilvl w:val="0"/>
          <w:numId w:val="125"/>
        </w:numPr>
        <w:spacing w:beforeLines="50" w:before="180" w:afterLines="50" w:after="180" w:line="500" w:lineRule="exact"/>
        <w:ind w:leftChars="0" w:left="567" w:hanging="513"/>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消除各種關稅、非關稅障礙</w:t>
      </w:r>
    </w:p>
    <w:p w:rsidR="008B63D4" w:rsidRPr="00C77E77" w:rsidRDefault="00A81D37" w:rsidP="003C3DA7">
      <w:pPr>
        <w:widowControl/>
        <w:spacing w:beforeLines="50" w:before="180" w:afterLines="50" w:after="180" w:line="500" w:lineRule="exact"/>
        <w:ind w:left="567"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目前</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灣仍暫時被排除在區域經貿協定之外，各種有關稅減讓、原產地規則、關務程序、貿易便捷化、非關稅障礙等議題，會逐步衝擊</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灣產業。若自</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灣出口的產品要被課以較高的關稅，除會降低外商投資</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灣生產的意願，更恐造成國內產業加速外移。</w:t>
      </w:r>
    </w:p>
    <w:p w:rsidR="003C3DA7" w:rsidRPr="00C77E77" w:rsidRDefault="00A81D37" w:rsidP="003C3DA7">
      <w:pPr>
        <w:widowControl/>
        <w:spacing w:beforeLines="50" w:before="180" w:afterLines="50" w:after="180" w:line="500" w:lineRule="exact"/>
        <w:ind w:left="567"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政府</w:t>
      </w:r>
      <w:r w:rsidR="008B63D4" w:rsidRPr="00C77E77">
        <w:rPr>
          <w:rFonts w:ascii="Times New Roman" w:eastAsia="標楷體" w:hAnsi="Times New Roman" w:cs="Times New Roman"/>
          <w:color w:val="000000" w:themeColor="text1"/>
          <w:sz w:val="28"/>
          <w:szCs w:val="28"/>
        </w:rPr>
        <w:t>除應積極消除各種關稅、非關稅障礙</w:t>
      </w:r>
      <w:r w:rsidR="001710F6" w:rsidRPr="00C77E77">
        <w:rPr>
          <w:rFonts w:ascii="Times New Roman" w:eastAsia="標楷體" w:hAnsi="Times New Roman" w:cs="Times New Roman"/>
          <w:color w:val="000000" w:themeColor="text1"/>
          <w:sz w:val="28"/>
          <w:szCs w:val="28"/>
        </w:rPr>
        <w:t>外</w:t>
      </w:r>
      <w:r w:rsidR="008B63D4" w:rsidRPr="00C77E77">
        <w:rPr>
          <w:rFonts w:ascii="Times New Roman" w:eastAsia="標楷體" w:hAnsi="Times New Roman" w:cs="Times New Roman"/>
          <w:color w:val="000000" w:themeColor="text1"/>
          <w:sz w:val="28"/>
          <w:szCs w:val="28"/>
        </w:rPr>
        <w:t>，若關稅問題無法解決的情況下，</w:t>
      </w:r>
      <w:r w:rsidRPr="00C77E77">
        <w:rPr>
          <w:rFonts w:ascii="Times New Roman" w:eastAsia="標楷體" w:hAnsi="Times New Roman" w:cs="Times New Roman"/>
          <w:color w:val="000000" w:themeColor="text1"/>
          <w:sz w:val="28"/>
          <w:szCs w:val="28"/>
        </w:rPr>
        <w:t>應針對不同產業發展的需求條件，</w:t>
      </w:r>
      <w:r w:rsidR="008B63D4" w:rsidRPr="00C77E77">
        <w:rPr>
          <w:rFonts w:ascii="Times New Roman" w:eastAsia="標楷體" w:hAnsi="Times New Roman" w:cs="Times New Roman"/>
          <w:color w:val="000000" w:themeColor="text1"/>
          <w:sz w:val="28"/>
          <w:szCs w:val="28"/>
        </w:rPr>
        <w:t>盡量</w:t>
      </w:r>
      <w:r w:rsidRPr="00C77E77">
        <w:rPr>
          <w:rFonts w:ascii="Times New Roman" w:eastAsia="標楷體" w:hAnsi="Times New Roman" w:cs="Times New Roman"/>
          <w:color w:val="000000" w:themeColor="text1"/>
          <w:sz w:val="28"/>
          <w:szCs w:val="28"/>
        </w:rPr>
        <w:t>讓每個產業的標準能</w:t>
      </w:r>
      <w:r w:rsidR="008B63D4" w:rsidRPr="00C77E77">
        <w:rPr>
          <w:rFonts w:ascii="Times New Roman" w:eastAsia="標楷體" w:hAnsi="Times New Roman" w:cs="Times New Roman"/>
          <w:color w:val="000000" w:themeColor="text1"/>
          <w:sz w:val="28"/>
          <w:szCs w:val="28"/>
        </w:rPr>
        <w:t>夠</w:t>
      </w:r>
      <w:r w:rsidRPr="00C77E77">
        <w:rPr>
          <w:rFonts w:ascii="Times New Roman" w:eastAsia="標楷體" w:hAnsi="Times New Roman" w:cs="Times New Roman"/>
          <w:color w:val="000000" w:themeColor="text1"/>
          <w:sz w:val="28"/>
          <w:szCs w:val="28"/>
        </w:rPr>
        <w:t>跟國際接軌</w:t>
      </w:r>
      <w:r w:rsidR="005C065F" w:rsidRPr="00C77E77">
        <w:rPr>
          <w:rFonts w:ascii="Times New Roman" w:eastAsia="標楷體" w:hAnsi="Times New Roman" w:cs="Times New Roman"/>
          <w:color w:val="000000" w:themeColor="text1"/>
          <w:sz w:val="28"/>
          <w:szCs w:val="28"/>
        </w:rPr>
        <w:t>。透過取得國際認驗證，生產高品質的產品，</w:t>
      </w:r>
      <w:r w:rsidR="001710F6" w:rsidRPr="00C77E77">
        <w:rPr>
          <w:rFonts w:ascii="Times New Roman" w:eastAsia="標楷體" w:hAnsi="Times New Roman" w:cs="Times New Roman"/>
          <w:color w:val="000000" w:themeColor="text1"/>
          <w:sz w:val="28"/>
          <w:szCs w:val="28"/>
        </w:rPr>
        <w:t>提升</w:t>
      </w:r>
      <w:r w:rsidR="00E524DA" w:rsidRPr="00C77E77">
        <w:rPr>
          <w:rFonts w:ascii="Times New Roman" w:eastAsia="標楷體" w:hAnsi="Times New Roman" w:cs="Times New Roman"/>
          <w:color w:val="000000" w:themeColor="text1"/>
          <w:sz w:val="28"/>
          <w:szCs w:val="28"/>
        </w:rPr>
        <w:t>臺</w:t>
      </w:r>
      <w:r w:rsidR="001710F6" w:rsidRPr="00C77E77">
        <w:rPr>
          <w:rFonts w:ascii="Times New Roman" w:eastAsia="標楷體" w:hAnsi="Times New Roman" w:cs="Times New Roman"/>
          <w:color w:val="000000" w:themeColor="text1"/>
          <w:sz w:val="28"/>
          <w:szCs w:val="28"/>
        </w:rPr>
        <w:t>灣產業的競爭力</w:t>
      </w:r>
      <w:r w:rsidR="008B63D4" w:rsidRPr="00C77E77">
        <w:rPr>
          <w:rFonts w:ascii="Times New Roman" w:eastAsia="標楷體" w:hAnsi="Times New Roman" w:cs="Times New Roman"/>
          <w:color w:val="000000" w:themeColor="text1"/>
          <w:sz w:val="28"/>
          <w:szCs w:val="28"/>
        </w:rPr>
        <w:t>。同時</w:t>
      </w:r>
      <w:r w:rsidR="001710F6" w:rsidRPr="00C77E77">
        <w:rPr>
          <w:rFonts w:ascii="Times New Roman" w:eastAsia="標楷體" w:hAnsi="Times New Roman" w:cs="Times New Roman"/>
          <w:color w:val="000000" w:themeColor="text1"/>
          <w:sz w:val="28"/>
          <w:szCs w:val="28"/>
        </w:rPr>
        <w:t>，</w:t>
      </w:r>
      <w:r w:rsidR="008B63D4" w:rsidRPr="00C77E77">
        <w:rPr>
          <w:rFonts w:ascii="Times New Roman" w:eastAsia="標楷體" w:hAnsi="Times New Roman" w:cs="Times New Roman"/>
          <w:color w:val="000000" w:themeColor="text1"/>
          <w:sz w:val="28"/>
          <w:szCs w:val="28"/>
        </w:rPr>
        <w:t>也應</w:t>
      </w:r>
      <w:r w:rsidRPr="00C77E77">
        <w:rPr>
          <w:rFonts w:ascii="Times New Roman" w:eastAsia="標楷體" w:hAnsi="Times New Roman" w:cs="Times New Roman"/>
          <w:color w:val="000000" w:themeColor="text1"/>
          <w:sz w:val="28"/>
          <w:szCs w:val="28"/>
        </w:rPr>
        <w:t>協助</w:t>
      </w:r>
      <w:r w:rsidR="008B63D4" w:rsidRPr="00C77E77">
        <w:rPr>
          <w:rFonts w:ascii="Times New Roman" w:eastAsia="標楷體" w:hAnsi="Times New Roman" w:cs="Times New Roman"/>
          <w:color w:val="000000" w:themeColor="text1"/>
          <w:sz w:val="28"/>
          <w:szCs w:val="28"/>
        </w:rPr>
        <w:t>廠商</w:t>
      </w:r>
      <w:r w:rsidR="008C37FB" w:rsidRPr="00C77E77">
        <w:rPr>
          <w:rFonts w:ascii="Times New Roman" w:eastAsia="標楷體" w:hAnsi="Times New Roman" w:cs="Times New Roman"/>
          <w:color w:val="000000" w:themeColor="text1"/>
          <w:sz w:val="28"/>
          <w:szCs w:val="28"/>
        </w:rPr>
        <w:t>在當地</w:t>
      </w:r>
      <w:r w:rsidRPr="00C77E77">
        <w:rPr>
          <w:rFonts w:ascii="Times New Roman" w:eastAsia="標楷體" w:hAnsi="Times New Roman" w:cs="Times New Roman"/>
          <w:color w:val="000000" w:themeColor="text1"/>
          <w:sz w:val="28"/>
          <w:szCs w:val="28"/>
        </w:rPr>
        <w:t>原料、土地的取得。</w:t>
      </w:r>
      <w:r w:rsidR="003C3DA7" w:rsidRPr="00C77E77">
        <w:rPr>
          <w:rFonts w:ascii="Times New Roman" w:eastAsia="標楷體" w:hAnsi="Times New Roman" w:cs="Times New Roman"/>
          <w:color w:val="000000" w:themeColor="text1"/>
          <w:sz w:val="28"/>
          <w:szCs w:val="28"/>
        </w:rPr>
        <w:t>例如，越南是共產國家，土地屬於國有化，一般跟人民租地期限是</w:t>
      </w:r>
      <w:r w:rsidR="003C3DA7" w:rsidRPr="00C77E77">
        <w:rPr>
          <w:rFonts w:ascii="Times New Roman" w:eastAsia="標楷體" w:hAnsi="Times New Roman" w:cs="Times New Roman"/>
          <w:color w:val="000000" w:themeColor="text1"/>
          <w:sz w:val="28"/>
          <w:szCs w:val="28"/>
        </w:rPr>
        <w:t>10</w:t>
      </w:r>
      <w:r w:rsidR="003C3DA7" w:rsidRPr="00C77E77">
        <w:rPr>
          <w:rFonts w:ascii="Times New Roman" w:eastAsia="標楷體" w:hAnsi="Times New Roman" w:cs="Times New Roman"/>
          <w:color w:val="000000" w:themeColor="text1"/>
          <w:sz w:val="28"/>
          <w:szCs w:val="28"/>
        </w:rPr>
        <w:t>年，</w:t>
      </w:r>
      <w:r w:rsidR="005C065F" w:rsidRPr="00C77E77">
        <w:rPr>
          <w:rFonts w:ascii="Times New Roman" w:eastAsia="標楷體" w:hAnsi="Times New Roman" w:cs="Times New Roman"/>
          <w:color w:val="000000" w:themeColor="text1"/>
          <w:sz w:val="28"/>
          <w:szCs w:val="28"/>
        </w:rPr>
        <w:t>這</w:t>
      </w:r>
      <w:r w:rsidR="003C3DA7" w:rsidRPr="00C77E77">
        <w:rPr>
          <w:rFonts w:ascii="Times New Roman" w:eastAsia="標楷體" w:hAnsi="Times New Roman" w:cs="Times New Roman"/>
          <w:color w:val="000000" w:themeColor="text1"/>
          <w:sz w:val="28"/>
          <w:szCs w:val="28"/>
        </w:rPr>
        <w:t>會</w:t>
      </w:r>
      <w:r w:rsidR="001710F6" w:rsidRPr="00C77E77">
        <w:rPr>
          <w:rFonts w:ascii="Times New Roman" w:eastAsia="標楷體" w:hAnsi="Times New Roman" w:cs="Times New Roman"/>
          <w:color w:val="000000" w:themeColor="text1"/>
          <w:sz w:val="28"/>
          <w:szCs w:val="28"/>
        </w:rPr>
        <w:t>限制</w:t>
      </w:r>
      <w:r w:rsidR="003C3DA7" w:rsidRPr="00C77E77">
        <w:rPr>
          <w:rFonts w:ascii="Times New Roman" w:eastAsia="標楷體" w:hAnsi="Times New Roman" w:cs="Times New Roman"/>
          <w:color w:val="000000" w:themeColor="text1"/>
          <w:sz w:val="28"/>
          <w:szCs w:val="28"/>
        </w:rPr>
        <w:t>企業</w:t>
      </w:r>
      <w:r w:rsidR="005C065F" w:rsidRPr="00C77E77">
        <w:rPr>
          <w:rFonts w:ascii="Times New Roman" w:eastAsia="標楷體" w:hAnsi="Times New Roman" w:cs="Times New Roman"/>
          <w:color w:val="000000" w:themeColor="text1"/>
          <w:sz w:val="28"/>
          <w:szCs w:val="28"/>
        </w:rPr>
        <w:t>的</w:t>
      </w:r>
      <w:r w:rsidR="003C3DA7" w:rsidRPr="00C77E77">
        <w:rPr>
          <w:rFonts w:ascii="Times New Roman" w:eastAsia="標楷體" w:hAnsi="Times New Roman" w:cs="Times New Roman"/>
          <w:color w:val="000000" w:themeColor="text1"/>
          <w:sz w:val="28"/>
          <w:szCs w:val="28"/>
        </w:rPr>
        <w:t>發展</w:t>
      </w:r>
      <w:r w:rsidR="001710F6" w:rsidRPr="00C77E77">
        <w:rPr>
          <w:rFonts w:ascii="Times New Roman" w:eastAsia="標楷體" w:hAnsi="Times New Roman" w:cs="Times New Roman"/>
          <w:color w:val="000000" w:themeColor="text1"/>
          <w:sz w:val="28"/>
          <w:szCs w:val="28"/>
        </w:rPr>
        <w:t>，也</w:t>
      </w:r>
      <w:r w:rsidR="005C065F" w:rsidRPr="00C77E77">
        <w:rPr>
          <w:rFonts w:ascii="Times New Roman" w:eastAsia="標楷體" w:hAnsi="Times New Roman" w:cs="Times New Roman"/>
          <w:color w:val="000000" w:themeColor="text1"/>
          <w:sz w:val="28"/>
          <w:szCs w:val="28"/>
        </w:rPr>
        <w:t>容</w:t>
      </w:r>
      <w:r w:rsidR="001710F6" w:rsidRPr="00C77E77">
        <w:rPr>
          <w:rFonts w:ascii="Times New Roman" w:eastAsia="標楷體" w:hAnsi="Times New Roman" w:cs="Times New Roman"/>
          <w:color w:val="000000" w:themeColor="text1"/>
          <w:sz w:val="28"/>
          <w:szCs w:val="28"/>
        </w:rPr>
        <w:t>易遭遇許多法規問題</w:t>
      </w:r>
      <w:r w:rsidR="003C3DA7" w:rsidRPr="00C77E77">
        <w:rPr>
          <w:rFonts w:ascii="Times New Roman" w:eastAsia="標楷體" w:hAnsi="Times New Roman" w:cs="Times New Roman"/>
          <w:color w:val="000000" w:themeColor="text1"/>
          <w:sz w:val="28"/>
          <w:szCs w:val="28"/>
        </w:rPr>
        <w:t>。</w:t>
      </w:r>
      <w:r w:rsidR="00E524DA" w:rsidRPr="00C77E77">
        <w:rPr>
          <w:rFonts w:ascii="Times New Roman" w:eastAsia="標楷體" w:hAnsi="Times New Roman" w:cs="Times New Roman"/>
          <w:color w:val="000000" w:themeColor="text1"/>
          <w:sz w:val="28"/>
          <w:szCs w:val="28"/>
        </w:rPr>
        <w:t>臺</w:t>
      </w:r>
      <w:r w:rsidR="001710F6" w:rsidRPr="00C77E77">
        <w:rPr>
          <w:rFonts w:ascii="Times New Roman" w:eastAsia="標楷體" w:hAnsi="Times New Roman" w:cs="Times New Roman"/>
          <w:color w:val="000000" w:themeColor="text1"/>
          <w:sz w:val="28"/>
          <w:szCs w:val="28"/>
        </w:rPr>
        <w:t>灣</w:t>
      </w:r>
      <w:r w:rsidR="003C3DA7" w:rsidRPr="00C77E77">
        <w:rPr>
          <w:rFonts w:ascii="Times New Roman" w:eastAsia="標楷體" w:hAnsi="Times New Roman" w:cs="Times New Roman"/>
          <w:color w:val="000000" w:themeColor="text1"/>
          <w:sz w:val="28"/>
          <w:szCs w:val="28"/>
        </w:rPr>
        <w:t>可效法日本政府為了取得土地，花費數十億經費協助在當地建</w:t>
      </w:r>
      <w:r w:rsidR="00232F82" w:rsidRPr="00C77E77">
        <w:rPr>
          <w:rFonts w:ascii="Times New Roman" w:eastAsia="標楷體" w:hAnsi="Times New Roman" w:cs="Times New Roman"/>
          <w:color w:val="000000" w:themeColor="text1"/>
          <w:sz w:val="28"/>
          <w:szCs w:val="28"/>
        </w:rPr>
        <w:t>設高鐵設施，提升當地對</w:t>
      </w:r>
      <w:r w:rsidR="00E524DA" w:rsidRPr="00C77E77">
        <w:rPr>
          <w:rFonts w:ascii="Times New Roman" w:eastAsia="標楷體" w:hAnsi="Times New Roman" w:cs="Times New Roman"/>
          <w:color w:val="000000" w:themeColor="text1"/>
          <w:sz w:val="28"/>
          <w:szCs w:val="28"/>
        </w:rPr>
        <w:t>臺</w:t>
      </w:r>
      <w:r w:rsidR="00232F82" w:rsidRPr="00C77E77">
        <w:rPr>
          <w:rFonts w:ascii="Times New Roman" w:eastAsia="標楷體" w:hAnsi="Times New Roman" w:cs="Times New Roman"/>
          <w:color w:val="000000" w:themeColor="text1"/>
          <w:sz w:val="28"/>
          <w:szCs w:val="28"/>
        </w:rPr>
        <w:t>灣的信任與好感，</w:t>
      </w:r>
      <w:r w:rsidR="005C065F" w:rsidRPr="00C77E77">
        <w:rPr>
          <w:rFonts w:ascii="Times New Roman" w:eastAsia="標楷體" w:hAnsi="Times New Roman" w:cs="Times New Roman"/>
          <w:color w:val="000000" w:themeColor="text1"/>
          <w:sz w:val="28"/>
          <w:szCs w:val="28"/>
        </w:rPr>
        <w:t>亦</w:t>
      </w:r>
      <w:r w:rsidR="00232F82" w:rsidRPr="00C77E77">
        <w:rPr>
          <w:rFonts w:ascii="Times New Roman" w:eastAsia="標楷體" w:hAnsi="Times New Roman" w:cs="Times New Roman"/>
          <w:color w:val="000000" w:themeColor="text1"/>
          <w:sz w:val="28"/>
          <w:szCs w:val="28"/>
        </w:rPr>
        <w:t>有助於降低經貿障礙。</w:t>
      </w:r>
    </w:p>
    <w:p w:rsidR="0018683C" w:rsidRPr="00C77E77" w:rsidRDefault="0018683C" w:rsidP="003C3DA7">
      <w:pPr>
        <w:widowControl/>
        <w:spacing w:beforeLines="50" w:before="180" w:afterLines="50" w:after="180" w:line="500" w:lineRule="exact"/>
        <w:ind w:left="567" w:firstLine="480"/>
        <w:jc w:val="both"/>
        <w:rPr>
          <w:rFonts w:ascii="Times New Roman" w:eastAsia="標楷體" w:hAnsi="Times New Roman" w:cs="Times New Roman"/>
          <w:sz w:val="28"/>
          <w:szCs w:val="28"/>
        </w:rPr>
      </w:pPr>
    </w:p>
    <w:p w:rsidR="003C3DA7" w:rsidRPr="00C77E77" w:rsidRDefault="003C3DA7" w:rsidP="0001327A">
      <w:pPr>
        <w:pStyle w:val="ab"/>
        <w:widowControl/>
        <w:numPr>
          <w:ilvl w:val="0"/>
          <w:numId w:val="124"/>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帶動拓銷之建議</w:t>
      </w:r>
    </w:p>
    <w:p w:rsidR="003C3DA7" w:rsidRPr="00C77E77" w:rsidRDefault="005F0A83" w:rsidP="0001327A">
      <w:pPr>
        <w:pStyle w:val="ab"/>
        <w:widowControl/>
        <w:numPr>
          <w:ilvl w:val="0"/>
          <w:numId w:val="127"/>
        </w:numPr>
        <w:spacing w:beforeLines="50" w:before="180" w:afterLines="50" w:after="180" w:line="500" w:lineRule="exact"/>
        <w:ind w:leftChars="0" w:left="426"/>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以</w:t>
      </w:r>
      <w:r w:rsidR="003C3DA7" w:rsidRPr="00C77E77">
        <w:rPr>
          <w:rFonts w:ascii="Times New Roman" w:eastAsia="標楷體" w:hAnsi="Times New Roman" w:cs="Times New Roman"/>
          <w:b/>
          <w:color w:val="000000" w:themeColor="text1"/>
          <w:sz w:val="28"/>
          <w:szCs w:val="28"/>
        </w:rPr>
        <w:t>「破壞式創新」（</w:t>
      </w:r>
      <w:r w:rsidR="003C3DA7" w:rsidRPr="00C77E77">
        <w:rPr>
          <w:rFonts w:ascii="Times New Roman" w:eastAsia="標楷體" w:hAnsi="Times New Roman" w:cs="Times New Roman"/>
          <w:b/>
          <w:color w:val="000000" w:themeColor="text1"/>
          <w:sz w:val="28"/>
          <w:szCs w:val="28"/>
        </w:rPr>
        <w:t>Disruptive innovation</w:t>
      </w:r>
      <w:r w:rsidR="003C3DA7" w:rsidRPr="00C77E77">
        <w:rPr>
          <w:rFonts w:ascii="Times New Roman" w:eastAsia="標楷體" w:hAnsi="Times New Roman" w:cs="Times New Roman"/>
          <w:b/>
          <w:color w:val="000000" w:themeColor="text1"/>
          <w:sz w:val="28"/>
          <w:szCs w:val="28"/>
        </w:rPr>
        <w:t>）</w:t>
      </w:r>
      <w:r w:rsidRPr="00C77E77">
        <w:rPr>
          <w:rFonts w:ascii="Times New Roman" w:eastAsia="標楷體" w:hAnsi="Times New Roman" w:cs="Times New Roman"/>
          <w:b/>
          <w:color w:val="000000" w:themeColor="text1"/>
          <w:sz w:val="28"/>
          <w:szCs w:val="28"/>
        </w:rPr>
        <w:t>因應當地</w:t>
      </w:r>
      <w:r w:rsidR="00A960D2" w:rsidRPr="00C77E77">
        <w:rPr>
          <w:rFonts w:ascii="Times New Roman" w:eastAsia="標楷體" w:hAnsi="Times New Roman" w:cs="Times New Roman"/>
          <w:b/>
          <w:color w:val="000000" w:themeColor="text1"/>
          <w:sz w:val="28"/>
          <w:szCs w:val="28"/>
        </w:rPr>
        <w:t>需求</w:t>
      </w:r>
    </w:p>
    <w:p w:rsidR="003C3DA7" w:rsidRPr="00C77E77" w:rsidRDefault="00FD0D5A" w:rsidP="003C3DA7">
      <w:pPr>
        <w:widowControl/>
        <w:spacing w:beforeLines="50" w:before="180" w:afterLines="50" w:after="180" w:line="500" w:lineRule="exact"/>
        <w:ind w:left="426"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5F0A83" w:rsidRPr="00C77E77">
        <w:rPr>
          <w:rFonts w:ascii="Times New Roman" w:eastAsia="標楷體" w:hAnsi="Times New Roman" w:cs="Times New Roman"/>
          <w:sz w:val="28"/>
          <w:szCs w:val="28"/>
        </w:rPr>
        <w:t>灣的創新是不斷往上累加，系統越來越先進、複雜。但是我國廠商進入東南亞與印度等剛起步的市場時，需加以修正調整。</w:t>
      </w:r>
      <w:r w:rsidR="003C3DA7" w:rsidRPr="00C77E77">
        <w:rPr>
          <w:rFonts w:ascii="Times New Roman" w:eastAsia="標楷體" w:hAnsi="Times New Roman" w:cs="Times New Roman"/>
          <w:sz w:val="28"/>
          <w:szCs w:val="28"/>
        </w:rPr>
        <w:t>對於才剛起步的市場而言，他們偏好局部的功能、更便宜的解決方案，例如印度海關所需的解決方案，只要簡單的圖形辨識系統以解決人工問題。雅加達、萬隆的智慧城市也只是做初階工作，例如民眾回報問題、官員進行整合；其它</w:t>
      </w:r>
      <w:r w:rsidR="00A960D2" w:rsidRPr="00C77E77">
        <w:rPr>
          <w:rFonts w:ascii="Times New Roman" w:eastAsia="標楷體" w:hAnsi="Times New Roman" w:cs="Times New Roman"/>
          <w:sz w:val="28"/>
          <w:szCs w:val="28"/>
        </w:rPr>
        <w:t>涉及到規劃跟財源</w:t>
      </w:r>
      <w:r w:rsidR="003C3DA7" w:rsidRPr="00C77E77">
        <w:rPr>
          <w:rFonts w:ascii="Times New Roman" w:eastAsia="標楷體" w:hAnsi="Times New Roman" w:cs="Times New Roman"/>
          <w:sz w:val="28"/>
          <w:szCs w:val="28"/>
        </w:rPr>
        <w:t>問題</w:t>
      </w:r>
      <w:r w:rsidR="00A960D2" w:rsidRPr="00C77E77">
        <w:rPr>
          <w:rFonts w:ascii="Times New Roman" w:eastAsia="標楷體" w:hAnsi="Times New Roman" w:cs="Times New Roman"/>
          <w:sz w:val="28"/>
          <w:szCs w:val="28"/>
        </w:rPr>
        <w:t>的進階交通系統整合</w:t>
      </w:r>
      <w:r w:rsidR="003C3DA7" w:rsidRPr="00C77E77">
        <w:rPr>
          <w:rFonts w:ascii="Times New Roman" w:eastAsia="標楷體" w:hAnsi="Times New Roman" w:cs="Times New Roman"/>
          <w:sz w:val="28"/>
          <w:szCs w:val="28"/>
        </w:rPr>
        <w:t>，就不容易執行。</w:t>
      </w:r>
    </w:p>
    <w:p w:rsidR="003C3DA7" w:rsidRPr="00C77E77" w:rsidRDefault="003C3DA7" w:rsidP="0001327A">
      <w:pPr>
        <w:pStyle w:val="ab"/>
        <w:widowControl/>
        <w:numPr>
          <w:ilvl w:val="0"/>
          <w:numId w:val="127"/>
        </w:numPr>
        <w:spacing w:beforeLines="50" w:before="180" w:afterLines="50" w:after="180" w:line="500" w:lineRule="exact"/>
        <w:ind w:leftChars="0" w:left="426"/>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協助企業瞭解法律制度、尋找</w:t>
      </w:r>
      <w:r w:rsidR="00FE2061" w:rsidRPr="00C77E77">
        <w:rPr>
          <w:rFonts w:ascii="Times New Roman" w:eastAsia="標楷體" w:hAnsi="Times New Roman" w:cs="Times New Roman"/>
          <w:b/>
          <w:color w:val="000000" w:themeColor="text1"/>
          <w:sz w:val="28"/>
          <w:szCs w:val="28"/>
        </w:rPr>
        <w:t>可</w:t>
      </w:r>
      <w:r w:rsidRPr="00C77E77">
        <w:rPr>
          <w:rFonts w:ascii="Times New Roman" w:eastAsia="標楷體" w:hAnsi="Times New Roman" w:cs="Times New Roman"/>
          <w:b/>
          <w:color w:val="000000" w:themeColor="text1"/>
          <w:sz w:val="28"/>
          <w:szCs w:val="28"/>
        </w:rPr>
        <w:t>信賴的合作夥伴</w:t>
      </w:r>
    </w:p>
    <w:p w:rsidR="003C3DA7" w:rsidRPr="00C77E77" w:rsidRDefault="00567437" w:rsidP="00C072F6">
      <w:pPr>
        <w:pStyle w:val="ab"/>
        <w:widowControl/>
        <w:numPr>
          <w:ilvl w:val="3"/>
          <w:numId w:val="4"/>
        </w:numPr>
        <w:spacing w:beforeLines="50" w:before="180" w:afterLines="50" w:after="180" w:line="500" w:lineRule="exact"/>
        <w:ind w:leftChars="0" w:left="851"/>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海外發展最大的需求是有當地團隊給予法律和人際關係的協助。</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灣國內業者在進行智慧系統輸出時所面對的困難包括：當地市場資訊不足、缺少在地合作夥伴、缺乏融資協助等挑戰。國外的</w:t>
      </w:r>
      <w:r w:rsidRPr="00C77E77">
        <w:rPr>
          <w:rFonts w:ascii="Times New Roman" w:eastAsia="標楷體" w:hAnsi="Times New Roman" w:cs="Times New Roman"/>
          <w:color w:val="000000" w:themeColor="text1"/>
          <w:sz w:val="28"/>
          <w:szCs w:val="28"/>
        </w:rPr>
        <w:t>LG</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SAMSUNG</w:t>
      </w:r>
      <w:r w:rsidRPr="00C77E77">
        <w:rPr>
          <w:rFonts w:ascii="Times New Roman" w:eastAsia="標楷體" w:hAnsi="Times New Roman" w:cs="Times New Roman"/>
          <w:color w:val="000000" w:themeColor="text1"/>
          <w:sz w:val="28"/>
          <w:szCs w:val="28"/>
        </w:rPr>
        <w:t>等</w:t>
      </w:r>
      <w:r w:rsidR="003C3DA7" w:rsidRPr="00C77E77">
        <w:rPr>
          <w:rFonts w:ascii="Times New Roman" w:eastAsia="標楷體" w:hAnsi="Times New Roman" w:cs="Times New Roman"/>
          <w:color w:val="000000" w:themeColor="text1"/>
          <w:sz w:val="28"/>
          <w:szCs w:val="28"/>
        </w:rPr>
        <w:t>大型系統整合商，雖然都已具有一定規模，但</w:t>
      </w:r>
      <w:r w:rsidRPr="00C77E77">
        <w:rPr>
          <w:rFonts w:ascii="Times New Roman" w:eastAsia="標楷體" w:hAnsi="Times New Roman" w:cs="Times New Roman"/>
          <w:color w:val="000000" w:themeColor="text1"/>
          <w:sz w:val="28"/>
          <w:szCs w:val="28"/>
        </w:rPr>
        <w:t>也</w:t>
      </w:r>
      <w:r w:rsidR="003C3DA7" w:rsidRPr="00C77E77">
        <w:rPr>
          <w:rFonts w:ascii="Times New Roman" w:eastAsia="標楷體" w:hAnsi="Times New Roman" w:cs="Times New Roman"/>
          <w:color w:val="000000" w:themeColor="text1"/>
          <w:sz w:val="28"/>
          <w:szCs w:val="28"/>
        </w:rPr>
        <w:t>會找地業者一起投標、合作，降低外人不知的潛規則風險。過去</w:t>
      </w:r>
      <w:r w:rsidR="003C3DA7" w:rsidRPr="00C77E77">
        <w:rPr>
          <w:rFonts w:ascii="Times New Roman" w:eastAsia="標楷體" w:hAnsi="Times New Roman" w:cs="Times New Roman"/>
          <w:sz w:val="28"/>
          <w:szCs w:val="28"/>
        </w:rPr>
        <w:t>廠商遇到許多情況是案子接洽完後就止步了，因為對當地的法律不了解，不知道接下來要面對誰、未來怎麼收錢、後續產品如何運輸？</w:t>
      </w:r>
      <w:r w:rsidR="00A960D2" w:rsidRPr="00C77E77">
        <w:rPr>
          <w:rFonts w:ascii="Times New Roman" w:eastAsia="標楷體" w:hAnsi="Times New Roman" w:cs="Times New Roman"/>
          <w:sz w:val="28"/>
          <w:szCs w:val="28"/>
        </w:rPr>
        <w:t>政府應協助企業瞭解法律</w:t>
      </w:r>
      <w:r w:rsidR="00A960D2" w:rsidRPr="00C77E77">
        <w:rPr>
          <w:rFonts w:ascii="Times New Roman" w:eastAsia="標楷體" w:hAnsi="Times New Roman" w:cs="Times New Roman"/>
          <w:sz w:val="28"/>
          <w:szCs w:val="28"/>
        </w:rPr>
        <w:lastRenderedPageBreak/>
        <w:t>制度、尋找當地信賴的窗口與合作夥伴，例如藉由外交部協助，與當地夥伴簽屬</w:t>
      </w:r>
      <w:r w:rsidR="00A960D2" w:rsidRPr="00C77E77">
        <w:rPr>
          <w:rFonts w:ascii="Times New Roman" w:eastAsia="標楷體" w:hAnsi="Times New Roman" w:cs="Times New Roman"/>
          <w:sz w:val="28"/>
          <w:szCs w:val="28"/>
        </w:rPr>
        <w:t>MOU</w:t>
      </w:r>
      <w:r w:rsidR="00A960D2" w:rsidRPr="00C77E77">
        <w:rPr>
          <w:rFonts w:ascii="Times New Roman" w:eastAsia="標楷體" w:hAnsi="Times New Roman" w:cs="Times New Roman"/>
          <w:sz w:val="28"/>
          <w:szCs w:val="28"/>
        </w:rPr>
        <w:t>，採取當地夥伴處理當地事務的方法，可降低廠商風險，提高拓展海外市場意願</w:t>
      </w:r>
      <w:r w:rsidR="003C3DA7" w:rsidRPr="00C77E77">
        <w:rPr>
          <w:rFonts w:ascii="Times New Roman" w:eastAsia="標楷體" w:hAnsi="Times New Roman" w:cs="Times New Roman"/>
          <w:sz w:val="28"/>
          <w:szCs w:val="28"/>
        </w:rPr>
        <w:t>。</w:t>
      </w:r>
      <w:r w:rsidR="00C072F6" w:rsidRPr="00C77E77">
        <w:rPr>
          <w:rFonts w:ascii="Times New Roman" w:eastAsia="標楷體" w:hAnsi="Times New Roman" w:cs="Times New Roman"/>
          <w:color w:val="000000" w:themeColor="text1"/>
          <w:sz w:val="28"/>
          <w:szCs w:val="28"/>
        </w:rPr>
        <w:t>針對當地華商，也宜以合作代替競爭。</w:t>
      </w:r>
    </w:p>
    <w:p w:rsidR="003C3DA7" w:rsidRPr="00C77E77" w:rsidRDefault="001C3F0A" w:rsidP="005B3754">
      <w:pPr>
        <w:pStyle w:val="ab"/>
        <w:widowControl/>
        <w:numPr>
          <w:ilvl w:val="3"/>
          <w:numId w:val="4"/>
        </w:numPr>
        <w:spacing w:beforeLines="50" w:before="180" w:afterLines="50" w:after="180" w:line="500" w:lineRule="exact"/>
        <w:ind w:leftChars="0" w:left="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過去</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商曾經在雅加達開發</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旺工業區，</w:t>
      </w:r>
      <w:r w:rsidR="00522748" w:rsidRPr="00C77E77">
        <w:rPr>
          <w:rFonts w:ascii="Times New Roman" w:eastAsia="標楷體" w:hAnsi="Times New Roman" w:cs="Times New Roman"/>
          <w:color w:val="000000" w:themeColor="text1"/>
          <w:sz w:val="28"/>
          <w:szCs w:val="28"/>
        </w:rPr>
        <w:t>但卻發生合作糾紛、</w:t>
      </w:r>
      <w:r w:rsidRPr="00C77E77">
        <w:rPr>
          <w:rFonts w:ascii="Times New Roman" w:eastAsia="標楷體" w:hAnsi="Times New Roman" w:cs="Times New Roman"/>
          <w:color w:val="000000" w:themeColor="text1"/>
          <w:sz w:val="28"/>
          <w:szCs w:val="28"/>
        </w:rPr>
        <w:t>招商不順</w:t>
      </w:r>
      <w:r w:rsidR="00522748" w:rsidRPr="00C77E77">
        <w:rPr>
          <w:rFonts w:ascii="Times New Roman" w:eastAsia="標楷體" w:hAnsi="Times New Roman" w:cs="Times New Roman"/>
          <w:color w:val="000000" w:themeColor="text1"/>
          <w:sz w:val="28"/>
          <w:szCs w:val="28"/>
        </w:rPr>
        <w:t>等情事。</w:t>
      </w:r>
      <w:r w:rsidR="00073D2A" w:rsidRPr="00C77E77">
        <w:rPr>
          <w:rStyle w:val="a9"/>
          <w:rFonts w:ascii="Times New Roman" w:eastAsia="標楷體" w:hAnsi="Times New Roman" w:cs="Times New Roman"/>
          <w:color w:val="000000" w:themeColor="text1"/>
          <w:sz w:val="28"/>
          <w:szCs w:val="28"/>
        </w:rPr>
        <w:footnoteReference w:id="142"/>
      </w:r>
      <w:r w:rsidR="00522748" w:rsidRPr="00C77E77">
        <w:rPr>
          <w:rFonts w:ascii="Times New Roman" w:eastAsia="標楷體" w:hAnsi="Times New Roman" w:cs="Times New Roman"/>
          <w:color w:val="000000" w:themeColor="text1"/>
          <w:sz w:val="28"/>
          <w:szCs w:val="28"/>
        </w:rPr>
        <w:t>新南向政策若欲由政府出面與當地政府協調，在印度、東南亞等地設立臺灣廠商的工業區</w:t>
      </w:r>
      <w:r w:rsidR="005B3754" w:rsidRPr="00C77E77">
        <w:rPr>
          <w:rFonts w:ascii="Times New Roman" w:eastAsia="標楷體" w:hAnsi="Times New Roman" w:cs="Times New Roman"/>
          <w:color w:val="000000" w:themeColor="text1"/>
          <w:sz w:val="28"/>
          <w:szCs w:val="28"/>
        </w:rPr>
        <w:t>或育成中心</w:t>
      </w:r>
      <w:r w:rsidR="00522748" w:rsidRPr="00C77E77">
        <w:rPr>
          <w:rFonts w:ascii="Times New Roman" w:eastAsia="標楷體" w:hAnsi="Times New Roman" w:cs="Times New Roman"/>
          <w:color w:val="000000" w:themeColor="text1"/>
          <w:sz w:val="28"/>
          <w:szCs w:val="28"/>
        </w:rPr>
        <w:t>，</w:t>
      </w:r>
      <w:r w:rsidR="005B3754" w:rsidRPr="00C77E77">
        <w:rPr>
          <w:rFonts w:ascii="Times New Roman" w:eastAsia="標楷體" w:hAnsi="Times New Roman" w:cs="Times New Roman"/>
          <w:color w:val="000000" w:themeColor="text1"/>
          <w:sz w:val="28"/>
          <w:szCs w:val="28"/>
        </w:rPr>
        <w:t>協助</w:t>
      </w:r>
      <w:r w:rsidR="00522748" w:rsidRPr="00C77E77">
        <w:rPr>
          <w:rFonts w:ascii="Times New Roman" w:eastAsia="標楷體" w:hAnsi="Times New Roman" w:cs="Times New Roman"/>
          <w:color w:val="000000" w:themeColor="text1"/>
          <w:sz w:val="28"/>
          <w:szCs w:val="28"/>
        </w:rPr>
        <w:t>廠房</w:t>
      </w:r>
      <w:r w:rsidR="005B3754" w:rsidRPr="00C77E77">
        <w:rPr>
          <w:rFonts w:ascii="Times New Roman" w:eastAsia="標楷體" w:hAnsi="Times New Roman" w:cs="Times New Roman"/>
          <w:color w:val="000000" w:themeColor="text1"/>
          <w:sz w:val="28"/>
          <w:szCs w:val="28"/>
        </w:rPr>
        <w:t>、</w:t>
      </w:r>
      <w:r w:rsidR="00522748" w:rsidRPr="00C77E77">
        <w:rPr>
          <w:rFonts w:ascii="Times New Roman" w:eastAsia="標楷體" w:hAnsi="Times New Roman" w:cs="Times New Roman"/>
          <w:color w:val="000000" w:themeColor="text1"/>
          <w:sz w:val="28"/>
          <w:szCs w:val="28"/>
        </w:rPr>
        <w:t>水、電等設施</w:t>
      </w:r>
      <w:r w:rsidR="005B3754" w:rsidRPr="00C77E77">
        <w:rPr>
          <w:rFonts w:ascii="Times New Roman" w:eastAsia="標楷體" w:hAnsi="Times New Roman" w:cs="Times New Roman"/>
          <w:color w:val="000000" w:themeColor="text1"/>
          <w:sz w:val="28"/>
          <w:szCs w:val="28"/>
        </w:rPr>
        <w:t>及公司</w:t>
      </w:r>
      <w:r w:rsidR="00522748" w:rsidRPr="00C77E77">
        <w:rPr>
          <w:rFonts w:ascii="Times New Roman" w:eastAsia="標楷體" w:hAnsi="Times New Roman" w:cs="Times New Roman"/>
          <w:color w:val="000000" w:themeColor="text1"/>
          <w:sz w:val="28"/>
          <w:szCs w:val="28"/>
        </w:rPr>
        <w:t>登記公司，</w:t>
      </w:r>
      <w:r w:rsidR="005B3754" w:rsidRPr="00C77E77">
        <w:rPr>
          <w:rFonts w:ascii="Times New Roman" w:eastAsia="標楷體" w:hAnsi="Times New Roman" w:cs="Times New Roman"/>
          <w:color w:val="000000" w:themeColor="text1"/>
          <w:sz w:val="28"/>
          <w:szCs w:val="28"/>
        </w:rPr>
        <w:t>務必謹慎</w:t>
      </w:r>
      <w:r w:rsidR="00CF74AC" w:rsidRPr="00C77E77">
        <w:rPr>
          <w:rFonts w:ascii="Times New Roman" w:eastAsia="標楷體" w:hAnsi="Times New Roman" w:cs="Times New Roman"/>
          <w:color w:val="000000" w:themeColor="text1"/>
          <w:sz w:val="28"/>
          <w:szCs w:val="28"/>
        </w:rPr>
        <w:t>考察，</w:t>
      </w:r>
      <w:r w:rsidR="00522748" w:rsidRPr="00C77E77">
        <w:rPr>
          <w:rFonts w:ascii="Times New Roman" w:eastAsia="標楷體" w:hAnsi="Times New Roman" w:cs="Times New Roman"/>
          <w:color w:val="000000" w:themeColor="text1"/>
          <w:sz w:val="28"/>
          <w:szCs w:val="28"/>
        </w:rPr>
        <w:t>避免重蹈覆轍</w:t>
      </w:r>
      <w:r w:rsidR="005B3754" w:rsidRPr="00C77E77">
        <w:rPr>
          <w:rFonts w:ascii="Times New Roman" w:eastAsia="標楷體" w:hAnsi="Times New Roman" w:cs="Times New Roman"/>
          <w:color w:val="000000" w:themeColor="text1"/>
          <w:sz w:val="28"/>
          <w:szCs w:val="28"/>
        </w:rPr>
        <w:t>，才</w:t>
      </w:r>
      <w:r w:rsidR="003C3DA7" w:rsidRPr="00C77E77">
        <w:rPr>
          <w:rFonts w:ascii="Times New Roman" w:eastAsia="標楷體" w:hAnsi="Times New Roman" w:cs="Times New Roman"/>
          <w:color w:val="000000" w:themeColor="text1"/>
          <w:sz w:val="28"/>
          <w:szCs w:val="28"/>
        </w:rPr>
        <w:t>有助於我政府</w:t>
      </w:r>
      <w:r w:rsidR="00CF74AC" w:rsidRPr="00C77E77">
        <w:rPr>
          <w:rFonts w:ascii="Times New Roman" w:eastAsia="標楷體" w:hAnsi="Times New Roman" w:cs="Times New Roman"/>
          <w:color w:val="000000" w:themeColor="text1"/>
          <w:sz w:val="28"/>
          <w:szCs w:val="28"/>
        </w:rPr>
        <w:t>成功</w:t>
      </w:r>
      <w:r w:rsidR="003C3DA7" w:rsidRPr="00C77E77">
        <w:rPr>
          <w:rFonts w:ascii="Times New Roman" w:eastAsia="標楷體" w:hAnsi="Times New Roman" w:cs="Times New Roman"/>
          <w:color w:val="000000" w:themeColor="text1"/>
          <w:sz w:val="28"/>
          <w:szCs w:val="28"/>
        </w:rPr>
        <w:t>招攬更多</w:t>
      </w:r>
      <w:r w:rsidR="00FD0D5A" w:rsidRPr="00C77E77">
        <w:rPr>
          <w:rFonts w:ascii="Times New Roman" w:eastAsia="標楷體" w:hAnsi="Times New Roman" w:cs="Times New Roman"/>
          <w:color w:val="000000" w:themeColor="text1"/>
          <w:sz w:val="28"/>
          <w:szCs w:val="28"/>
        </w:rPr>
        <w:t>臺</w:t>
      </w:r>
      <w:r w:rsidR="003C3DA7" w:rsidRPr="00C77E77">
        <w:rPr>
          <w:rFonts w:ascii="Times New Roman" w:eastAsia="標楷體" w:hAnsi="Times New Roman" w:cs="Times New Roman"/>
          <w:color w:val="000000" w:themeColor="text1"/>
          <w:sz w:val="28"/>
          <w:szCs w:val="28"/>
        </w:rPr>
        <w:t>灣企業進駐。</w:t>
      </w:r>
    </w:p>
    <w:p w:rsidR="003C3DA7" w:rsidRPr="00C77E77" w:rsidRDefault="003C3DA7" w:rsidP="0001327A">
      <w:pPr>
        <w:pStyle w:val="ab"/>
        <w:widowControl/>
        <w:numPr>
          <w:ilvl w:val="0"/>
          <w:numId w:val="127"/>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協</w:t>
      </w:r>
      <w:r w:rsidR="00FE2061" w:rsidRPr="00C77E77">
        <w:rPr>
          <w:rFonts w:ascii="Times New Roman" w:eastAsia="標楷體" w:hAnsi="Times New Roman" w:cs="Times New Roman"/>
          <w:b/>
          <w:sz w:val="28"/>
          <w:szCs w:val="28"/>
        </w:rPr>
        <w:t>助我國業者對東協國家和印度的瞭解</w:t>
      </w:r>
    </w:p>
    <w:p w:rsidR="003C3DA7" w:rsidRPr="00C77E77" w:rsidRDefault="003C3DA7" w:rsidP="0001327A">
      <w:pPr>
        <w:pStyle w:val="ab"/>
        <w:widowControl/>
        <w:numPr>
          <w:ilvl w:val="0"/>
          <w:numId w:val="128"/>
        </w:numPr>
        <w:spacing w:beforeLines="50" w:before="180" w:afterLines="50" w:after="180" w:line="500" w:lineRule="exact"/>
        <w:ind w:leftChars="0" w:left="709"/>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由於東南亞各國和印度的國情各異，要進入當地市場，政府必須協助我國業者對在地的瞭解。例如到印度投資發展，要認識到印度各邦、各省有不同的文化和法制規定，如北方邦、北查邦的工會很強勢，中央邦的法令自主性很高（與中央往往不同），有些邦、省是全吃素、不喝酒的。而且在印度人員、幹部運用，需要考量到種姓制度。如辦公室工友不能用階級太高的人，高級幹部一定要有印度人，而且在種姓上階等要比低階幹部高，才能有效領導，否則不好管理職員。印度人頗愛爭辯與議價，但因有種姓制度，只要領導者領導強力拍板決策且用印度高階員工作好管理工作，則公司將能上軌道。</w:t>
      </w:r>
    </w:p>
    <w:p w:rsidR="003C3DA7" w:rsidRPr="00C77E77" w:rsidRDefault="003C3DA7" w:rsidP="0001327A">
      <w:pPr>
        <w:pStyle w:val="ab"/>
        <w:widowControl/>
        <w:numPr>
          <w:ilvl w:val="0"/>
          <w:numId w:val="128"/>
        </w:numPr>
        <w:spacing w:beforeLines="50" w:before="180" w:afterLines="50" w:after="180" w:line="500" w:lineRule="exact"/>
        <w:ind w:leftChars="0" w:left="855" w:hanging="35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加速建立東南亞智庫。日本、韓國、德國等在進行海外投資以前，都會有一群智庫先行調查研究，成員包括銀行、律師、會計師等。然而，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灣只有僑委會每個月撥款</w:t>
      </w:r>
      <w:r w:rsidRPr="00C77E77">
        <w:rPr>
          <w:rFonts w:ascii="Times New Roman" w:eastAsia="標楷體" w:hAnsi="Times New Roman" w:cs="Times New Roman"/>
          <w:sz w:val="28"/>
          <w:szCs w:val="28"/>
        </w:rPr>
        <w:t>1,000</w:t>
      </w:r>
      <w:r w:rsidRPr="00C77E77">
        <w:rPr>
          <w:rFonts w:ascii="Times New Roman" w:eastAsia="標楷體" w:hAnsi="Times New Roman" w:cs="Times New Roman"/>
          <w:sz w:val="28"/>
          <w:szCs w:val="28"/>
        </w:rPr>
        <w:t>美金設計問卷調查當地狀況，完全不敷使用。越南</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商目前最需要的律師跟會計師，而緬甸之類的未來潛在性國家，一定要智庫提早</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年就去調查，不要等到政策要推行了才急就章。同時，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商若想打入內銷，其通路、企業形象、社會責任、</w:t>
      </w:r>
      <w:r w:rsidRPr="00C77E77">
        <w:rPr>
          <w:rFonts w:ascii="Times New Roman" w:eastAsia="標楷體" w:hAnsi="Times New Roman" w:cs="Times New Roman"/>
          <w:sz w:val="28"/>
          <w:szCs w:val="28"/>
        </w:rPr>
        <w:lastRenderedPageBreak/>
        <w:t>品質控管、品牌知名度、提升附加價值</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等，就非常重要，可催生智庫協助企業建立好的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灣形象。</w:t>
      </w:r>
    </w:p>
    <w:p w:rsidR="003C3DA7" w:rsidRPr="00C77E77" w:rsidRDefault="003C3DA7" w:rsidP="0001327A">
      <w:pPr>
        <w:pStyle w:val="ab"/>
        <w:widowControl/>
        <w:numPr>
          <w:ilvl w:val="0"/>
          <w:numId w:val="128"/>
        </w:numPr>
        <w:spacing w:beforeLines="50" w:before="180" w:afterLines="50" w:after="180" w:line="500" w:lineRule="exact"/>
        <w:ind w:leftChars="0" w:left="855" w:hanging="357"/>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提供即時性、全面性的資訊蒐集。相較於日本、韓國大量出版印刷、手寫影印各式刊物來服務本國廠商，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灣的資訊介紹顯</w:t>
      </w:r>
      <w:r w:rsidR="003F0182" w:rsidRPr="00C77E77">
        <w:rPr>
          <w:rFonts w:ascii="Times New Roman" w:eastAsia="標楷體" w:hAnsi="Times New Roman" w:cs="Times New Roman"/>
          <w:sz w:val="28"/>
          <w:szCs w:val="28"/>
        </w:rPr>
        <w:t>得</w:t>
      </w:r>
      <w:r w:rsidRPr="00C77E77">
        <w:rPr>
          <w:rFonts w:ascii="Times New Roman" w:eastAsia="標楷體" w:hAnsi="Times New Roman" w:cs="Times New Roman"/>
          <w:sz w:val="28"/>
          <w:szCs w:val="28"/>
        </w:rPr>
        <w:t>很缺乏，即使是我國政府發佈的《海外市場經貿年報》、《投資環境簡介》等，頂多做到一年一版，並非即時資訊。同時我國也較偏重經貿資訊，並沒有有關生活資訊的刊物，可效法日本在深入對於其它國家的文化瞭解。例如在緬甸的日本餐廳，裡面就免費發送日本海外振興機構印製的小冊子，向日本人介紹所有緬甸當地有關食衣住行育樂的各種資訊。</w:t>
      </w:r>
    </w:p>
    <w:p w:rsidR="003C3DA7" w:rsidRPr="00C77E77" w:rsidRDefault="00EB63F3" w:rsidP="0001327A">
      <w:pPr>
        <w:pStyle w:val="ab"/>
        <w:widowControl/>
        <w:numPr>
          <w:ilvl w:val="0"/>
          <w:numId w:val="127"/>
        </w:numPr>
        <w:spacing w:beforeLines="50" w:before="180" w:afterLines="50" w:after="180" w:line="500" w:lineRule="exact"/>
        <w:ind w:leftChars="0" w:left="426"/>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靈活</w:t>
      </w:r>
      <w:r w:rsidR="00E874C4" w:rsidRPr="00C77E77">
        <w:rPr>
          <w:rFonts w:ascii="Times New Roman" w:eastAsia="標楷體" w:hAnsi="Times New Roman" w:cs="Times New Roman"/>
          <w:b/>
          <w:color w:val="000000" w:themeColor="text1"/>
          <w:sz w:val="28"/>
          <w:szCs w:val="28"/>
        </w:rPr>
        <w:t>採取與第三國合作的模式</w:t>
      </w:r>
    </w:p>
    <w:p w:rsidR="003C3DA7" w:rsidRPr="00C77E77" w:rsidRDefault="00FD0D5A" w:rsidP="003C3DA7">
      <w:pPr>
        <w:widowControl/>
        <w:spacing w:beforeLines="50" w:before="180" w:afterLines="50" w:after="180" w:line="500" w:lineRule="exact"/>
        <w:ind w:left="426"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臺</w:t>
      </w:r>
      <w:r w:rsidR="00052C5C" w:rsidRPr="00C77E77">
        <w:rPr>
          <w:rFonts w:ascii="Times New Roman" w:eastAsia="標楷體" w:hAnsi="Times New Roman" w:cs="Times New Roman"/>
          <w:color w:val="000000" w:themeColor="text1"/>
          <w:sz w:val="28"/>
          <w:szCs w:val="28"/>
        </w:rPr>
        <w:t>灣工程的弱點是缺乏政府後援，在未來兩岸關係不明朗的情勢下，除了中國大陸以外，</w:t>
      </w:r>
      <w:r w:rsidR="00E524DA" w:rsidRPr="00C77E77">
        <w:rPr>
          <w:rFonts w:ascii="Times New Roman" w:eastAsia="標楷體" w:hAnsi="Times New Roman" w:cs="Times New Roman"/>
          <w:color w:val="000000" w:themeColor="text1"/>
          <w:sz w:val="28"/>
          <w:szCs w:val="28"/>
        </w:rPr>
        <w:t>臺</w:t>
      </w:r>
      <w:r w:rsidR="00052C5C" w:rsidRPr="00C77E77">
        <w:rPr>
          <w:rFonts w:ascii="Times New Roman" w:eastAsia="標楷體" w:hAnsi="Times New Roman" w:cs="Times New Roman"/>
          <w:color w:val="000000" w:themeColor="text1"/>
          <w:sz w:val="28"/>
          <w:szCs w:val="28"/>
        </w:rPr>
        <w:t>灣應該更加靈活的選擇新南向政策的合作夥伴，包括西方國家、日本等</w:t>
      </w:r>
      <w:r w:rsidR="00E52246" w:rsidRPr="00C77E77">
        <w:rPr>
          <w:rFonts w:ascii="Times New Roman" w:eastAsia="標楷體" w:hAnsi="Times New Roman" w:cs="Times New Roman"/>
          <w:color w:val="000000" w:themeColor="text1"/>
          <w:sz w:val="28"/>
          <w:szCs w:val="28"/>
        </w:rPr>
        <w:t>國</w:t>
      </w:r>
      <w:r w:rsidR="00052C5C" w:rsidRPr="00C77E77">
        <w:rPr>
          <w:rFonts w:ascii="Times New Roman" w:eastAsia="標楷體" w:hAnsi="Times New Roman" w:cs="Times New Roman"/>
          <w:color w:val="000000" w:themeColor="text1"/>
          <w:sz w:val="28"/>
          <w:szCs w:val="28"/>
        </w:rPr>
        <w:t>合作進軍東協市場，對我國的產業升級也能有所幫助。</w:t>
      </w:r>
      <w:r w:rsidR="00C46FA7" w:rsidRPr="00C77E77">
        <w:rPr>
          <w:rFonts w:ascii="Times New Roman" w:eastAsia="標楷體" w:hAnsi="Times New Roman" w:cs="Times New Roman"/>
          <w:color w:val="000000" w:themeColor="text1"/>
          <w:sz w:val="28"/>
          <w:szCs w:val="28"/>
        </w:rPr>
        <w:t>舉</w:t>
      </w:r>
      <w:r w:rsidR="00052C5C" w:rsidRPr="00C77E77">
        <w:rPr>
          <w:rFonts w:ascii="Times New Roman" w:eastAsia="標楷體" w:hAnsi="Times New Roman" w:cs="Times New Roman"/>
          <w:color w:val="000000" w:themeColor="text1"/>
          <w:sz w:val="28"/>
          <w:szCs w:val="28"/>
        </w:rPr>
        <w:t>例來說，</w:t>
      </w:r>
      <w:r w:rsidR="00E524DA" w:rsidRPr="00C77E77">
        <w:rPr>
          <w:rFonts w:ascii="Times New Roman" w:eastAsia="標楷體" w:hAnsi="Times New Roman" w:cs="Times New Roman"/>
          <w:color w:val="000000" w:themeColor="text1"/>
          <w:sz w:val="28"/>
          <w:szCs w:val="28"/>
        </w:rPr>
        <w:t>臺</w:t>
      </w:r>
      <w:r w:rsidR="00052C5C" w:rsidRPr="00C77E77">
        <w:rPr>
          <w:rFonts w:ascii="Times New Roman" w:eastAsia="標楷體" w:hAnsi="Times New Roman" w:cs="Times New Roman"/>
          <w:color w:val="000000" w:themeColor="text1"/>
          <w:sz w:val="28"/>
          <w:szCs w:val="28"/>
        </w:rPr>
        <w:t>灣的</w:t>
      </w:r>
      <w:r w:rsidR="003C3DA7" w:rsidRPr="00C77E77">
        <w:rPr>
          <w:rFonts w:ascii="Times New Roman" w:eastAsia="標楷體" w:hAnsi="Times New Roman" w:cs="Times New Roman"/>
          <w:color w:val="000000" w:themeColor="text1"/>
          <w:sz w:val="28"/>
          <w:szCs w:val="28"/>
        </w:rPr>
        <w:t>大陸</w:t>
      </w:r>
      <w:r w:rsidR="00052C5C" w:rsidRPr="00C77E77">
        <w:rPr>
          <w:rFonts w:ascii="Times New Roman" w:eastAsia="標楷體" w:hAnsi="Times New Roman" w:cs="Times New Roman"/>
          <w:color w:val="000000" w:themeColor="text1"/>
          <w:sz w:val="28"/>
          <w:szCs w:val="28"/>
        </w:rPr>
        <w:t>工程</w:t>
      </w:r>
      <w:r w:rsidR="003C3DA7" w:rsidRPr="00C77E77">
        <w:rPr>
          <w:rFonts w:ascii="Times New Roman" w:eastAsia="標楷體" w:hAnsi="Times New Roman" w:cs="Times New Roman"/>
          <w:color w:val="000000" w:themeColor="text1"/>
          <w:sz w:val="28"/>
          <w:szCs w:val="28"/>
        </w:rPr>
        <w:t>、中鼎</w:t>
      </w:r>
      <w:r w:rsidR="00052C5C" w:rsidRPr="00C77E77">
        <w:rPr>
          <w:rFonts w:ascii="Times New Roman" w:eastAsia="標楷體" w:hAnsi="Times New Roman" w:cs="Times New Roman"/>
          <w:color w:val="000000" w:themeColor="text1"/>
          <w:sz w:val="28"/>
          <w:szCs w:val="28"/>
        </w:rPr>
        <w:t>工程從</w:t>
      </w:r>
      <w:r w:rsidR="00C46FA7" w:rsidRPr="00C77E77">
        <w:rPr>
          <w:rFonts w:ascii="Times New Roman" w:eastAsia="標楷體" w:hAnsi="Times New Roman" w:cs="Times New Roman"/>
          <w:color w:val="000000" w:themeColor="text1"/>
          <w:sz w:val="28"/>
          <w:szCs w:val="28"/>
        </w:rPr>
        <w:t>新加坡赴</w:t>
      </w:r>
      <w:r w:rsidR="003C3DA7" w:rsidRPr="00C77E77">
        <w:rPr>
          <w:rFonts w:ascii="Times New Roman" w:eastAsia="標楷體" w:hAnsi="Times New Roman" w:cs="Times New Roman"/>
          <w:color w:val="000000" w:themeColor="text1"/>
          <w:sz w:val="28"/>
          <w:szCs w:val="28"/>
        </w:rPr>
        <w:t>印度從事人行道、地鐵、環保衛生</w:t>
      </w:r>
      <w:r w:rsidR="00052C5C" w:rsidRPr="00C77E77">
        <w:rPr>
          <w:rFonts w:ascii="Times New Roman" w:eastAsia="標楷體" w:hAnsi="Times New Roman" w:cs="Times New Roman"/>
          <w:color w:val="000000" w:themeColor="text1"/>
          <w:sz w:val="28"/>
          <w:szCs w:val="28"/>
        </w:rPr>
        <w:t>工程</w:t>
      </w:r>
      <w:r w:rsidR="003C3DA7" w:rsidRPr="00C77E77">
        <w:rPr>
          <w:rFonts w:ascii="Times New Roman" w:eastAsia="標楷體" w:hAnsi="Times New Roman" w:cs="Times New Roman"/>
          <w:color w:val="000000" w:themeColor="text1"/>
          <w:sz w:val="28"/>
          <w:szCs w:val="28"/>
        </w:rPr>
        <w:t>（另有些公司作街道清掃工作），</w:t>
      </w:r>
      <w:r w:rsidR="00C46FA7" w:rsidRPr="00C77E77">
        <w:rPr>
          <w:rFonts w:ascii="Times New Roman" w:eastAsia="標楷體" w:hAnsi="Times New Roman" w:cs="Times New Roman"/>
          <w:color w:val="000000" w:themeColor="text1"/>
          <w:sz w:val="28"/>
          <w:szCs w:val="28"/>
        </w:rPr>
        <w:t>但是</w:t>
      </w:r>
      <w:r w:rsidR="003C3DA7" w:rsidRPr="00C77E77">
        <w:rPr>
          <w:rFonts w:ascii="Times New Roman" w:eastAsia="標楷體" w:hAnsi="Times New Roman" w:cs="Times New Roman"/>
          <w:color w:val="000000" w:themeColor="text1"/>
          <w:sz w:val="28"/>
          <w:szCs w:val="28"/>
        </w:rPr>
        <w:t>價格</w:t>
      </w:r>
      <w:r w:rsidR="00C46FA7" w:rsidRPr="00C77E77">
        <w:rPr>
          <w:rFonts w:ascii="Times New Roman" w:eastAsia="標楷體" w:hAnsi="Times New Roman" w:cs="Times New Roman"/>
          <w:color w:val="000000" w:themeColor="text1"/>
          <w:sz w:val="28"/>
          <w:szCs w:val="28"/>
        </w:rPr>
        <w:t>並</w:t>
      </w:r>
      <w:r w:rsidR="00245EAB" w:rsidRPr="00C77E77">
        <w:rPr>
          <w:rFonts w:ascii="Times New Roman" w:eastAsia="標楷體" w:hAnsi="Times New Roman" w:cs="Times New Roman"/>
          <w:color w:val="000000" w:themeColor="text1"/>
          <w:sz w:val="28"/>
          <w:szCs w:val="28"/>
        </w:rPr>
        <w:t>不好；</w:t>
      </w:r>
      <w:r w:rsidR="003C3DA7" w:rsidRPr="00C77E77">
        <w:rPr>
          <w:rFonts w:ascii="Times New Roman" w:eastAsia="標楷體" w:hAnsi="Times New Roman" w:cs="Times New Roman"/>
          <w:color w:val="000000" w:themeColor="text1"/>
          <w:sz w:val="28"/>
          <w:szCs w:val="28"/>
        </w:rPr>
        <w:t>相對的，日本政府</w:t>
      </w:r>
      <w:r w:rsidR="00C46FA7" w:rsidRPr="00C77E77">
        <w:rPr>
          <w:rFonts w:ascii="Times New Roman" w:eastAsia="標楷體" w:hAnsi="Times New Roman" w:cs="Times New Roman"/>
          <w:color w:val="000000" w:themeColor="text1"/>
          <w:sz w:val="28"/>
          <w:szCs w:val="28"/>
        </w:rPr>
        <w:t>會</w:t>
      </w:r>
      <w:r w:rsidR="003C3DA7" w:rsidRPr="00C77E77">
        <w:rPr>
          <w:rFonts w:ascii="Times New Roman" w:eastAsia="標楷體" w:hAnsi="Times New Roman" w:cs="Times New Roman"/>
          <w:color w:val="000000" w:themeColor="text1"/>
          <w:sz w:val="28"/>
          <w:szCs w:val="28"/>
        </w:rPr>
        <w:t>協助大企業向印度政府取得價格較好的訂單。</w:t>
      </w:r>
      <w:r w:rsidR="00052C5C" w:rsidRPr="00C77E77">
        <w:rPr>
          <w:rFonts w:ascii="Times New Roman" w:eastAsia="標楷體" w:hAnsi="Times New Roman" w:cs="Times New Roman"/>
          <w:color w:val="000000" w:themeColor="text1"/>
          <w:sz w:val="28"/>
          <w:szCs w:val="28"/>
        </w:rPr>
        <w:t>臺灣可思考附著在第三國的一條龍建設下做事，例如</w:t>
      </w:r>
      <w:r w:rsidR="003C3DA7" w:rsidRPr="00C77E77">
        <w:rPr>
          <w:rFonts w:ascii="Times New Roman" w:eastAsia="標楷體" w:hAnsi="Times New Roman" w:cs="Times New Roman"/>
          <w:color w:val="000000" w:themeColor="text1"/>
          <w:sz w:val="28"/>
          <w:szCs w:val="28"/>
        </w:rPr>
        <w:t>效法在印度清奈或越南胡志明市建地鐵的作法，跟日本信號公司合作，變成他們一條龍方式帶領的下包商。</w:t>
      </w:r>
      <w:r w:rsidR="00245EAB" w:rsidRPr="00C77E77">
        <w:rPr>
          <w:rFonts w:ascii="Times New Roman" w:eastAsia="標楷體" w:hAnsi="Times New Roman" w:cs="Times New Roman"/>
          <w:color w:val="000000" w:themeColor="text1"/>
          <w:sz w:val="28"/>
          <w:szCs w:val="28"/>
        </w:rPr>
        <w:t>為強化日本與我國合作的意願，必須分析日本廠商</w:t>
      </w:r>
      <w:r w:rsidR="00514D83" w:rsidRPr="00C77E77">
        <w:rPr>
          <w:rFonts w:ascii="Times New Roman" w:eastAsia="標楷體" w:hAnsi="Times New Roman" w:cs="Times New Roman"/>
          <w:color w:val="000000" w:themeColor="text1"/>
          <w:sz w:val="28"/>
          <w:szCs w:val="28"/>
        </w:rPr>
        <w:t>並增加</w:t>
      </w:r>
      <w:r w:rsidR="00C14254" w:rsidRPr="00C77E77">
        <w:rPr>
          <w:rFonts w:ascii="Times New Roman" w:eastAsia="標楷體" w:hAnsi="Times New Roman" w:cs="Times New Roman"/>
          <w:color w:val="000000" w:themeColor="text1"/>
          <w:sz w:val="28"/>
          <w:szCs w:val="28"/>
        </w:rPr>
        <w:t>雙方</w:t>
      </w:r>
      <w:r w:rsidR="00514D83" w:rsidRPr="00C77E77">
        <w:rPr>
          <w:rFonts w:ascii="Times New Roman" w:eastAsia="標楷體" w:hAnsi="Times New Roman" w:cs="Times New Roman"/>
          <w:color w:val="000000" w:themeColor="text1"/>
          <w:sz w:val="28"/>
          <w:szCs w:val="28"/>
        </w:rPr>
        <w:t>交流，</w:t>
      </w:r>
      <w:r w:rsidR="00C14254" w:rsidRPr="00C77E77">
        <w:rPr>
          <w:rFonts w:ascii="Times New Roman" w:eastAsia="標楷體" w:hAnsi="Times New Roman" w:cs="Times New Roman"/>
          <w:color w:val="000000" w:themeColor="text1"/>
          <w:sz w:val="28"/>
          <w:szCs w:val="28"/>
        </w:rPr>
        <w:t>擴大</w:t>
      </w:r>
      <w:r w:rsidR="00245EAB" w:rsidRPr="00C77E77">
        <w:rPr>
          <w:rFonts w:ascii="Times New Roman" w:eastAsia="標楷體" w:hAnsi="Times New Roman" w:cs="Times New Roman"/>
          <w:color w:val="000000" w:themeColor="text1"/>
          <w:sz w:val="28"/>
          <w:szCs w:val="28"/>
        </w:rPr>
        <w:t>與臺商合作</w:t>
      </w:r>
      <w:r w:rsidR="00514D83" w:rsidRPr="00C77E77">
        <w:rPr>
          <w:rFonts w:ascii="Times New Roman" w:eastAsia="標楷體" w:hAnsi="Times New Roman" w:cs="Times New Roman"/>
          <w:color w:val="000000" w:themeColor="text1"/>
          <w:sz w:val="28"/>
          <w:szCs w:val="28"/>
        </w:rPr>
        <w:t>的</w:t>
      </w:r>
      <w:r w:rsidR="00245EAB" w:rsidRPr="00C77E77">
        <w:rPr>
          <w:rFonts w:ascii="Times New Roman" w:eastAsia="標楷體" w:hAnsi="Times New Roman" w:cs="Times New Roman"/>
          <w:color w:val="000000" w:themeColor="text1"/>
          <w:sz w:val="28"/>
          <w:szCs w:val="28"/>
        </w:rPr>
        <w:t>動機和誘因。</w:t>
      </w:r>
    </w:p>
    <w:p w:rsidR="003C3DA7" w:rsidRPr="00C77E77" w:rsidRDefault="003C3DA7" w:rsidP="0001327A">
      <w:pPr>
        <w:pStyle w:val="ab"/>
        <w:numPr>
          <w:ilvl w:val="0"/>
          <w:numId w:val="124"/>
        </w:numPr>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強化人才交流之建議</w:t>
      </w:r>
    </w:p>
    <w:p w:rsidR="003C3DA7" w:rsidRPr="00C77E77" w:rsidRDefault="003C3DA7" w:rsidP="0001327A">
      <w:pPr>
        <w:pStyle w:val="ab"/>
        <w:numPr>
          <w:ilvl w:val="0"/>
          <w:numId w:val="130"/>
        </w:numPr>
        <w:spacing w:line="500" w:lineRule="exact"/>
        <w:ind w:leftChars="0" w:left="426"/>
        <w:rPr>
          <w:rFonts w:ascii="Times New Roman" w:eastAsia="標楷體" w:hAnsi="Times New Roman" w:cs="Times New Roman"/>
          <w:sz w:val="28"/>
          <w:szCs w:val="28"/>
        </w:rPr>
      </w:pPr>
      <w:r w:rsidRPr="00C77E77">
        <w:rPr>
          <w:rFonts w:ascii="Times New Roman" w:eastAsia="標楷體" w:hAnsi="Times New Roman" w:cs="Times New Roman"/>
          <w:b/>
          <w:sz w:val="28"/>
          <w:szCs w:val="28"/>
        </w:rPr>
        <w:t>啟動白領移民政策</w:t>
      </w:r>
      <w:r w:rsidRPr="00C77E77">
        <w:rPr>
          <w:rFonts w:ascii="Times New Roman" w:eastAsia="標楷體" w:hAnsi="Times New Roman" w:cs="Times New Roman"/>
          <w:sz w:val="28"/>
          <w:szCs w:val="28"/>
        </w:rPr>
        <w:t>。</w:t>
      </w:r>
    </w:p>
    <w:p w:rsidR="003C3DA7" w:rsidRPr="00C77E77" w:rsidRDefault="003C3DA7" w:rsidP="003C3DA7">
      <w:pPr>
        <w:spacing w:line="500" w:lineRule="exact"/>
        <w:ind w:left="480" w:firstLine="414"/>
        <w:rPr>
          <w:rFonts w:ascii="Times New Roman" w:eastAsia="標楷體" w:hAnsi="Times New Roman" w:cs="Times New Roman"/>
          <w:sz w:val="28"/>
          <w:szCs w:val="28"/>
        </w:rPr>
      </w:pPr>
      <w:r w:rsidRPr="00C77E77">
        <w:rPr>
          <w:rFonts w:ascii="Times New Roman" w:eastAsia="標楷體" w:hAnsi="Times New Roman" w:cs="Times New Roman"/>
          <w:sz w:val="28"/>
          <w:szCs w:val="28"/>
        </w:rPr>
        <w:t>類似美國綠卡的設計，透過白領移民政策吸引東南亞人才到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灣來念書，畢業後找到工作，公司替他們申請「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灣綠卡」，一來降低我國少子化之後，學校退場的問題，二來企業會因這些東南亞來的留學生進行移民簽證而非外籍員工身分，提高雇用意願。另外，也應設法提升東南亞</w:t>
      </w:r>
      <w:r w:rsidRPr="00C77E77">
        <w:rPr>
          <w:rFonts w:ascii="Times New Roman" w:eastAsia="標楷體" w:hAnsi="Times New Roman" w:cs="Times New Roman"/>
          <w:sz w:val="28"/>
          <w:szCs w:val="28"/>
        </w:rPr>
        <w:lastRenderedPageBreak/>
        <w:t>高階人才的招募比例，像工研院就將提升外國人才雇用率到</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為目標，促進國際化。</w:t>
      </w:r>
    </w:p>
    <w:p w:rsidR="003C3DA7" w:rsidRPr="00C77E77" w:rsidRDefault="003C3DA7" w:rsidP="0001327A">
      <w:pPr>
        <w:pStyle w:val="ab"/>
        <w:numPr>
          <w:ilvl w:val="0"/>
          <w:numId w:val="130"/>
        </w:numPr>
        <w:spacing w:line="500" w:lineRule="exact"/>
        <w:ind w:leftChars="0" w:left="426"/>
        <w:rPr>
          <w:rFonts w:ascii="Times New Roman" w:eastAsia="標楷體" w:hAnsi="Times New Roman" w:cs="Times New Roman"/>
          <w:sz w:val="28"/>
          <w:szCs w:val="28"/>
        </w:rPr>
      </w:pPr>
      <w:r w:rsidRPr="00C77E77">
        <w:rPr>
          <w:rFonts w:ascii="Times New Roman" w:eastAsia="標楷體" w:hAnsi="Times New Roman" w:cs="Times New Roman"/>
          <w:b/>
          <w:sz w:val="28"/>
          <w:szCs w:val="28"/>
        </w:rPr>
        <w:t>爭取華語教學市場</w:t>
      </w:r>
      <w:r w:rsidRPr="00C77E77">
        <w:rPr>
          <w:rFonts w:ascii="Times New Roman" w:eastAsia="標楷體" w:hAnsi="Times New Roman" w:cs="Times New Roman"/>
          <w:sz w:val="28"/>
          <w:szCs w:val="28"/>
        </w:rPr>
        <w:t>。</w:t>
      </w:r>
    </w:p>
    <w:p w:rsidR="003C3DA7" w:rsidRPr="00C77E77" w:rsidRDefault="003C3DA7" w:rsidP="003C3DA7">
      <w:pPr>
        <w:pStyle w:val="ab"/>
        <w:spacing w:line="500" w:lineRule="exact"/>
        <w:ind w:leftChars="0" w:firstLine="480"/>
        <w:rPr>
          <w:rFonts w:ascii="Times New Roman" w:eastAsia="標楷體" w:hAnsi="Times New Roman" w:cs="Times New Roman"/>
          <w:sz w:val="28"/>
          <w:szCs w:val="28"/>
        </w:rPr>
      </w:pPr>
      <w:r w:rsidRPr="00C77E77">
        <w:rPr>
          <w:rFonts w:ascii="Times New Roman" w:eastAsia="標楷體" w:hAnsi="Times New Roman" w:cs="Times New Roman"/>
          <w:sz w:val="28"/>
          <w:szCs w:val="28"/>
        </w:rPr>
        <w:t>例如印度政府和民眾都重視和中國大陸的經濟交流，但是因為在安全上和政治上提防著中國人，所以除了學生以外，中國人來印度觀光和工作的簽證不容易取得。這也就給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灣很好的機會，加上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灣的文化內涵、社會安全、飲食環境等都比中國大陸有優勢。所以我國可以開設華語教學補習班，或與當地的中學、大學合作開設中文課程，甚至可以整合若干</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灣的私立學校來當地開設中文學校。</w:t>
      </w:r>
    </w:p>
    <w:p w:rsidR="003C3DA7" w:rsidRPr="00C77E77" w:rsidRDefault="00FD0D5A" w:rsidP="0001327A">
      <w:pPr>
        <w:pStyle w:val="ab"/>
        <w:numPr>
          <w:ilvl w:val="0"/>
          <w:numId w:val="130"/>
        </w:numPr>
        <w:spacing w:line="500" w:lineRule="exact"/>
        <w:ind w:leftChars="0" w:left="426"/>
        <w:rPr>
          <w:rFonts w:ascii="Times New Roman" w:eastAsia="標楷體" w:hAnsi="Times New Roman" w:cs="Times New Roman"/>
          <w:sz w:val="28"/>
          <w:szCs w:val="28"/>
        </w:rPr>
      </w:pPr>
      <w:r w:rsidRPr="00C77E77">
        <w:rPr>
          <w:rFonts w:ascii="Times New Roman" w:eastAsia="標楷體" w:hAnsi="Times New Roman" w:cs="Times New Roman"/>
          <w:b/>
          <w:sz w:val="28"/>
          <w:szCs w:val="28"/>
        </w:rPr>
        <w:t>臺</w:t>
      </w:r>
      <w:r w:rsidR="003C3DA7" w:rsidRPr="00C77E77">
        <w:rPr>
          <w:rFonts w:ascii="Times New Roman" w:eastAsia="標楷體" w:hAnsi="Times New Roman" w:cs="Times New Roman"/>
          <w:b/>
          <w:sz w:val="28"/>
          <w:szCs w:val="28"/>
        </w:rPr>
        <w:t>灣學校的知名度不足，需要有更多的宣傳</w:t>
      </w:r>
      <w:r w:rsidR="00C43C65" w:rsidRPr="00C77E77">
        <w:rPr>
          <w:rFonts w:ascii="Times New Roman" w:eastAsia="標楷體" w:hAnsi="Times New Roman" w:cs="Times New Roman"/>
          <w:b/>
          <w:sz w:val="28"/>
          <w:szCs w:val="28"/>
        </w:rPr>
        <w:t>（</w:t>
      </w:r>
      <w:r w:rsidR="00C43C65" w:rsidRPr="00C77E77">
        <w:rPr>
          <w:rFonts w:ascii="Times New Roman" w:eastAsia="標楷體" w:hAnsi="Times New Roman" w:cs="Times New Roman"/>
          <w:b/>
          <w:sz w:val="28"/>
          <w:szCs w:val="28"/>
        </w:rPr>
        <w:t>publicity</w:t>
      </w:r>
      <w:r w:rsidR="00C43C65" w:rsidRPr="00C77E77">
        <w:rPr>
          <w:rFonts w:ascii="Times New Roman" w:eastAsia="標楷體" w:hAnsi="Times New Roman" w:cs="Times New Roman"/>
          <w:b/>
          <w:sz w:val="28"/>
          <w:szCs w:val="28"/>
        </w:rPr>
        <w:t>）</w:t>
      </w:r>
      <w:r w:rsidR="003C3DA7" w:rsidRPr="00C77E77">
        <w:rPr>
          <w:rFonts w:ascii="Times New Roman" w:eastAsia="標楷體" w:hAnsi="Times New Roman" w:cs="Times New Roman"/>
          <w:sz w:val="28"/>
          <w:szCs w:val="28"/>
        </w:rPr>
        <w:t>。</w:t>
      </w:r>
    </w:p>
    <w:p w:rsidR="003C3DA7" w:rsidRPr="00C77E77" w:rsidRDefault="003C3DA7" w:rsidP="003C3DA7">
      <w:pPr>
        <w:spacing w:line="500" w:lineRule="exact"/>
        <w:ind w:left="360" w:firstLine="480"/>
        <w:rPr>
          <w:rFonts w:ascii="Times New Roman" w:eastAsia="標楷體" w:hAnsi="Times New Roman" w:cs="Times New Roman"/>
          <w:sz w:val="28"/>
          <w:szCs w:val="28"/>
        </w:rPr>
      </w:pPr>
      <w:r w:rsidRPr="00C77E77">
        <w:rPr>
          <w:rFonts w:ascii="Times New Roman" w:eastAsia="標楷體" w:hAnsi="Times New Roman" w:cs="Times New Roman"/>
          <w:sz w:val="28"/>
          <w:szCs w:val="28"/>
        </w:rPr>
        <w:t>諸如教育展及報紙廣告等方式，以及多到高中進行宣傳、利用獎學金吸引，也可以利用留學顧問公司。許多</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灣的大學都能提供英語教學，</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灣的高等教育也不昂貴，加上工程、醫學、商業管理是印度學生最有興趣的三個領域。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灣的技職教育也能提供所需，臺灣可以分享中小企業及創新能力。</w:t>
      </w:r>
    </w:p>
    <w:p w:rsidR="003C3DA7" w:rsidRPr="00C77E77" w:rsidRDefault="003C3DA7" w:rsidP="0001327A">
      <w:pPr>
        <w:pStyle w:val="ab"/>
        <w:widowControl/>
        <w:numPr>
          <w:ilvl w:val="0"/>
          <w:numId w:val="130"/>
        </w:numPr>
        <w:spacing w:beforeLines="50" w:before="180" w:afterLines="50" w:after="180" w:line="500" w:lineRule="exact"/>
        <w:ind w:leftChars="0" w:left="426"/>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提升</w:t>
      </w:r>
      <w:r w:rsidR="00FD0D5A" w:rsidRPr="00C77E77">
        <w:rPr>
          <w:rFonts w:ascii="Times New Roman" w:eastAsia="標楷體" w:hAnsi="Times New Roman" w:cs="Times New Roman"/>
          <w:b/>
          <w:sz w:val="28"/>
          <w:szCs w:val="28"/>
        </w:rPr>
        <w:t>臺</w:t>
      </w:r>
      <w:r w:rsidRPr="00C77E77">
        <w:rPr>
          <w:rFonts w:ascii="Times New Roman" w:eastAsia="標楷體" w:hAnsi="Times New Roman" w:cs="Times New Roman"/>
          <w:b/>
          <w:sz w:val="28"/>
          <w:szCs w:val="28"/>
        </w:rPr>
        <w:t>商學校建設與品質，攸關國際形象</w:t>
      </w:r>
      <w:r w:rsidRPr="00C77E77">
        <w:rPr>
          <w:rFonts w:ascii="Times New Roman" w:eastAsia="標楷體" w:hAnsi="Times New Roman" w:cs="Times New Roman"/>
          <w:sz w:val="28"/>
          <w:szCs w:val="28"/>
        </w:rPr>
        <w:t>。</w:t>
      </w:r>
    </w:p>
    <w:p w:rsidR="00A131B6" w:rsidRPr="00C77E77" w:rsidRDefault="00FD0D5A" w:rsidP="00A131B6">
      <w:pPr>
        <w:pStyle w:val="ab"/>
        <w:widowControl/>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灣學校係以招收</w:t>
      </w: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籍學生返</w:t>
      </w: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銜接升學為主，設立海外學校具有安頓家庭及協助企業發展之助益。目前東南亞地區之海外</w:t>
      </w: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灣學校有印尼雅加達</w:t>
      </w: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灣學校（</w:t>
      </w:r>
      <w:r w:rsidR="00A131B6" w:rsidRPr="00C77E77">
        <w:rPr>
          <w:rFonts w:ascii="Times New Roman" w:eastAsia="標楷體" w:hAnsi="Times New Roman" w:cs="Times New Roman"/>
          <w:sz w:val="28"/>
          <w:szCs w:val="28"/>
        </w:rPr>
        <w:t>Jakarta Taipei School</w:t>
      </w:r>
      <w:r w:rsidR="00A131B6" w:rsidRPr="00C77E77">
        <w:rPr>
          <w:rFonts w:ascii="Times New Roman" w:eastAsia="標楷體" w:hAnsi="Times New Roman" w:cs="Times New Roman"/>
          <w:sz w:val="28"/>
          <w:szCs w:val="28"/>
        </w:rPr>
        <w:t>）、馬來西亞吉隆坡</w:t>
      </w: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灣學校（</w:t>
      </w:r>
      <w:r w:rsidR="00A131B6" w:rsidRPr="00C77E77">
        <w:rPr>
          <w:rFonts w:ascii="Times New Roman" w:eastAsia="標楷體" w:hAnsi="Times New Roman" w:cs="Times New Roman"/>
          <w:sz w:val="28"/>
          <w:szCs w:val="28"/>
        </w:rPr>
        <w:t>Chinese Taipei School-Kuala Lumpur</w:t>
      </w:r>
      <w:r w:rsidR="00A131B6" w:rsidRPr="00C77E77">
        <w:rPr>
          <w:rFonts w:ascii="Times New Roman" w:eastAsia="標楷體" w:hAnsi="Times New Roman" w:cs="Times New Roman"/>
          <w:sz w:val="28"/>
          <w:szCs w:val="28"/>
        </w:rPr>
        <w:t>）、印尼泗水</w:t>
      </w: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北國際學校（</w:t>
      </w:r>
      <w:r w:rsidR="00A131B6" w:rsidRPr="00C77E77">
        <w:rPr>
          <w:rFonts w:ascii="Times New Roman" w:eastAsia="標楷體" w:hAnsi="Times New Roman" w:cs="Times New Roman"/>
          <w:sz w:val="28"/>
          <w:szCs w:val="28"/>
        </w:rPr>
        <w:t>Surabaya Taipei International School</w:t>
      </w:r>
      <w:r w:rsidR="00A4099B" w:rsidRPr="00C77E77">
        <w:rPr>
          <w:rFonts w:ascii="Times New Roman" w:eastAsia="標楷體" w:hAnsi="Times New Roman" w:cs="Times New Roman"/>
          <w:sz w:val="28"/>
          <w:szCs w:val="28"/>
        </w:rPr>
        <w:t>）</w:t>
      </w:r>
      <w:r w:rsidR="00A131B6" w:rsidRPr="00C77E77">
        <w:rPr>
          <w:rFonts w:ascii="Times New Roman" w:eastAsia="標楷體" w:hAnsi="Times New Roman" w:cs="Times New Roman"/>
          <w:sz w:val="28"/>
          <w:szCs w:val="28"/>
        </w:rPr>
        <w:t>、越南胡志明市</w:t>
      </w: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灣學校（</w:t>
      </w:r>
      <w:r w:rsidR="00A131B6" w:rsidRPr="00C77E77">
        <w:rPr>
          <w:rFonts w:ascii="Times New Roman" w:eastAsia="標楷體" w:hAnsi="Times New Roman" w:cs="Times New Roman"/>
          <w:sz w:val="28"/>
          <w:szCs w:val="28"/>
        </w:rPr>
        <w:t>Taipei School in Ho Chi Minh City</w:t>
      </w:r>
      <w:r w:rsidR="00A131B6" w:rsidRPr="00C77E77">
        <w:rPr>
          <w:rFonts w:ascii="Times New Roman" w:eastAsia="標楷體" w:hAnsi="Times New Roman" w:cs="Times New Roman"/>
          <w:sz w:val="28"/>
          <w:szCs w:val="28"/>
        </w:rPr>
        <w:t>）」及馬來西亞檳吉</w:t>
      </w:r>
      <w:r w:rsidRPr="00C77E77">
        <w:rPr>
          <w:rFonts w:ascii="Times New Roman" w:eastAsia="標楷體" w:hAnsi="Times New Roman" w:cs="Times New Roman"/>
          <w:sz w:val="28"/>
          <w:szCs w:val="28"/>
        </w:rPr>
        <w:t>臺</w:t>
      </w:r>
      <w:r w:rsidR="00A131B6" w:rsidRPr="00C77E77">
        <w:rPr>
          <w:rFonts w:ascii="Times New Roman" w:eastAsia="標楷體" w:hAnsi="Times New Roman" w:cs="Times New Roman"/>
          <w:sz w:val="28"/>
          <w:szCs w:val="28"/>
        </w:rPr>
        <w:t>灣學校（</w:t>
      </w:r>
      <w:r w:rsidR="00A131B6" w:rsidRPr="00C77E77">
        <w:rPr>
          <w:rFonts w:ascii="Times New Roman" w:eastAsia="標楷體" w:hAnsi="Times New Roman" w:cs="Times New Roman"/>
          <w:sz w:val="28"/>
          <w:szCs w:val="28"/>
        </w:rPr>
        <w:t>Chinese Taipei School-Penang</w:t>
      </w:r>
      <w:r w:rsidR="00A131B6" w:rsidRPr="00C77E77">
        <w:rPr>
          <w:rFonts w:ascii="Times New Roman" w:eastAsia="標楷體" w:hAnsi="Times New Roman" w:cs="Times New Roman"/>
          <w:sz w:val="28"/>
          <w:szCs w:val="28"/>
        </w:rPr>
        <w:t>）</w:t>
      </w:r>
      <w:r w:rsidR="00A4099B" w:rsidRPr="00C77E77">
        <w:rPr>
          <w:rFonts w:ascii="Times New Roman" w:eastAsia="標楷體" w:hAnsi="Times New Roman" w:cs="Times New Roman"/>
          <w:sz w:val="28"/>
          <w:szCs w:val="28"/>
        </w:rPr>
        <w:t>等</w:t>
      </w:r>
      <w:r w:rsidR="00A131B6" w:rsidRPr="00C77E77">
        <w:rPr>
          <w:rFonts w:ascii="Times New Roman" w:eastAsia="標楷體" w:hAnsi="Times New Roman" w:cs="Times New Roman"/>
          <w:sz w:val="28"/>
          <w:szCs w:val="28"/>
        </w:rPr>
        <w:t>。</w:t>
      </w:r>
    </w:p>
    <w:p w:rsidR="00A131B6" w:rsidRPr="00C77E77" w:rsidRDefault="00A4099B" w:rsidP="00A131B6">
      <w:pPr>
        <w:pStyle w:val="ab"/>
        <w:widowControl/>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海外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灣學校的辦學有其困難之處，學校生源主要是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商子女，課程內容是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灣教材。除非學校打造特色、樹立口碑，否則生源容易被國際學校、當地公辦或民辦的重點學校所瓜分。同時師生流動率極高，師</w:t>
      </w:r>
      <w:r w:rsidRPr="00C77E77">
        <w:rPr>
          <w:rFonts w:ascii="Times New Roman" w:eastAsia="標楷體" w:hAnsi="Times New Roman" w:cs="Times New Roman"/>
          <w:sz w:val="28"/>
          <w:szCs w:val="28"/>
        </w:rPr>
        <w:lastRenderedPageBreak/>
        <w:t>生之間需要不斷重新適應，影響</w:t>
      </w:r>
      <w:r w:rsidR="002D20E5" w:rsidRPr="00C77E77">
        <w:rPr>
          <w:rFonts w:ascii="Times New Roman" w:eastAsia="標楷體" w:hAnsi="Times New Roman" w:cs="Times New Roman"/>
          <w:sz w:val="28"/>
          <w:szCs w:val="28"/>
        </w:rPr>
        <w:t>了學校行政管理及</w:t>
      </w:r>
      <w:r w:rsidRPr="00C77E77">
        <w:rPr>
          <w:rFonts w:ascii="Times New Roman" w:eastAsia="標楷體" w:hAnsi="Times New Roman" w:cs="Times New Roman"/>
          <w:sz w:val="28"/>
          <w:szCs w:val="28"/>
        </w:rPr>
        <w:t>教師任教意願。加</w:t>
      </w:r>
      <w:r w:rsidR="002D20E5" w:rsidRPr="00C77E77">
        <w:rPr>
          <w:rFonts w:ascii="Times New Roman" w:eastAsia="標楷體" w:hAnsi="Times New Roman" w:cs="Times New Roman"/>
          <w:sz w:val="28"/>
          <w:szCs w:val="28"/>
        </w:rPr>
        <w:t>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灣政府僅能每隔一段時間派相關單位人員到校瞭解校務發展，較無法進行實質的監督、管理與輔導。</w:t>
      </w:r>
    </w:p>
    <w:p w:rsidR="00A131B6" w:rsidRPr="00C77E77" w:rsidRDefault="00A4099B" w:rsidP="00A131B6">
      <w:pPr>
        <w:pStyle w:val="ab"/>
        <w:widowControl/>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世越銀行總經理詹義方接受本研究團隊訪談時表示，</w:t>
      </w:r>
      <w:r w:rsidR="003C3DA7" w:rsidRPr="00C77E77">
        <w:rPr>
          <w:rFonts w:ascii="Times New Roman" w:eastAsia="標楷體" w:hAnsi="Times New Roman" w:cs="Times New Roman"/>
          <w:sz w:val="28"/>
          <w:szCs w:val="28"/>
        </w:rPr>
        <w:t>胡志明市</w:t>
      </w:r>
      <w:r w:rsidR="00FD0D5A"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商學校</w:t>
      </w:r>
      <w:r w:rsidR="0094142D" w:rsidRPr="00C77E77">
        <w:rPr>
          <w:rFonts w:ascii="Times New Roman" w:eastAsia="標楷體" w:hAnsi="Times New Roman" w:cs="Times New Roman"/>
          <w:sz w:val="28"/>
          <w:szCs w:val="28"/>
        </w:rPr>
        <w:t>位於國際學校林立的胡志明市第七郡，</w:t>
      </w:r>
      <w:r w:rsidRPr="00C77E77">
        <w:rPr>
          <w:rFonts w:ascii="Times New Roman" w:eastAsia="標楷體" w:hAnsi="Times New Roman" w:cs="Times New Roman"/>
          <w:sz w:val="28"/>
          <w:szCs w:val="28"/>
        </w:rPr>
        <w:t>但是</w:t>
      </w:r>
      <w:r w:rsidR="003C3DA7" w:rsidRPr="00C77E77">
        <w:rPr>
          <w:rFonts w:ascii="Times New Roman" w:eastAsia="標楷體" w:hAnsi="Times New Roman" w:cs="Times New Roman"/>
          <w:sz w:val="28"/>
          <w:szCs w:val="28"/>
        </w:rPr>
        <w:t>因為宿舍</w:t>
      </w:r>
      <w:r w:rsidRPr="00C77E77">
        <w:rPr>
          <w:rFonts w:ascii="Times New Roman" w:eastAsia="標楷體" w:hAnsi="Times New Roman" w:cs="Times New Roman"/>
          <w:sz w:val="28"/>
          <w:szCs w:val="28"/>
        </w:rPr>
        <w:t>改建的</w:t>
      </w:r>
      <w:r w:rsidR="003C3DA7" w:rsidRPr="00C77E77">
        <w:rPr>
          <w:rFonts w:ascii="Times New Roman" w:eastAsia="標楷體" w:hAnsi="Times New Roman" w:cs="Times New Roman"/>
          <w:sz w:val="28"/>
          <w:szCs w:val="28"/>
        </w:rPr>
        <w:t>建照</w:t>
      </w:r>
      <w:r w:rsidRPr="00C77E77">
        <w:rPr>
          <w:rFonts w:ascii="Times New Roman" w:eastAsia="標楷體" w:hAnsi="Times New Roman" w:cs="Times New Roman"/>
          <w:sz w:val="28"/>
          <w:szCs w:val="28"/>
        </w:rPr>
        <w:t>遲遲未發，加上</w:t>
      </w:r>
      <w:r w:rsidR="003C3DA7" w:rsidRPr="00C77E77">
        <w:rPr>
          <w:rFonts w:ascii="Times New Roman" w:eastAsia="標楷體" w:hAnsi="Times New Roman" w:cs="Times New Roman"/>
          <w:sz w:val="28"/>
          <w:szCs w:val="28"/>
        </w:rPr>
        <w:t>學校師資</w:t>
      </w:r>
      <w:r w:rsidRPr="00C77E77">
        <w:rPr>
          <w:rFonts w:ascii="Times New Roman" w:eastAsia="標楷體" w:hAnsi="Times New Roman" w:cs="Times New Roman"/>
          <w:sz w:val="28"/>
          <w:szCs w:val="28"/>
        </w:rPr>
        <w:t>不穩定</w:t>
      </w:r>
      <w:r w:rsidR="003C3DA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影響了辦學之競爭力</w:t>
      </w:r>
      <w:r w:rsidR="003C3DA7" w:rsidRPr="00C77E77">
        <w:rPr>
          <w:rFonts w:ascii="Times New Roman" w:eastAsia="標楷體" w:hAnsi="Times New Roman" w:cs="Times New Roman"/>
          <w:sz w:val="28"/>
          <w:szCs w:val="28"/>
        </w:rPr>
        <w:t>。</w:t>
      </w:r>
      <w:r w:rsidR="006E0614" w:rsidRPr="00C77E77">
        <w:rPr>
          <w:rFonts w:ascii="Times New Roman" w:eastAsia="標楷體" w:hAnsi="Times New Roman" w:cs="Times New Roman"/>
          <w:sz w:val="28"/>
          <w:szCs w:val="28"/>
        </w:rPr>
        <w:t>建議政府可以重新盤點東南亞地區之海外</w:t>
      </w:r>
      <w:r w:rsidR="00FD0D5A" w:rsidRPr="00C77E77">
        <w:rPr>
          <w:rFonts w:ascii="Times New Roman" w:eastAsia="標楷體" w:hAnsi="Times New Roman" w:cs="Times New Roman"/>
          <w:sz w:val="28"/>
          <w:szCs w:val="28"/>
        </w:rPr>
        <w:t>臺</w:t>
      </w:r>
      <w:r w:rsidR="006E0614" w:rsidRPr="00C77E77">
        <w:rPr>
          <w:rFonts w:ascii="Times New Roman" w:eastAsia="標楷體" w:hAnsi="Times New Roman" w:cs="Times New Roman"/>
          <w:sz w:val="28"/>
          <w:szCs w:val="28"/>
        </w:rPr>
        <w:t>灣學校的設立需求、學生數量、辦學品質等，集中經費支援提升軟硬體設備，</w:t>
      </w:r>
      <w:r w:rsidR="002D20E5" w:rsidRPr="00C77E77">
        <w:rPr>
          <w:rFonts w:ascii="Times New Roman" w:eastAsia="標楷體" w:hAnsi="Times New Roman" w:cs="Times New Roman"/>
          <w:sz w:val="28"/>
          <w:szCs w:val="28"/>
        </w:rPr>
        <w:t>強化海外學校競爭力及</w:t>
      </w:r>
      <w:r w:rsidR="006E0614" w:rsidRPr="00C77E77">
        <w:rPr>
          <w:rFonts w:ascii="Times New Roman" w:eastAsia="標楷體" w:hAnsi="Times New Roman" w:cs="Times New Roman"/>
          <w:sz w:val="28"/>
          <w:szCs w:val="28"/>
        </w:rPr>
        <w:t>師生學習成效</w:t>
      </w:r>
      <w:r w:rsidR="002D20E5" w:rsidRPr="00C77E77">
        <w:rPr>
          <w:rFonts w:ascii="Times New Roman" w:eastAsia="標楷體" w:hAnsi="Times New Roman" w:cs="Times New Roman"/>
          <w:sz w:val="28"/>
          <w:szCs w:val="28"/>
        </w:rPr>
        <w:t>。</w:t>
      </w:r>
    </w:p>
    <w:p w:rsidR="0018683C" w:rsidRPr="00C77E77" w:rsidRDefault="0018683C" w:rsidP="003C3DA7">
      <w:pPr>
        <w:pStyle w:val="ab"/>
        <w:widowControl/>
        <w:spacing w:beforeLines="50" w:before="180" w:afterLines="50" w:after="180" w:line="500" w:lineRule="exact"/>
        <w:ind w:leftChars="0" w:firstLine="480"/>
        <w:jc w:val="both"/>
        <w:rPr>
          <w:rFonts w:ascii="Times New Roman" w:eastAsia="標楷體" w:hAnsi="Times New Roman" w:cs="Times New Roman"/>
          <w:sz w:val="28"/>
          <w:szCs w:val="28"/>
        </w:rPr>
      </w:pPr>
    </w:p>
    <w:p w:rsidR="003C3DA7" w:rsidRPr="00C77E77" w:rsidRDefault="003C3DA7" w:rsidP="0001327A">
      <w:pPr>
        <w:pStyle w:val="ab"/>
        <w:widowControl/>
        <w:numPr>
          <w:ilvl w:val="0"/>
          <w:numId w:val="124"/>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連結海外</w:t>
      </w:r>
      <w:r w:rsidR="00FD0D5A" w:rsidRPr="00C77E77">
        <w:rPr>
          <w:rFonts w:ascii="Times New Roman" w:eastAsia="標楷體" w:hAnsi="Times New Roman" w:cs="Times New Roman"/>
          <w:b/>
          <w:sz w:val="28"/>
          <w:szCs w:val="28"/>
        </w:rPr>
        <w:t>臺</w:t>
      </w:r>
      <w:r w:rsidRPr="00C77E77">
        <w:rPr>
          <w:rFonts w:ascii="Times New Roman" w:eastAsia="標楷體" w:hAnsi="Times New Roman" w:cs="Times New Roman"/>
          <w:b/>
          <w:sz w:val="28"/>
          <w:szCs w:val="28"/>
        </w:rPr>
        <w:t>商網絡之建議</w:t>
      </w:r>
    </w:p>
    <w:p w:rsidR="003C3DA7" w:rsidRPr="00C77E77" w:rsidRDefault="003C3DA7" w:rsidP="0001327A">
      <w:pPr>
        <w:pStyle w:val="ab"/>
        <w:widowControl/>
        <w:numPr>
          <w:ilvl w:val="0"/>
          <w:numId w:val="131"/>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改變</w:t>
      </w:r>
      <w:r w:rsidR="00FD0D5A" w:rsidRPr="00C77E77">
        <w:rPr>
          <w:rFonts w:ascii="Times New Roman" w:eastAsia="標楷體" w:hAnsi="Times New Roman" w:cs="Times New Roman"/>
          <w:b/>
          <w:sz w:val="28"/>
          <w:szCs w:val="28"/>
        </w:rPr>
        <w:t>臺</w:t>
      </w:r>
      <w:r w:rsidRPr="00C77E77">
        <w:rPr>
          <w:rFonts w:ascii="Times New Roman" w:eastAsia="標楷體" w:hAnsi="Times New Roman" w:cs="Times New Roman"/>
          <w:b/>
          <w:sz w:val="28"/>
          <w:szCs w:val="28"/>
        </w:rPr>
        <w:t>商單打獨鬥的思維，強化合作意識</w:t>
      </w:r>
    </w:p>
    <w:p w:rsidR="00222236" w:rsidRPr="00C77E77" w:rsidRDefault="003C3DA7" w:rsidP="003C3DA7">
      <w:pPr>
        <w:widowControl/>
        <w:spacing w:beforeLines="50" w:before="180" w:afterLines="50" w:after="180" w:line="500" w:lineRule="exact"/>
        <w:ind w:left="426"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過去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商獲利的主因是韌性強、有靈活性，</w:t>
      </w:r>
      <w:r w:rsidR="007C5DC6" w:rsidRPr="00C77E77">
        <w:rPr>
          <w:rFonts w:ascii="Times New Roman" w:eastAsia="標楷體" w:hAnsi="Times New Roman" w:cs="Times New Roman"/>
          <w:sz w:val="28"/>
          <w:szCs w:val="28"/>
        </w:rPr>
        <w:t>習慣用自己的人脈關係單打獨鬥，甚至善於遊走在東南亞</w:t>
      </w:r>
      <w:r w:rsidR="00F70033" w:rsidRPr="00C77E77">
        <w:rPr>
          <w:rFonts w:ascii="Times New Roman" w:eastAsia="標楷體" w:hAnsi="Times New Roman" w:cs="Times New Roman"/>
          <w:sz w:val="28"/>
          <w:szCs w:val="28"/>
        </w:rPr>
        <w:t>、</w:t>
      </w:r>
      <w:r w:rsidR="007C5DC6" w:rsidRPr="00C77E77">
        <w:rPr>
          <w:rFonts w:ascii="Times New Roman" w:eastAsia="標楷體" w:hAnsi="Times New Roman" w:cs="Times New Roman"/>
          <w:sz w:val="28"/>
          <w:szCs w:val="28"/>
        </w:rPr>
        <w:t>印度</w:t>
      </w:r>
      <w:r w:rsidR="00F70033" w:rsidRPr="00C77E77">
        <w:rPr>
          <w:rFonts w:ascii="Times New Roman" w:eastAsia="標楷體" w:hAnsi="Times New Roman" w:cs="Times New Roman"/>
          <w:sz w:val="28"/>
          <w:szCs w:val="28"/>
        </w:rPr>
        <w:t>、中國大陸等國家</w:t>
      </w:r>
      <w:r w:rsidR="007C5DC6" w:rsidRPr="00C77E77">
        <w:rPr>
          <w:rFonts w:ascii="Times New Roman" w:eastAsia="標楷體" w:hAnsi="Times New Roman" w:cs="Times New Roman"/>
          <w:sz w:val="28"/>
          <w:szCs w:val="28"/>
        </w:rPr>
        <w:t>琳瑯滿目的潛規則</w:t>
      </w:r>
      <w:r w:rsidR="00222236" w:rsidRPr="00C77E77">
        <w:rPr>
          <w:rFonts w:ascii="Times New Roman" w:eastAsia="標楷體" w:hAnsi="Times New Roman" w:cs="Times New Roman"/>
          <w:sz w:val="28"/>
          <w:szCs w:val="28"/>
        </w:rPr>
        <w:t>之</w:t>
      </w:r>
      <w:r w:rsidR="007C5DC6" w:rsidRPr="00C77E77">
        <w:rPr>
          <w:rFonts w:ascii="Times New Roman" w:eastAsia="標楷體" w:hAnsi="Times New Roman" w:cs="Times New Roman"/>
          <w:sz w:val="28"/>
          <w:szCs w:val="28"/>
        </w:rPr>
        <w:t>中；反而不太願意與</w:t>
      </w:r>
      <w:r w:rsidR="00222236" w:rsidRPr="00C77E77">
        <w:rPr>
          <w:rFonts w:ascii="Times New Roman" w:eastAsia="標楷體" w:hAnsi="Times New Roman" w:cs="Times New Roman"/>
          <w:sz w:val="28"/>
          <w:szCs w:val="28"/>
        </w:rPr>
        <w:t>其它臺商有合作競爭的關係，也不太願意與政府</w:t>
      </w:r>
      <w:r w:rsidR="007C5DC6" w:rsidRPr="00C77E77">
        <w:rPr>
          <w:rFonts w:ascii="Times New Roman" w:eastAsia="標楷體" w:hAnsi="Times New Roman" w:cs="Times New Roman"/>
          <w:sz w:val="28"/>
          <w:szCs w:val="28"/>
        </w:rPr>
        <w:t>官方體系</w:t>
      </w:r>
      <w:r w:rsidR="00F70033" w:rsidRPr="00C77E77">
        <w:rPr>
          <w:rFonts w:ascii="Times New Roman" w:eastAsia="標楷體" w:hAnsi="Times New Roman" w:cs="Times New Roman"/>
          <w:sz w:val="28"/>
          <w:szCs w:val="28"/>
        </w:rPr>
        <w:t>互動</w:t>
      </w:r>
      <w:r w:rsidR="00222236" w:rsidRPr="00C77E77">
        <w:rPr>
          <w:rFonts w:ascii="Times New Roman" w:eastAsia="標楷體" w:hAnsi="Times New Roman" w:cs="Times New Roman"/>
          <w:sz w:val="28"/>
          <w:szCs w:val="28"/>
        </w:rPr>
        <w:t>。</w:t>
      </w:r>
    </w:p>
    <w:p w:rsidR="00F70033" w:rsidRPr="00C77E77" w:rsidRDefault="00F70033" w:rsidP="003C3DA7">
      <w:pPr>
        <w:widowControl/>
        <w:spacing w:beforeLines="50" w:before="180" w:afterLines="50" w:after="180" w:line="500" w:lineRule="exact"/>
        <w:ind w:left="426"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近年來中國大陸用國家的力量推動產業發展，積極建立產業供應鏈，傾全力發展關鍵性產業，使得紅色供應鏈對臺灣的衝擊更加明顯，臺商進入薄利時期，且單一企業也沒辦法與大陸紅潮競爭。加上目前臺灣產業結構仍以中小企業為主體，專業生產關鍵零組件，是國際大廠的主要供應商，但受限於規模、品牌，也不善長國際行銷。</w:t>
      </w:r>
    </w:p>
    <w:p w:rsidR="002A4136" w:rsidRPr="00C77E77" w:rsidRDefault="00F70033" w:rsidP="003C3DA7">
      <w:pPr>
        <w:widowControl/>
        <w:spacing w:beforeLines="50" w:before="180" w:afterLines="50" w:after="180" w:line="500" w:lineRule="exact"/>
        <w:ind w:left="426"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因此，現在應該要轉變思維，促成臺商共同合作，放棄</w:t>
      </w:r>
      <w:r w:rsidR="002A4136" w:rsidRPr="00C77E77">
        <w:rPr>
          <w:rFonts w:ascii="Times New Roman" w:eastAsia="標楷體" w:hAnsi="Times New Roman" w:cs="Times New Roman"/>
          <w:sz w:val="28"/>
          <w:szCs w:val="28"/>
        </w:rPr>
        <w:t>過去</w:t>
      </w:r>
      <w:r w:rsidRPr="00C77E77">
        <w:rPr>
          <w:rFonts w:ascii="Times New Roman" w:eastAsia="標楷體" w:hAnsi="Times New Roman" w:cs="Times New Roman"/>
          <w:sz w:val="28"/>
          <w:szCs w:val="28"/>
        </w:rPr>
        <w:t>在灰色地帶按潛規則遊走的習慣，凡事按照法律與行規，</w:t>
      </w:r>
      <w:r w:rsidR="002A4136" w:rsidRPr="00C77E77">
        <w:rPr>
          <w:rFonts w:ascii="Times New Roman" w:eastAsia="標楷體" w:hAnsi="Times New Roman" w:cs="Times New Roman"/>
          <w:sz w:val="28"/>
          <w:szCs w:val="28"/>
        </w:rPr>
        <w:t>才能</w:t>
      </w:r>
      <w:r w:rsidRPr="00C77E77">
        <w:rPr>
          <w:rFonts w:ascii="Times New Roman" w:eastAsia="標楷體" w:hAnsi="Times New Roman" w:cs="Times New Roman"/>
          <w:sz w:val="28"/>
          <w:szCs w:val="28"/>
        </w:rPr>
        <w:t>降低廠商在新南向國家等語言不通的地方可能遇到的阻力。</w:t>
      </w:r>
      <w:r w:rsidR="003C3DA7" w:rsidRPr="00C77E77">
        <w:rPr>
          <w:rFonts w:ascii="Times New Roman" w:eastAsia="標楷體" w:hAnsi="Times New Roman" w:cs="Times New Roman"/>
          <w:sz w:val="28"/>
          <w:szCs w:val="28"/>
        </w:rPr>
        <w:t>政府可以協助企業籌組產業團隊建設</w:t>
      </w:r>
      <w:r w:rsidR="00FD0D5A" w:rsidRPr="00C77E77">
        <w:rPr>
          <w:rFonts w:ascii="Times New Roman" w:eastAsia="標楷體" w:hAnsi="Times New Roman" w:cs="Times New Roman"/>
          <w:sz w:val="28"/>
          <w:szCs w:val="28"/>
        </w:rPr>
        <w:t>臺</w:t>
      </w:r>
      <w:r w:rsidR="001D5E83" w:rsidRPr="00C77E77">
        <w:rPr>
          <w:rFonts w:ascii="Times New Roman" w:eastAsia="標楷體" w:hAnsi="Times New Roman" w:cs="Times New Roman"/>
          <w:sz w:val="28"/>
          <w:szCs w:val="28"/>
        </w:rPr>
        <w:t>商園區、提供法制和賦稅諮詢顧問服務。</w:t>
      </w:r>
      <w:r w:rsidR="003C3DA7" w:rsidRPr="00C77E77">
        <w:rPr>
          <w:rFonts w:ascii="Times New Roman" w:eastAsia="標楷體" w:hAnsi="Times New Roman" w:cs="Times New Roman"/>
          <w:sz w:val="28"/>
          <w:szCs w:val="28"/>
        </w:rPr>
        <w:t>整合中小企業，形成臺灣專屬的生產價值鏈，往上游的「研發、設計」進行連結，並結合下</w:t>
      </w:r>
      <w:r w:rsidR="003C3DA7" w:rsidRPr="00C77E77">
        <w:rPr>
          <w:rFonts w:ascii="Times New Roman" w:eastAsia="標楷體" w:hAnsi="Times New Roman" w:cs="Times New Roman"/>
          <w:sz w:val="28"/>
          <w:szCs w:val="28"/>
        </w:rPr>
        <w:lastRenderedPageBreak/>
        <w:t>游的「行銷、物流、服務」，增加產品的附加價值，發展東南亞與印度成能讓臺灣中小企業走向國際的基地。</w:t>
      </w:r>
      <w:r w:rsidR="003C3DA7" w:rsidRPr="00C77E77">
        <w:rPr>
          <w:rStyle w:val="a9"/>
          <w:rFonts w:ascii="Times New Roman" w:eastAsia="標楷體" w:hAnsi="Times New Roman" w:cs="Times New Roman"/>
          <w:sz w:val="28"/>
          <w:szCs w:val="28"/>
        </w:rPr>
        <w:footnoteReference w:id="143"/>
      </w:r>
    </w:p>
    <w:p w:rsidR="003C3DA7" w:rsidRPr="00C77E77" w:rsidRDefault="003C3DA7" w:rsidP="003C3DA7">
      <w:pPr>
        <w:widowControl/>
        <w:spacing w:beforeLines="50" w:before="180" w:afterLines="50" w:after="180" w:line="500" w:lineRule="exact"/>
        <w:ind w:left="426"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除了相關商機研究、展覽、體驗和國際大型會議等行銷網絡布建，以及輔導育成出口明星企業和海外據點服務外，亦要協助國內中小企業運用相關資訊，並以當地較通用語言在當地搜尋引擎登記關鍵字，設立行銷網頁，擴大當地市場商機。</w:t>
      </w:r>
      <w:r w:rsidRPr="00C77E77">
        <w:rPr>
          <w:rStyle w:val="a9"/>
          <w:rFonts w:ascii="Times New Roman" w:eastAsia="標楷體" w:hAnsi="Times New Roman" w:cs="Times New Roman"/>
          <w:sz w:val="28"/>
          <w:szCs w:val="28"/>
        </w:rPr>
        <w:footnoteReference w:id="144"/>
      </w:r>
    </w:p>
    <w:p w:rsidR="003C3DA7" w:rsidRPr="00C77E77" w:rsidRDefault="003C3DA7" w:rsidP="0001327A">
      <w:pPr>
        <w:pStyle w:val="ab"/>
        <w:widowControl/>
        <w:numPr>
          <w:ilvl w:val="0"/>
          <w:numId w:val="131"/>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政府應協助</w:t>
      </w:r>
      <w:r w:rsidR="00FD0D5A" w:rsidRPr="00C77E77">
        <w:rPr>
          <w:rFonts w:ascii="Times New Roman" w:eastAsia="標楷體" w:hAnsi="Times New Roman" w:cs="Times New Roman"/>
          <w:b/>
          <w:sz w:val="28"/>
          <w:szCs w:val="28"/>
        </w:rPr>
        <w:t>臺</w:t>
      </w:r>
      <w:r w:rsidRPr="00C77E77">
        <w:rPr>
          <w:rFonts w:ascii="Times New Roman" w:eastAsia="標楷體" w:hAnsi="Times New Roman" w:cs="Times New Roman"/>
          <w:b/>
          <w:sz w:val="28"/>
          <w:szCs w:val="28"/>
        </w:rPr>
        <w:t>灣商會變成像美國商會一樣具有影響力的組織。</w:t>
      </w:r>
    </w:p>
    <w:p w:rsidR="003C3DA7" w:rsidRPr="00C77E77" w:rsidRDefault="00FD0D5A" w:rsidP="003C3DA7">
      <w:pPr>
        <w:pStyle w:val="ab"/>
        <w:widowControl/>
        <w:spacing w:beforeLines="50" w:before="180" w:afterLines="50" w:after="180" w:line="500" w:lineRule="exact"/>
        <w:ind w:leftChars="0" w:firstLine="480"/>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灣商會都是無給職、義務性的，</w:t>
      </w: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商會的資源不足，現行功能以社交為主，較無法提供商業資訊交流等功能，政府需協助強化。加上很多單位都是為了消化預算過來訪談</w:t>
      </w: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商，回去報告束之高閣，無法累積成果。建議政府撥經費到</w:t>
      </w: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灣商會，讓商會可以跟智庫、亞總等單位合作進行長期的研究。也建議智庫多邀請</w:t>
      </w: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商會的人到研究中心座談、演講，分享經驗。</w:t>
      </w:r>
    </w:p>
    <w:p w:rsidR="003C3DA7" w:rsidRPr="00C77E77" w:rsidRDefault="003C3DA7" w:rsidP="0001327A">
      <w:pPr>
        <w:pStyle w:val="ab"/>
        <w:widowControl/>
        <w:numPr>
          <w:ilvl w:val="0"/>
          <w:numId w:val="131"/>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由海外</w:t>
      </w:r>
      <w:r w:rsidR="00FD0D5A" w:rsidRPr="00C77E77">
        <w:rPr>
          <w:rFonts w:ascii="Times New Roman" w:eastAsia="標楷體" w:hAnsi="Times New Roman" w:cs="Times New Roman"/>
          <w:b/>
          <w:sz w:val="28"/>
          <w:szCs w:val="28"/>
        </w:rPr>
        <w:t>臺</w:t>
      </w:r>
      <w:r w:rsidRPr="00C77E77">
        <w:rPr>
          <w:rFonts w:ascii="Times New Roman" w:eastAsia="標楷體" w:hAnsi="Times New Roman" w:cs="Times New Roman"/>
          <w:b/>
          <w:sz w:val="28"/>
          <w:szCs w:val="28"/>
        </w:rPr>
        <w:t>商出面邀請當地政府官員。</w:t>
      </w:r>
    </w:p>
    <w:p w:rsidR="003C3DA7" w:rsidRPr="00C77E77" w:rsidRDefault="00FD0D5A" w:rsidP="003C3DA7">
      <w:pPr>
        <w:widowControl/>
        <w:spacing w:beforeLines="50" w:before="180" w:afterLines="50" w:after="180" w:line="500" w:lineRule="exact"/>
        <w:ind w:left="480" w:firstLine="429"/>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臺</w:t>
      </w:r>
      <w:r w:rsidR="00E5256F" w:rsidRPr="00C77E77">
        <w:rPr>
          <w:rFonts w:ascii="Times New Roman" w:eastAsia="標楷體" w:hAnsi="Times New Roman" w:cs="Times New Roman"/>
          <w:sz w:val="28"/>
          <w:szCs w:val="28"/>
        </w:rPr>
        <w:t>灣各部會在考察新南向政策時</w:t>
      </w:r>
      <w:r w:rsidR="003C3DA7" w:rsidRPr="00C77E77">
        <w:rPr>
          <w:rFonts w:ascii="Times New Roman" w:eastAsia="標楷體" w:hAnsi="Times New Roman" w:cs="Times New Roman"/>
          <w:sz w:val="28"/>
          <w:szCs w:val="28"/>
        </w:rPr>
        <w:t>，沒有去找相對應的政府部</w:t>
      </w:r>
      <w:r w:rsidR="00E5256F" w:rsidRPr="00C77E77">
        <w:rPr>
          <w:rFonts w:ascii="Times New Roman" w:eastAsia="標楷體" w:hAnsi="Times New Roman" w:cs="Times New Roman"/>
          <w:sz w:val="28"/>
          <w:szCs w:val="28"/>
        </w:rPr>
        <w:t>門</w:t>
      </w:r>
      <w:r w:rsidR="003C3DA7" w:rsidRPr="00C77E77">
        <w:rPr>
          <w:rFonts w:ascii="Times New Roman" w:eastAsia="標楷體" w:hAnsi="Times New Roman" w:cs="Times New Roman"/>
          <w:sz w:val="28"/>
          <w:szCs w:val="28"/>
        </w:rPr>
        <w:t>。</w:t>
      </w:r>
      <w:r w:rsidR="00E5256F" w:rsidRPr="00C77E77">
        <w:rPr>
          <w:rFonts w:ascii="Times New Roman" w:eastAsia="標楷體" w:hAnsi="Times New Roman" w:cs="Times New Roman"/>
          <w:sz w:val="28"/>
          <w:szCs w:val="28"/>
        </w:rPr>
        <w:t>建議</w:t>
      </w:r>
      <w:r w:rsidR="00E524DA" w:rsidRPr="00C77E77">
        <w:rPr>
          <w:rFonts w:ascii="Times New Roman" w:eastAsia="標楷體" w:hAnsi="Times New Roman" w:cs="Times New Roman"/>
          <w:sz w:val="28"/>
          <w:szCs w:val="28"/>
        </w:rPr>
        <w:t>臺</w:t>
      </w:r>
      <w:r w:rsidR="00E5256F" w:rsidRPr="00C77E77">
        <w:rPr>
          <w:rFonts w:ascii="Times New Roman" w:eastAsia="標楷體" w:hAnsi="Times New Roman" w:cs="Times New Roman"/>
          <w:sz w:val="28"/>
          <w:szCs w:val="28"/>
        </w:rPr>
        <w:t>灣的</w:t>
      </w:r>
      <w:r w:rsidR="003C3DA7" w:rsidRPr="00C77E77">
        <w:rPr>
          <w:rFonts w:ascii="Times New Roman" w:eastAsia="標楷體" w:hAnsi="Times New Roman" w:cs="Times New Roman"/>
          <w:sz w:val="28"/>
          <w:szCs w:val="28"/>
        </w:rPr>
        <w:t>勞動部、財政部、教育部</w:t>
      </w:r>
      <w:r w:rsidR="003C3DA7" w:rsidRPr="00C77E77">
        <w:rPr>
          <w:rFonts w:ascii="Times New Roman" w:eastAsia="標楷體" w:hAnsi="Times New Roman" w:cs="Times New Roman"/>
          <w:sz w:val="28"/>
          <w:szCs w:val="28"/>
        </w:rPr>
        <w:t>…</w:t>
      </w:r>
      <w:r w:rsidR="003C3DA7" w:rsidRPr="00C77E77">
        <w:rPr>
          <w:rFonts w:ascii="Times New Roman" w:eastAsia="標楷體" w:hAnsi="Times New Roman" w:cs="Times New Roman"/>
          <w:sz w:val="28"/>
          <w:szCs w:val="28"/>
        </w:rPr>
        <w:t>等，應該過去跟當地政府洽談相關事項。</w:t>
      </w: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商能</w:t>
      </w:r>
      <w:r w:rsidR="00E5256F" w:rsidRPr="00C77E77">
        <w:rPr>
          <w:rFonts w:ascii="Times New Roman" w:eastAsia="標楷體" w:hAnsi="Times New Roman" w:cs="Times New Roman"/>
          <w:sz w:val="28"/>
          <w:szCs w:val="28"/>
        </w:rPr>
        <w:t>在這個過程中</w:t>
      </w:r>
      <w:r w:rsidR="003C3DA7" w:rsidRPr="00C77E77">
        <w:rPr>
          <w:rFonts w:ascii="Times New Roman" w:eastAsia="標楷體" w:hAnsi="Times New Roman" w:cs="Times New Roman"/>
          <w:sz w:val="28"/>
          <w:szCs w:val="28"/>
        </w:rPr>
        <w:t>協助邀請政府官員</w:t>
      </w:r>
      <w:r w:rsidR="00E5256F" w:rsidRPr="00C77E77">
        <w:rPr>
          <w:rFonts w:ascii="Times New Roman" w:eastAsia="標楷體" w:hAnsi="Times New Roman" w:cs="Times New Roman"/>
          <w:sz w:val="28"/>
          <w:szCs w:val="28"/>
        </w:rPr>
        <w:t>及</w:t>
      </w:r>
      <w:r w:rsidR="003C3DA7" w:rsidRPr="00C77E77">
        <w:rPr>
          <w:rFonts w:ascii="Times New Roman" w:eastAsia="標楷體" w:hAnsi="Times New Roman" w:cs="Times New Roman"/>
          <w:sz w:val="28"/>
          <w:szCs w:val="28"/>
        </w:rPr>
        <w:t>安排行程。</w:t>
      </w:r>
    </w:p>
    <w:p w:rsidR="003C3DA7" w:rsidRPr="00C77E77" w:rsidRDefault="003C3DA7" w:rsidP="003C3DA7">
      <w:pPr>
        <w:widowControl/>
        <w:spacing w:beforeLines="50" w:before="180" w:afterLines="50" w:after="180" w:line="500" w:lineRule="exact"/>
        <w:ind w:left="426" w:firstLine="480"/>
        <w:jc w:val="both"/>
        <w:rPr>
          <w:rFonts w:ascii="Times New Roman" w:eastAsia="標楷體" w:hAnsi="Times New Roman" w:cs="Times New Roman"/>
          <w:sz w:val="28"/>
          <w:szCs w:val="28"/>
        </w:rPr>
      </w:pPr>
    </w:p>
    <w:p w:rsidR="003C3DA7" w:rsidRPr="00C77E77" w:rsidRDefault="003C3DA7" w:rsidP="003C3DA7">
      <w:pPr>
        <w:widowControl/>
        <w:spacing w:beforeLines="50" w:before="180" w:afterLines="50" w:after="180" w:line="500" w:lineRule="exact"/>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六、</w:t>
      </w:r>
      <w:r w:rsidR="00E5256F" w:rsidRPr="00C77E77">
        <w:rPr>
          <w:rFonts w:ascii="Times New Roman" w:eastAsia="標楷體" w:hAnsi="Times New Roman" w:cs="Times New Roman"/>
          <w:b/>
          <w:color w:val="000000" w:themeColor="text1"/>
          <w:sz w:val="28"/>
          <w:szCs w:val="28"/>
        </w:rPr>
        <w:t>政府可獎勵輔導</w:t>
      </w:r>
      <w:r w:rsidRPr="00C77E77">
        <w:rPr>
          <w:rFonts w:ascii="Times New Roman" w:eastAsia="標楷體" w:hAnsi="Times New Roman" w:cs="Times New Roman"/>
          <w:b/>
          <w:color w:val="000000" w:themeColor="text1"/>
          <w:sz w:val="28"/>
          <w:szCs w:val="28"/>
        </w:rPr>
        <w:t>媒體</w:t>
      </w:r>
      <w:r w:rsidR="00E5256F" w:rsidRPr="00C77E77">
        <w:rPr>
          <w:rFonts w:ascii="Times New Roman" w:eastAsia="標楷體" w:hAnsi="Times New Roman" w:cs="Times New Roman"/>
          <w:b/>
          <w:color w:val="000000" w:themeColor="text1"/>
          <w:sz w:val="28"/>
          <w:szCs w:val="28"/>
        </w:rPr>
        <w:t>進行宣傳工作</w:t>
      </w:r>
    </w:p>
    <w:p w:rsidR="003C3DA7" w:rsidRPr="00C77E77" w:rsidRDefault="00686C1A" w:rsidP="0001327A">
      <w:pPr>
        <w:pStyle w:val="ab"/>
        <w:widowControl/>
        <w:numPr>
          <w:ilvl w:val="0"/>
          <w:numId w:val="129"/>
        </w:numPr>
        <w:spacing w:beforeLines="50" w:before="180" w:afterLines="50" w:after="180" w:line="500" w:lineRule="exact"/>
        <w:ind w:leftChars="0"/>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強化大眾對</w:t>
      </w:r>
      <w:r w:rsidR="003C3DA7" w:rsidRPr="00C77E77">
        <w:rPr>
          <w:rFonts w:ascii="Times New Roman" w:eastAsia="標楷體" w:hAnsi="Times New Roman" w:cs="Times New Roman"/>
          <w:b/>
          <w:color w:val="000000" w:themeColor="text1"/>
          <w:sz w:val="28"/>
          <w:szCs w:val="28"/>
        </w:rPr>
        <w:t>新南向國家</w:t>
      </w:r>
      <w:r w:rsidRPr="00C77E77">
        <w:rPr>
          <w:rFonts w:ascii="Times New Roman" w:eastAsia="標楷體" w:hAnsi="Times New Roman" w:cs="Times New Roman"/>
          <w:b/>
          <w:color w:val="000000" w:themeColor="text1"/>
          <w:sz w:val="28"/>
          <w:szCs w:val="28"/>
        </w:rPr>
        <w:t>之認識</w:t>
      </w:r>
    </w:p>
    <w:p w:rsidR="003C3DA7" w:rsidRPr="00C77E77" w:rsidRDefault="00FD0D5A" w:rsidP="00341F0B">
      <w:pPr>
        <w:pStyle w:val="ab"/>
        <w:widowControl/>
        <w:spacing w:beforeLines="50" w:before="180" w:afterLines="50" w:after="180" w:line="500" w:lineRule="exact"/>
        <w:ind w:leftChars="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3C3DA7" w:rsidRPr="00C77E77">
        <w:rPr>
          <w:rFonts w:ascii="Times New Roman" w:eastAsia="標楷體" w:hAnsi="Times New Roman" w:cs="Times New Roman"/>
          <w:sz w:val="28"/>
          <w:szCs w:val="28"/>
        </w:rPr>
        <w:t>灣媒體跟政府的報導往往用半個小時介紹十個國家，每個都蜻蜓點水。應該要改成一國一產業的詳細介紹，例如用兩個小時介紹越南的</w:t>
      </w:r>
      <w:r w:rsidR="003C3DA7" w:rsidRPr="00C77E77">
        <w:rPr>
          <w:rFonts w:ascii="Times New Roman" w:eastAsia="標楷體" w:hAnsi="Times New Roman" w:cs="Times New Roman"/>
          <w:sz w:val="28"/>
          <w:szCs w:val="28"/>
        </w:rPr>
        <w:lastRenderedPageBreak/>
        <w:t>家具業，從開始投入、成功個案追蹤、失敗個案的對照仔細報導，然後再慢慢增加。</w:t>
      </w:r>
    </w:p>
    <w:p w:rsidR="003C3DA7" w:rsidRPr="00C77E77" w:rsidRDefault="00686C1A" w:rsidP="0001327A">
      <w:pPr>
        <w:pStyle w:val="ab"/>
        <w:widowControl/>
        <w:numPr>
          <w:ilvl w:val="0"/>
          <w:numId w:val="129"/>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增加文化產業交流</w:t>
      </w:r>
    </w:p>
    <w:p w:rsidR="003C3DA7" w:rsidRPr="00C77E77" w:rsidRDefault="00341F0B" w:rsidP="00341F0B">
      <w:pPr>
        <w:pStyle w:val="ab"/>
        <w:widowControl/>
        <w:spacing w:beforeLines="50" w:before="180" w:afterLines="50" w:after="180" w:line="500" w:lineRule="exact"/>
        <w:ind w:leftChars="0" w:left="709"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據瞭解，</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灣的鄉土長壽連續劇在東南亞很受歡迎，可以思考要如何置入商品與服務進行包裝，在連續劇中反覆出現臺灣畫面，增加臺灣的知名度與形象。另外，也</w:t>
      </w:r>
      <w:r w:rsidR="003C3DA7" w:rsidRPr="00C77E77">
        <w:rPr>
          <w:rFonts w:ascii="Times New Roman" w:eastAsia="標楷體" w:hAnsi="Times New Roman" w:cs="Times New Roman"/>
          <w:color w:val="000000" w:themeColor="text1"/>
          <w:sz w:val="28"/>
          <w:szCs w:val="28"/>
        </w:rPr>
        <w:t>可將寶萊鄔或印度連續劇拉到</w:t>
      </w:r>
      <w:r w:rsidR="00FD0D5A" w:rsidRPr="00C77E77">
        <w:rPr>
          <w:rFonts w:ascii="Times New Roman" w:eastAsia="標楷體" w:hAnsi="Times New Roman" w:cs="Times New Roman"/>
          <w:color w:val="000000" w:themeColor="text1"/>
          <w:sz w:val="28"/>
          <w:szCs w:val="28"/>
        </w:rPr>
        <w:t>臺</w:t>
      </w:r>
      <w:r w:rsidR="003C3DA7" w:rsidRPr="00C77E77">
        <w:rPr>
          <w:rFonts w:ascii="Times New Roman" w:eastAsia="標楷體" w:hAnsi="Times New Roman" w:cs="Times New Roman"/>
          <w:color w:val="000000" w:themeColor="text1"/>
          <w:sz w:val="28"/>
          <w:szCs w:val="28"/>
        </w:rPr>
        <w:t>灣拍片，為</w:t>
      </w:r>
      <w:r w:rsidR="00FD0D5A" w:rsidRPr="00C77E77">
        <w:rPr>
          <w:rFonts w:ascii="Times New Roman" w:eastAsia="標楷體" w:hAnsi="Times New Roman" w:cs="Times New Roman"/>
          <w:color w:val="000000" w:themeColor="text1"/>
          <w:sz w:val="28"/>
          <w:szCs w:val="28"/>
        </w:rPr>
        <w:t>臺</w:t>
      </w:r>
      <w:r w:rsidR="003C3DA7" w:rsidRPr="00C77E77">
        <w:rPr>
          <w:rFonts w:ascii="Times New Roman" w:eastAsia="標楷體" w:hAnsi="Times New Roman" w:cs="Times New Roman"/>
          <w:color w:val="000000" w:themeColor="text1"/>
          <w:sz w:val="28"/>
          <w:szCs w:val="28"/>
        </w:rPr>
        <w:t>灣宣傳推銷。</w:t>
      </w:r>
    </w:p>
    <w:p w:rsidR="001615DE" w:rsidRPr="00C77E77" w:rsidRDefault="001615DE" w:rsidP="003C3DA7">
      <w:pPr>
        <w:pStyle w:val="ab"/>
        <w:widowControl/>
        <w:spacing w:beforeLines="50" w:before="180" w:afterLines="50" w:after="180" w:line="500" w:lineRule="exact"/>
        <w:ind w:leftChars="0" w:left="360"/>
        <w:jc w:val="both"/>
        <w:rPr>
          <w:rFonts w:ascii="Times New Roman" w:eastAsia="標楷體" w:hAnsi="Times New Roman" w:cs="Times New Roman"/>
          <w:sz w:val="28"/>
          <w:szCs w:val="28"/>
        </w:rPr>
      </w:pPr>
    </w:p>
    <w:p w:rsidR="001B02D4" w:rsidRPr="00C77E77" w:rsidRDefault="001B02D4" w:rsidP="001B02D4">
      <w:pPr>
        <w:pStyle w:val="ab"/>
        <w:numPr>
          <w:ilvl w:val="0"/>
          <w:numId w:val="22"/>
        </w:numPr>
        <w:spacing w:beforeLines="50" w:before="180" w:afterLines="50" w:after="180" w:line="500" w:lineRule="exact"/>
        <w:ind w:leftChars="0"/>
        <w:jc w:val="both"/>
        <w:outlineLvl w:val="1"/>
        <w:rPr>
          <w:rFonts w:ascii="Times New Roman" w:eastAsia="標楷體" w:hAnsi="Times New Roman" w:cs="Times New Roman"/>
          <w:b/>
          <w:sz w:val="32"/>
          <w:szCs w:val="32"/>
        </w:rPr>
      </w:pPr>
      <w:bookmarkStart w:id="143" w:name="_Toc470676325"/>
      <w:r w:rsidRPr="00C77E77">
        <w:rPr>
          <w:rFonts w:ascii="Times New Roman" w:eastAsia="標楷體" w:hAnsi="Times New Roman" w:cs="Times New Roman"/>
          <w:b/>
          <w:sz w:val="32"/>
          <w:szCs w:val="32"/>
        </w:rPr>
        <w:t>「</w:t>
      </w:r>
      <w:r w:rsidRPr="00C77E77">
        <w:rPr>
          <w:rFonts w:ascii="Times New Roman" w:eastAsia="標楷體" w:hAnsi="Times New Roman" w:cs="Times New Roman"/>
          <w:b/>
          <w:sz w:val="32"/>
          <w:szCs w:val="32"/>
        </w:rPr>
        <w:t>10+2</w:t>
      </w:r>
      <w:r w:rsidRPr="00C77E77">
        <w:rPr>
          <w:rFonts w:ascii="Times New Roman" w:eastAsia="標楷體" w:hAnsi="Times New Roman" w:cs="Times New Roman"/>
          <w:b/>
          <w:sz w:val="32"/>
          <w:szCs w:val="32"/>
        </w:rPr>
        <w:t>」產業南向發展之個別產業建議</w:t>
      </w:r>
      <w:bookmarkEnd w:id="143"/>
    </w:p>
    <w:p w:rsidR="001B02D4" w:rsidRPr="00C77E77" w:rsidRDefault="001B02D4" w:rsidP="001B02D4">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」產業南向雙邊合作的機會與挑戰，與該等產業發展所需的條件要求，以及當地國情與基礎配套措施等息息相關。為力求產業合作之雙贏（</w:t>
      </w:r>
      <w:r w:rsidRPr="00C77E77">
        <w:rPr>
          <w:rFonts w:ascii="Times New Roman" w:eastAsia="標楷體" w:hAnsi="Times New Roman" w:cs="Times New Roman"/>
          <w:sz w:val="28"/>
          <w:szCs w:val="28"/>
        </w:rPr>
        <w:t>win-win</w:t>
      </w:r>
      <w:r w:rsidRPr="00C77E77">
        <w:rPr>
          <w:rFonts w:ascii="Times New Roman" w:eastAsia="標楷體" w:hAnsi="Times New Roman" w:cs="Times New Roman"/>
          <w:sz w:val="28"/>
          <w:szCs w:val="28"/>
        </w:rPr>
        <w:t>）目標，我們認為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灣也應針對不同產業、不同國家，採取差異性的作法，本節從產業面逐項探討</w:t>
      </w:r>
      <w:r w:rsidRPr="00C77E77">
        <w:rPr>
          <w:rFonts w:ascii="Times New Roman" w:eastAsia="標楷體" w:hAnsi="Times New Roman" w:cs="Times New Roman"/>
          <w:sz w:val="28"/>
          <w:szCs w:val="28"/>
        </w:rPr>
        <w:t>SWOT</w:t>
      </w:r>
      <w:r w:rsidRPr="00C77E77">
        <w:rPr>
          <w:rFonts w:ascii="Times New Roman" w:eastAsia="標楷體" w:hAnsi="Times New Roman" w:cs="Times New Roman"/>
          <w:sz w:val="28"/>
          <w:szCs w:val="28"/>
        </w:rPr>
        <w:t>分析，並提出政策建議。</w:t>
      </w:r>
    </w:p>
    <w:p w:rsidR="00C01759" w:rsidRPr="00C77E77" w:rsidRDefault="009D7FB5" w:rsidP="00764ED7">
      <w:pPr>
        <w:pStyle w:val="ab"/>
        <w:numPr>
          <w:ilvl w:val="0"/>
          <w:numId w:val="31"/>
        </w:numPr>
        <w:spacing w:before="50" w:after="5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電子收費</w:t>
      </w:r>
    </w:p>
    <w:p w:rsidR="005B7907" w:rsidRPr="00C77E77" w:rsidRDefault="00F1339A" w:rsidP="00D54098">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電子收費技術需有完善的基礎道路建設，也需有需有一定的電力網絡架構。</w:t>
      </w:r>
      <w:r w:rsidR="00D54098" w:rsidRPr="00C77E77">
        <w:rPr>
          <w:rFonts w:ascii="Times New Roman" w:eastAsia="標楷體" w:hAnsi="Times New Roman" w:cs="Times New Roman"/>
          <w:sz w:val="28"/>
          <w:szCs w:val="28"/>
        </w:rPr>
        <w:t>我國電子收費技術領先全球，在</w:t>
      </w:r>
      <w:r w:rsidR="00D54098" w:rsidRPr="00C77E77">
        <w:rPr>
          <w:rFonts w:ascii="Times New Roman" w:eastAsia="標楷體" w:hAnsi="Times New Roman" w:cs="Times New Roman"/>
          <w:sz w:val="28"/>
          <w:szCs w:val="28"/>
        </w:rPr>
        <w:t>2015</w:t>
      </w:r>
      <w:r w:rsidR="00D54098" w:rsidRPr="00C77E77">
        <w:rPr>
          <w:rFonts w:ascii="Times New Roman" w:eastAsia="標楷體" w:hAnsi="Times New Roman" w:cs="Times New Roman"/>
          <w:sz w:val="28"/>
          <w:szCs w:val="28"/>
        </w:rPr>
        <w:t>年獲得國際橋梁隧道及收費公路協會（</w:t>
      </w:r>
      <w:r w:rsidR="00D54098" w:rsidRPr="00C77E77">
        <w:rPr>
          <w:rFonts w:ascii="Times New Roman" w:eastAsia="標楷體" w:hAnsi="Times New Roman" w:cs="Times New Roman"/>
          <w:sz w:val="28"/>
          <w:szCs w:val="28"/>
        </w:rPr>
        <w:t>IBTTA</w:t>
      </w:r>
      <w:r w:rsidR="00D54098" w:rsidRPr="00C77E77">
        <w:rPr>
          <w:rFonts w:ascii="Times New Roman" w:eastAsia="標楷體" w:hAnsi="Times New Roman" w:cs="Times New Roman"/>
          <w:sz w:val="28"/>
          <w:szCs w:val="28"/>
        </w:rPr>
        <w:t>）頒發「收費系統服務與推廣類卓越獎」及「年度唯一首獎」外，</w:t>
      </w:r>
      <w:r w:rsidR="00D54098" w:rsidRPr="00C77E77">
        <w:rPr>
          <w:rFonts w:ascii="Times New Roman" w:eastAsia="標楷體" w:hAnsi="Times New Roman" w:cs="Times New Roman"/>
          <w:sz w:val="28"/>
          <w:szCs w:val="28"/>
        </w:rPr>
        <w:t>2016</w:t>
      </w:r>
      <w:r w:rsidR="00D54098" w:rsidRPr="00C77E77">
        <w:rPr>
          <w:rFonts w:ascii="Times New Roman" w:eastAsia="標楷體" w:hAnsi="Times New Roman" w:cs="Times New Roman"/>
          <w:sz w:val="28"/>
          <w:szCs w:val="28"/>
        </w:rPr>
        <w:t>年又榮獲國際道路協會（</w:t>
      </w:r>
      <w:r w:rsidR="00D54098" w:rsidRPr="00C77E77">
        <w:rPr>
          <w:rFonts w:ascii="Times New Roman" w:eastAsia="標楷體" w:hAnsi="Times New Roman" w:cs="Times New Roman"/>
          <w:sz w:val="28"/>
          <w:szCs w:val="28"/>
        </w:rPr>
        <w:t>International Road Federation, IRF</w:t>
      </w:r>
      <w:r w:rsidR="00D54098" w:rsidRPr="00C77E77">
        <w:rPr>
          <w:rFonts w:ascii="Times New Roman" w:eastAsia="標楷體" w:hAnsi="Times New Roman" w:cs="Times New Roman"/>
          <w:sz w:val="28"/>
          <w:szCs w:val="28"/>
        </w:rPr>
        <w:t>）</w:t>
      </w:r>
      <w:r w:rsidR="00D54098" w:rsidRPr="00C77E77">
        <w:rPr>
          <w:rFonts w:ascii="Times New Roman" w:eastAsia="標楷體" w:hAnsi="Times New Roman" w:cs="Times New Roman"/>
          <w:sz w:val="28"/>
          <w:szCs w:val="28"/>
        </w:rPr>
        <w:t xml:space="preserve"> </w:t>
      </w:r>
      <w:r w:rsidR="00D54098" w:rsidRPr="00C77E77">
        <w:rPr>
          <w:rFonts w:ascii="Times New Roman" w:eastAsia="標楷體" w:hAnsi="Times New Roman" w:cs="Times New Roman"/>
          <w:sz w:val="28"/>
          <w:szCs w:val="28"/>
        </w:rPr>
        <w:t>頒發全球唯一「全球道路成就獎（</w:t>
      </w:r>
      <w:r w:rsidR="00D54098" w:rsidRPr="00C77E77">
        <w:rPr>
          <w:rFonts w:ascii="Times New Roman" w:eastAsia="標楷體" w:hAnsi="Times New Roman" w:cs="Times New Roman"/>
          <w:sz w:val="28"/>
          <w:szCs w:val="28"/>
        </w:rPr>
        <w:t>Global Road Achievement Awards, GRAA</w:t>
      </w:r>
      <w:r w:rsidR="00D54098" w:rsidRPr="00C77E77">
        <w:rPr>
          <w:rFonts w:ascii="Times New Roman" w:eastAsia="標楷體" w:hAnsi="Times New Roman" w:cs="Times New Roman"/>
          <w:sz w:val="28"/>
          <w:szCs w:val="28"/>
        </w:rPr>
        <w:t>）」智慧交通與管理類（</w:t>
      </w:r>
      <w:r w:rsidR="00D54098" w:rsidRPr="00C77E77">
        <w:rPr>
          <w:rFonts w:ascii="Times New Roman" w:eastAsia="標楷體" w:hAnsi="Times New Roman" w:cs="Times New Roman"/>
          <w:sz w:val="28"/>
          <w:szCs w:val="28"/>
        </w:rPr>
        <w:t>Traffic Management and ITS</w:t>
      </w:r>
      <w:r w:rsidR="00D54098" w:rsidRPr="00C77E77">
        <w:rPr>
          <w:rFonts w:ascii="Times New Roman" w:eastAsia="標楷體" w:hAnsi="Times New Roman" w:cs="Times New Roman"/>
          <w:sz w:val="28"/>
          <w:szCs w:val="28"/>
        </w:rPr>
        <w:t>）首獎，</w:t>
      </w:r>
      <w:r w:rsidR="00D54098" w:rsidRPr="00C77E77">
        <w:rPr>
          <w:rStyle w:val="a9"/>
          <w:rFonts w:ascii="Times New Roman" w:eastAsia="標楷體" w:hAnsi="Times New Roman" w:cs="Times New Roman"/>
          <w:sz w:val="28"/>
          <w:szCs w:val="28"/>
        </w:rPr>
        <w:footnoteReference w:id="145"/>
      </w:r>
      <w:r w:rsidR="00D54098" w:rsidRPr="00C77E77">
        <w:rPr>
          <w:rFonts w:ascii="Times New Roman" w:eastAsia="標楷體" w:hAnsi="Times New Roman" w:cs="Times New Roman"/>
          <w:sz w:val="28"/>
          <w:szCs w:val="28"/>
        </w:rPr>
        <w:t>不僅再次肯定我國在</w:t>
      </w:r>
      <w:r w:rsidR="00D54098" w:rsidRPr="00C77E77">
        <w:rPr>
          <w:rFonts w:ascii="Times New Roman" w:eastAsia="標楷體" w:hAnsi="Times New Roman" w:cs="Times New Roman"/>
          <w:sz w:val="28"/>
          <w:szCs w:val="28"/>
        </w:rPr>
        <w:t>ETC</w:t>
      </w:r>
      <w:r w:rsidR="00D54098" w:rsidRPr="00C77E77">
        <w:rPr>
          <w:rFonts w:ascii="Times New Roman" w:eastAsia="標楷體" w:hAnsi="Times New Roman" w:cs="Times New Roman"/>
          <w:sz w:val="28"/>
          <w:szCs w:val="28"/>
        </w:rPr>
        <w:t>上的卓越表現，更藉此機會提高我國品牌能見度，且已陸續輸出至許多國家，故在技術品質、經驗上，我國有絕佳競爭力</w:t>
      </w:r>
      <w:r w:rsidR="005B7907" w:rsidRPr="00C77E77">
        <w:rPr>
          <w:rFonts w:ascii="Times New Roman" w:eastAsia="標楷體" w:hAnsi="Times New Roman" w:cs="Times New Roman"/>
          <w:sz w:val="28"/>
          <w:szCs w:val="28"/>
        </w:rPr>
        <w:t>。</w:t>
      </w:r>
    </w:p>
    <w:p w:rsidR="00D54098" w:rsidRPr="00C77E77" w:rsidRDefault="004E22C2" w:rsidP="00D54098">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電子收費產業相關之顧問規劃、建置工程輸出，對我國藍領階級民眾影響不大，因相關產業之輸出，受限於成本因素，勞動力大多為當地民眾，較不可能從臺灣輸出勞動力，且無產業出走疑慮。而對於白領階級民眾，由於我國傾向提供於經驗層面、專業技術之服務，所以對於有專業技能之勞工有利，可幫助他們將其經驗能力拓銷至海外，並打響我產業名聲。</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許多衍生服務，皆能輔助未來智慧城市目標願景發展，亦是</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之潛在商機，加上政府研擬組成</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一條龍工作小組，推動包含顧問規劃、建置工程等輸出，是我一大優勢產業。惟需特別注意，在相關經驗、技術之指導時，務必掌握重要之</w:t>
      </w:r>
      <w:r w:rsidRPr="00C77E77">
        <w:rPr>
          <w:rFonts w:ascii="Times New Roman" w:eastAsia="標楷體" w:hAnsi="Times New Roman" w:cs="Times New Roman"/>
          <w:sz w:val="28"/>
          <w:szCs w:val="28"/>
        </w:rPr>
        <w:t>know-how</w:t>
      </w:r>
      <w:r w:rsidRPr="00C77E77">
        <w:rPr>
          <w:rFonts w:ascii="Times New Roman" w:eastAsia="標楷體" w:hAnsi="Times New Roman" w:cs="Times New Roman"/>
          <w:sz w:val="28"/>
          <w:szCs w:val="28"/>
        </w:rPr>
        <w:t>，避免技術外流，損害產業自身權益。</w:t>
      </w:r>
    </w:p>
    <w:p w:rsidR="005B7907" w:rsidRPr="00C77E77" w:rsidRDefault="005B7907" w:rsidP="00D54098">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欲</w:t>
      </w:r>
      <w:r w:rsidR="00D54098" w:rsidRPr="00C77E77">
        <w:rPr>
          <w:rFonts w:ascii="Times New Roman" w:eastAsia="標楷體" w:hAnsi="Times New Roman" w:cs="Times New Roman"/>
          <w:color w:val="000000" w:themeColor="text1"/>
          <w:sz w:val="28"/>
          <w:szCs w:val="28"/>
        </w:rPr>
        <w:t>將電子收費產業推廣至東南亞及南亞，</w:t>
      </w:r>
      <w:r w:rsidRPr="00C77E77">
        <w:rPr>
          <w:rFonts w:ascii="Times New Roman" w:eastAsia="標楷體" w:hAnsi="Times New Roman" w:cs="Times New Roman"/>
          <w:b/>
          <w:color w:val="000000" w:themeColor="text1"/>
          <w:sz w:val="28"/>
          <w:szCs w:val="28"/>
        </w:rPr>
        <w:t>短期</w:t>
      </w:r>
      <w:r w:rsidRPr="00C77E77">
        <w:rPr>
          <w:rFonts w:ascii="Times New Roman" w:eastAsia="標楷體" w:hAnsi="Times New Roman" w:cs="Times New Roman"/>
          <w:color w:val="000000" w:themeColor="text1"/>
          <w:sz w:val="28"/>
          <w:szCs w:val="28"/>
        </w:rPr>
        <w:t>來說，以</w:t>
      </w:r>
      <w:r w:rsidR="00D54098" w:rsidRPr="00C77E77">
        <w:rPr>
          <w:rFonts w:ascii="Times New Roman" w:eastAsia="標楷體" w:hAnsi="Times New Roman" w:cs="Times New Roman"/>
          <w:color w:val="000000" w:themeColor="text1"/>
          <w:sz w:val="28"/>
          <w:szCs w:val="28"/>
        </w:rPr>
        <w:t>馬來西亞、泰國、印尼、菲律賓、越南及汶萊</w:t>
      </w:r>
      <w:r w:rsidRPr="00C77E77">
        <w:rPr>
          <w:rFonts w:ascii="Times New Roman" w:eastAsia="標楷體" w:hAnsi="Times New Roman" w:cs="Times New Roman"/>
          <w:color w:val="000000" w:themeColor="text1"/>
          <w:sz w:val="28"/>
          <w:szCs w:val="28"/>
        </w:rPr>
        <w:t>等高速公路建設相對有基礎的國家為首選</w:t>
      </w:r>
      <w:r w:rsidR="00CD470E" w:rsidRPr="00C77E77">
        <w:rPr>
          <w:rFonts w:ascii="Times New Roman" w:eastAsia="標楷體" w:hAnsi="Times New Roman" w:cs="Times New Roman"/>
          <w:color w:val="000000" w:themeColor="text1"/>
          <w:sz w:val="28"/>
          <w:szCs w:val="28"/>
        </w:rPr>
        <w:t>。我國之顧問規劃、建置工程皆可輸出，並與當地廠商合作，一同進行</w:t>
      </w:r>
      <w:r w:rsidR="00CD470E" w:rsidRPr="00C77E77">
        <w:rPr>
          <w:rFonts w:ascii="Times New Roman" w:eastAsia="標楷體" w:hAnsi="Times New Roman" w:cs="Times New Roman"/>
          <w:color w:val="000000" w:themeColor="text1"/>
          <w:sz w:val="28"/>
          <w:szCs w:val="28"/>
        </w:rPr>
        <w:t>ETC</w:t>
      </w:r>
      <w:r w:rsidR="00CD470E" w:rsidRPr="00C77E77">
        <w:rPr>
          <w:rFonts w:ascii="Times New Roman" w:eastAsia="標楷體" w:hAnsi="Times New Roman" w:cs="Times New Roman"/>
          <w:color w:val="000000" w:themeColor="text1"/>
          <w:sz w:val="28"/>
          <w:szCs w:val="28"/>
        </w:rPr>
        <w:t>建置作業，過程中不僅帶動我產業輸出，亦能增進當地工程營造業勞動力就業機會，待完成之後，更期能改善交通問題。惟須注意因這些國家的開發程度仍剛起步，</w:t>
      </w:r>
      <w:r w:rsidR="00CD470E" w:rsidRPr="00C77E77">
        <w:rPr>
          <w:rFonts w:ascii="Times New Roman" w:eastAsia="標楷體" w:hAnsi="Times New Roman" w:cs="Times New Roman"/>
          <w:color w:val="000000" w:themeColor="text1"/>
          <w:sz w:val="28"/>
          <w:szCs w:val="28"/>
        </w:rPr>
        <w:t>ETC</w:t>
      </w:r>
      <w:r w:rsidR="00CD470E" w:rsidRPr="00C77E77">
        <w:rPr>
          <w:rFonts w:ascii="Times New Roman" w:eastAsia="標楷體" w:hAnsi="Times New Roman" w:cs="Times New Roman"/>
          <w:color w:val="000000" w:themeColor="text1"/>
          <w:sz w:val="28"/>
          <w:szCs w:val="28"/>
        </w:rPr>
        <w:t>系統之設立，應採循序漸進方式，由人工收費與電子收費方式並行，降低當地民眾的排斥性。</w:t>
      </w:r>
      <w:r w:rsidR="004E22C2" w:rsidRPr="00C77E77">
        <w:rPr>
          <w:rFonts w:ascii="Times New Roman" w:eastAsia="標楷體" w:hAnsi="Times New Roman" w:cs="Times New Roman"/>
          <w:color w:val="000000" w:themeColor="text1"/>
          <w:sz w:val="28"/>
          <w:szCs w:val="28"/>
        </w:rPr>
        <w:t>同時在海外標案情資蒐集、事前規劃方面，我國政府及企業皆有待加強，提升國際投標能力，才能實際將產業推至海外。</w:t>
      </w:r>
    </w:p>
    <w:p w:rsidR="00D54098" w:rsidRPr="00C77E77" w:rsidRDefault="00A843D3" w:rsidP="00D54098">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中期</w:t>
      </w:r>
      <w:r w:rsidRPr="00C77E77">
        <w:rPr>
          <w:rFonts w:ascii="Times New Roman" w:eastAsia="標楷體" w:hAnsi="Times New Roman" w:cs="Times New Roman"/>
          <w:color w:val="000000" w:themeColor="text1"/>
          <w:sz w:val="28"/>
          <w:szCs w:val="28"/>
        </w:rPr>
        <w:t>來說，</w:t>
      </w:r>
      <w:r w:rsidR="00D54098" w:rsidRPr="00C77E77">
        <w:rPr>
          <w:rFonts w:ascii="Times New Roman" w:eastAsia="標楷體" w:hAnsi="Times New Roman" w:cs="Times New Roman"/>
          <w:color w:val="000000" w:themeColor="text1"/>
          <w:sz w:val="28"/>
          <w:szCs w:val="28"/>
        </w:rPr>
        <w:t>寮國、柬埔寨與緬甸因基礎建設不全，能嘗試以政府推行之</w:t>
      </w:r>
      <w:r w:rsidR="00D54098" w:rsidRPr="00C77E77">
        <w:rPr>
          <w:rFonts w:ascii="Times New Roman" w:eastAsia="標楷體" w:hAnsi="Times New Roman" w:cs="Times New Roman"/>
          <w:color w:val="000000" w:themeColor="text1"/>
          <w:sz w:val="28"/>
          <w:szCs w:val="28"/>
        </w:rPr>
        <w:t>ETC</w:t>
      </w:r>
      <w:r w:rsidR="00D54098" w:rsidRPr="00C77E77">
        <w:rPr>
          <w:rFonts w:ascii="Times New Roman" w:eastAsia="標楷體" w:hAnsi="Times New Roman" w:cs="Times New Roman"/>
          <w:color w:val="000000" w:themeColor="text1"/>
          <w:sz w:val="28"/>
          <w:szCs w:val="28"/>
        </w:rPr>
        <w:t>一條龍專案，由國內廠商協力從路網建設開始做起，甚至是配合其他國家在目標國所推行之基礎建設計劃，一同開發合作，不僅降低進入市場成本，更可分散單一企業獨自承擔之風險，也能先行探索未來可能存在之商機，同時幫助當地改善基礎建設環境。</w:t>
      </w:r>
    </w:p>
    <w:p w:rsidR="00A843D3" w:rsidRPr="00C77E77" w:rsidRDefault="00A843D3" w:rsidP="00D54098">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長期</w:t>
      </w:r>
      <w:r w:rsidRPr="00C77E77">
        <w:rPr>
          <w:rFonts w:ascii="Times New Roman" w:eastAsia="標楷體" w:hAnsi="Times New Roman" w:cs="Times New Roman"/>
          <w:color w:val="000000" w:themeColor="text1"/>
          <w:sz w:val="28"/>
          <w:szCs w:val="28"/>
        </w:rPr>
        <w:t>策略規劃可待未來</w:t>
      </w:r>
      <w:r w:rsidRPr="00C77E77">
        <w:rPr>
          <w:rFonts w:ascii="Times New Roman" w:eastAsia="標楷體" w:hAnsi="Times New Roman" w:cs="Times New Roman"/>
          <w:color w:val="000000" w:themeColor="text1"/>
          <w:sz w:val="28"/>
          <w:szCs w:val="28"/>
        </w:rPr>
        <w:t>ETC</w:t>
      </w:r>
      <w:r w:rsidRPr="00C77E77">
        <w:rPr>
          <w:rFonts w:ascii="Times New Roman" w:eastAsia="標楷體" w:hAnsi="Times New Roman" w:cs="Times New Roman"/>
          <w:color w:val="000000" w:themeColor="text1"/>
          <w:sz w:val="28"/>
          <w:szCs w:val="28"/>
        </w:rPr>
        <w:t>衍生服務發展成熟後進入印度市場拓展商機，由我國輸出顧問服務，進行更進一步之智慧城市規劃，帶動</w:t>
      </w:r>
      <w:r w:rsidRPr="00C77E77">
        <w:rPr>
          <w:rFonts w:ascii="Times New Roman" w:eastAsia="標楷體" w:hAnsi="Times New Roman" w:cs="Times New Roman"/>
          <w:color w:val="000000" w:themeColor="text1"/>
          <w:sz w:val="28"/>
          <w:szCs w:val="28"/>
        </w:rPr>
        <w:lastRenderedPageBreak/>
        <w:t>城市發展，之後更可再將相關經驗帶回國內，做為我國借鏡。</w:t>
      </w:r>
    </w:p>
    <w:p w:rsidR="004E1F92" w:rsidRPr="00C77E77" w:rsidRDefault="004E1F92" w:rsidP="004E1F92">
      <w:pPr>
        <w:pStyle w:val="af9"/>
        <w:ind w:left="720"/>
      </w:pPr>
      <w:bookmarkStart w:id="144" w:name="_Toc470676611"/>
      <w:r w:rsidRPr="00C77E77">
        <w:t>表</w:t>
      </w:r>
      <w:r w:rsidRPr="00C77E77">
        <w:t>5-</w:t>
      </w:r>
      <w:r w:rsidR="009551A7" w:rsidRPr="00C77E77">
        <w:t>2</w:t>
      </w:r>
      <w:r w:rsidRPr="00C77E77">
        <w:t xml:space="preserve">-1 </w:t>
      </w:r>
      <w:r w:rsidRPr="00C77E77">
        <w:t>我國</w:t>
      </w:r>
      <w:r w:rsidR="00486B15" w:rsidRPr="00C77E77">
        <w:t>電子收費</w:t>
      </w:r>
      <w:r w:rsidRPr="00C77E77">
        <w:t>產業之</w:t>
      </w:r>
      <w:r w:rsidRPr="00C77E77">
        <w:t>SWOT</w:t>
      </w:r>
      <w:r w:rsidRPr="00C77E77">
        <w:t>分析</w:t>
      </w:r>
      <w:bookmarkEnd w:id="1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9"/>
        <w:gridCol w:w="4159"/>
      </w:tblGrid>
      <w:tr w:rsidR="004E1F92" w:rsidRPr="00C77E77" w:rsidTr="004E1F92">
        <w:trPr>
          <w:trHeight w:val="168"/>
          <w:jc w:val="center"/>
        </w:trPr>
        <w:tc>
          <w:tcPr>
            <w:tcW w:w="4159" w:type="dxa"/>
          </w:tcPr>
          <w:p w:rsidR="004E1F92" w:rsidRPr="00C77E77" w:rsidRDefault="004E1F92" w:rsidP="004E1F92">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00C43C65" w:rsidRPr="00C77E77">
              <w:rPr>
                <w:rFonts w:ascii="Times New Roman" w:eastAsia="標楷體" w:hAnsi="Times New Roman" w:cs="Times New Roman"/>
                <w:b/>
                <w:color w:val="000000"/>
                <w:kern w:val="0"/>
                <w:szCs w:val="24"/>
              </w:rPr>
              <w:t>（</w:t>
            </w:r>
            <w:r w:rsidR="00C43C65" w:rsidRPr="00C77E77">
              <w:rPr>
                <w:rFonts w:ascii="Times New Roman" w:eastAsia="標楷體" w:hAnsi="Times New Roman" w:cs="Times New Roman"/>
                <w:b/>
                <w:bCs/>
                <w:color w:val="000000"/>
                <w:kern w:val="0"/>
                <w:szCs w:val="24"/>
              </w:rPr>
              <w:t>S</w:t>
            </w:r>
            <w:r w:rsidR="00C43C65" w:rsidRPr="00C77E77">
              <w:rPr>
                <w:rFonts w:ascii="Times New Roman" w:eastAsia="標楷體" w:hAnsi="Times New Roman" w:cs="Times New Roman"/>
                <w:b/>
                <w:bCs/>
                <w:color w:val="000000"/>
                <w:kern w:val="0"/>
                <w:szCs w:val="24"/>
              </w:rPr>
              <w:t>）</w:t>
            </w:r>
          </w:p>
        </w:tc>
        <w:tc>
          <w:tcPr>
            <w:tcW w:w="4159" w:type="dxa"/>
          </w:tcPr>
          <w:p w:rsidR="004E1F92" w:rsidRPr="00C77E77" w:rsidRDefault="004E1F92" w:rsidP="004E1F92">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00C43C65" w:rsidRPr="00C77E77">
              <w:rPr>
                <w:rFonts w:ascii="Times New Roman" w:eastAsia="標楷體" w:hAnsi="Times New Roman" w:cs="Times New Roman"/>
                <w:b/>
                <w:bCs/>
                <w:color w:val="000000"/>
                <w:kern w:val="0"/>
                <w:szCs w:val="24"/>
              </w:rPr>
              <w:t>（</w:t>
            </w:r>
            <w:r w:rsidR="00C43C65" w:rsidRPr="00C77E77">
              <w:rPr>
                <w:rFonts w:ascii="Times New Roman" w:eastAsia="標楷體" w:hAnsi="Times New Roman" w:cs="Times New Roman"/>
                <w:b/>
                <w:bCs/>
                <w:color w:val="000000"/>
                <w:kern w:val="0"/>
                <w:szCs w:val="24"/>
              </w:rPr>
              <w:t>W</w:t>
            </w:r>
            <w:r w:rsidR="00C43C65" w:rsidRPr="00C77E77">
              <w:rPr>
                <w:rFonts w:ascii="Times New Roman" w:eastAsia="標楷體" w:hAnsi="Times New Roman" w:cs="Times New Roman"/>
                <w:b/>
                <w:bCs/>
                <w:color w:val="000000"/>
                <w:kern w:val="0"/>
                <w:szCs w:val="24"/>
              </w:rPr>
              <w:t>）</w:t>
            </w:r>
          </w:p>
        </w:tc>
      </w:tr>
      <w:tr w:rsidR="004E1F92" w:rsidRPr="00C77E77" w:rsidTr="004E1F92">
        <w:trPr>
          <w:trHeight w:val="1136"/>
          <w:jc w:val="center"/>
        </w:trPr>
        <w:tc>
          <w:tcPr>
            <w:tcW w:w="4159" w:type="dxa"/>
          </w:tcPr>
          <w:p w:rsidR="004E1F92" w:rsidRPr="00C77E77" w:rsidRDefault="004E1F92" w:rsidP="00315772">
            <w:pPr>
              <w:autoSpaceDE w:val="0"/>
              <w:autoSpaceDN w:val="0"/>
              <w:adjustRightInd w:val="0"/>
              <w:ind w:leftChars="11" w:left="26"/>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CB4B86" w:rsidRPr="00C77E77">
              <w:rPr>
                <w:rFonts w:ascii="Times New Roman" w:eastAsia="標楷體" w:hAnsi="Times New Roman" w:cs="Times New Roman"/>
                <w:color w:val="000000"/>
                <w:kern w:val="0"/>
                <w:szCs w:val="24"/>
              </w:rPr>
              <w:t>我國是世界第一個高速公路全面電子收費的國家，且</w:t>
            </w:r>
            <w:r w:rsidR="00CB4B86" w:rsidRPr="00C77E77">
              <w:rPr>
                <w:rFonts w:ascii="Times New Roman" w:eastAsia="標楷體" w:hAnsi="Times New Roman" w:cs="Times New Roman"/>
                <w:color w:val="000000"/>
                <w:kern w:val="0"/>
                <w:szCs w:val="24"/>
              </w:rPr>
              <w:t>ETC</w:t>
            </w:r>
            <w:r w:rsidR="00CB4B86" w:rsidRPr="00C77E77">
              <w:rPr>
                <w:rFonts w:ascii="Times New Roman" w:eastAsia="標楷體" w:hAnsi="Times New Roman" w:cs="Times New Roman"/>
                <w:color w:val="000000"/>
                <w:kern w:val="0"/>
                <w:szCs w:val="24"/>
              </w:rPr>
              <w:t>將設備整合在單一門架上，不僅技術創新，更能降低成本。</w:t>
            </w:r>
          </w:p>
          <w:p w:rsidR="004E1F92" w:rsidRPr="00C77E77" w:rsidRDefault="00CB4B86"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9155BA" w:rsidRPr="00C77E77">
              <w:rPr>
                <w:rFonts w:ascii="Times New Roman" w:eastAsia="標楷體" w:hAnsi="Times New Roman" w:cs="Times New Roman"/>
                <w:color w:val="000000"/>
                <w:kern w:val="0"/>
                <w:szCs w:val="24"/>
              </w:rPr>
              <w:t>除了完成交通收費作業，後續的網路平</w:t>
            </w:r>
            <w:r w:rsidR="00FD0D5A" w:rsidRPr="00C77E77">
              <w:rPr>
                <w:rFonts w:ascii="Times New Roman" w:eastAsia="標楷體" w:hAnsi="Times New Roman" w:cs="Times New Roman"/>
                <w:color w:val="000000"/>
                <w:kern w:val="0"/>
                <w:szCs w:val="24"/>
              </w:rPr>
              <w:t>臺</w:t>
            </w:r>
            <w:r w:rsidR="009155BA" w:rsidRPr="00C77E77">
              <w:rPr>
                <w:rFonts w:ascii="Times New Roman" w:eastAsia="標楷體" w:hAnsi="Times New Roman" w:cs="Times New Roman"/>
                <w:color w:val="000000"/>
                <w:kern w:val="0"/>
                <w:szCs w:val="24"/>
              </w:rPr>
              <w:t>還能處理雲端感知訊號與大數據整合分析，進而發展各項以</w:t>
            </w:r>
            <w:r w:rsidR="009155BA" w:rsidRPr="00C77E77">
              <w:rPr>
                <w:rFonts w:ascii="Times New Roman" w:eastAsia="標楷體" w:hAnsi="Times New Roman" w:cs="Times New Roman"/>
                <w:color w:val="000000"/>
                <w:kern w:val="0"/>
                <w:szCs w:val="24"/>
              </w:rPr>
              <w:t>ETC</w:t>
            </w:r>
            <w:r w:rsidR="009155BA" w:rsidRPr="00C77E77">
              <w:rPr>
                <w:rFonts w:ascii="Times New Roman" w:eastAsia="標楷體" w:hAnsi="Times New Roman" w:cs="Times New Roman"/>
                <w:color w:val="000000"/>
                <w:kern w:val="0"/>
                <w:szCs w:val="24"/>
              </w:rPr>
              <w:t>為基礎之物聯網應用。</w:t>
            </w:r>
          </w:p>
        </w:tc>
        <w:tc>
          <w:tcPr>
            <w:tcW w:w="4159" w:type="dxa"/>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9155BA" w:rsidRPr="00C77E77">
              <w:rPr>
                <w:rFonts w:ascii="Times New Roman" w:eastAsia="標楷體" w:hAnsi="Times New Roman" w:cs="Times New Roman"/>
                <w:color w:val="000000"/>
                <w:kern w:val="0"/>
                <w:szCs w:val="24"/>
              </w:rPr>
              <w:t>雖可發展以</w:t>
            </w:r>
            <w:r w:rsidR="009155BA" w:rsidRPr="00C77E77">
              <w:rPr>
                <w:rFonts w:ascii="Times New Roman" w:eastAsia="標楷體" w:hAnsi="Times New Roman" w:cs="Times New Roman"/>
                <w:color w:val="000000"/>
                <w:kern w:val="0"/>
                <w:szCs w:val="24"/>
              </w:rPr>
              <w:t>ETC</w:t>
            </w:r>
            <w:r w:rsidR="009155BA" w:rsidRPr="00C77E77">
              <w:rPr>
                <w:rFonts w:ascii="Times New Roman" w:eastAsia="標楷體" w:hAnsi="Times New Roman" w:cs="Times New Roman"/>
                <w:color w:val="000000"/>
                <w:kern w:val="0"/>
                <w:szCs w:val="24"/>
              </w:rPr>
              <w:t>為基礎之行動物聯網應用，但尚需政府部門及立法單位制訂營業規範，始能繼續擴大發展。</w:t>
            </w:r>
          </w:p>
          <w:p w:rsidR="00F1339A" w:rsidRPr="00C77E77" w:rsidRDefault="00F1339A" w:rsidP="00F1339A">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E72F14" w:rsidRPr="00C77E77">
              <w:rPr>
                <w:rFonts w:ascii="Times New Roman" w:eastAsia="標楷體" w:hAnsi="Times New Roman" w:cs="Times New Roman"/>
                <w:color w:val="000000"/>
                <w:kern w:val="0"/>
                <w:szCs w:val="24"/>
              </w:rPr>
              <w:t>政府及企業</w:t>
            </w:r>
            <w:r w:rsidRPr="00C77E77">
              <w:rPr>
                <w:rFonts w:ascii="Times New Roman" w:eastAsia="標楷體" w:hAnsi="Times New Roman" w:cs="Times New Roman"/>
                <w:color w:val="000000"/>
                <w:kern w:val="0"/>
                <w:szCs w:val="24"/>
              </w:rPr>
              <w:t>在海外標案情資蒐集、事前規劃方面，皆有待加強</w:t>
            </w:r>
            <w:r w:rsidR="00E72F14" w:rsidRPr="00C77E77">
              <w:rPr>
                <w:rFonts w:ascii="Times New Roman" w:eastAsia="標楷體" w:hAnsi="Times New Roman" w:cs="Times New Roman"/>
                <w:color w:val="000000"/>
                <w:kern w:val="0"/>
                <w:szCs w:val="24"/>
              </w:rPr>
              <w:t>。</w:t>
            </w:r>
          </w:p>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p>
        </w:tc>
      </w:tr>
      <w:tr w:rsidR="004E1F92" w:rsidRPr="00C77E77" w:rsidTr="004E1F92">
        <w:trPr>
          <w:trHeight w:val="168"/>
          <w:jc w:val="center"/>
        </w:trPr>
        <w:tc>
          <w:tcPr>
            <w:tcW w:w="4159" w:type="dxa"/>
          </w:tcPr>
          <w:p w:rsidR="004E1F92" w:rsidRPr="00C77E77" w:rsidRDefault="004E1F92" w:rsidP="004E1F92">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機會</w:t>
            </w:r>
            <w:r w:rsidR="00C43C65" w:rsidRPr="00C77E77">
              <w:rPr>
                <w:rFonts w:ascii="Times New Roman" w:eastAsia="標楷體" w:hAnsi="Times New Roman" w:cs="Times New Roman"/>
                <w:b/>
                <w:bCs/>
                <w:color w:val="000000"/>
                <w:kern w:val="0"/>
                <w:szCs w:val="24"/>
              </w:rPr>
              <w:t>（</w:t>
            </w:r>
            <w:r w:rsidR="00C43C65" w:rsidRPr="00C77E77">
              <w:rPr>
                <w:rFonts w:ascii="Times New Roman" w:eastAsia="標楷體" w:hAnsi="Times New Roman" w:cs="Times New Roman"/>
                <w:b/>
                <w:bCs/>
                <w:color w:val="000000"/>
                <w:kern w:val="0"/>
                <w:szCs w:val="24"/>
              </w:rPr>
              <w:t>O</w:t>
            </w:r>
            <w:r w:rsidR="00C43C65" w:rsidRPr="00C77E77">
              <w:rPr>
                <w:rFonts w:ascii="Times New Roman" w:eastAsia="標楷體" w:hAnsi="Times New Roman" w:cs="Times New Roman"/>
                <w:b/>
                <w:bCs/>
                <w:color w:val="000000"/>
                <w:kern w:val="0"/>
                <w:szCs w:val="24"/>
              </w:rPr>
              <w:t>）</w:t>
            </w:r>
          </w:p>
        </w:tc>
        <w:tc>
          <w:tcPr>
            <w:tcW w:w="4159" w:type="dxa"/>
          </w:tcPr>
          <w:p w:rsidR="004E1F92" w:rsidRPr="00C77E77" w:rsidRDefault="004E1F92" w:rsidP="004E1F92">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威脅</w:t>
            </w:r>
            <w:r w:rsidR="00C43C65" w:rsidRPr="00C77E77">
              <w:rPr>
                <w:rFonts w:ascii="Times New Roman" w:eastAsia="標楷體" w:hAnsi="Times New Roman" w:cs="Times New Roman"/>
                <w:b/>
                <w:bCs/>
                <w:color w:val="000000"/>
                <w:kern w:val="0"/>
                <w:szCs w:val="24"/>
              </w:rPr>
              <w:t>（</w:t>
            </w:r>
            <w:r w:rsidR="00C43C65" w:rsidRPr="00C77E77">
              <w:rPr>
                <w:rFonts w:ascii="Times New Roman" w:eastAsia="標楷體" w:hAnsi="Times New Roman" w:cs="Times New Roman"/>
                <w:b/>
                <w:bCs/>
                <w:color w:val="000000"/>
                <w:kern w:val="0"/>
                <w:szCs w:val="24"/>
              </w:rPr>
              <w:t>T</w:t>
            </w:r>
            <w:r w:rsidR="00C43C65" w:rsidRPr="00C77E77">
              <w:rPr>
                <w:rFonts w:ascii="Times New Roman" w:eastAsia="標楷體" w:hAnsi="Times New Roman" w:cs="Times New Roman"/>
                <w:b/>
                <w:bCs/>
                <w:color w:val="000000"/>
                <w:kern w:val="0"/>
                <w:szCs w:val="24"/>
              </w:rPr>
              <w:t>）</w:t>
            </w:r>
          </w:p>
        </w:tc>
      </w:tr>
      <w:tr w:rsidR="004E1F92" w:rsidRPr="00C77E77" w:rsidTr="004E1F92">
        <w:trPr>
          <w:trHeight w:val="984"/>
          <w:jc w:val="center"/>
        </w:trPr>
        <w:tc>
          <w:tcPr>
            <w:tcW w:w="4159" w:type="dxa"/>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9155BA" w:rsidRPr="00C77E77">
              <w:rPr>
                <w:rFonts w:ascii="Times New Roman" w:eastAsia="標楷體" w:hAnsi="Times New Roman" w:cs="Times New Roman"/>
                <w:color w:val="000000"/>
                <w:kern w:val="0"/>
                <w:szCs w:val="24"/>
              </w:rPr>
              <w:t>我國技術領先全球，且此技術用途廣泛，可極力推廣。</w:t>
            </w:r>
          </w:p>
          <w:p w:rsidR="009155BA" w:rsidRPr="00C77E77" w:rsidRDefault="009155BA"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東南亞及印度大多有意與我國接洽，我可採用一條龍服務輸出方式，擴大我受益產業。</w:t>
            </w:r>
          </w:p>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p>
        </w:tc>
        <w:tc>
          <w:tcPr>
            <w:tcW w:w="4159" w:type="dxa"/>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9155BA" w:rsidRPr="00C77E77">
              <w:rPr>
                <w:rFonts w:ascii="Times New Roman" w:eastAsia="標楷體" w:hAnsi="Times New Roman" w:cs="Times New Roman"/>
                <w:color w:val="000000"/>
                <w:kern w:val="0"/>
                <w:szCs w:val="24"/>
              </w:rPr>
              <w:t>前往發展</w:t>
            </w:r>
            <w:r w:rsidR="009155BA" w:rsidRPr="00C77E77">
              <w:rPr>
                <w:rFonts w:ascii="Times New Roman" w:eastAsia="標楷體" w:hAnsi="Times New Roman" w:cs="Times New Roman"/>
                <w:color w:val="000000"/>
                <w:kern w:val="0"/>
                <w:szCs w:val="24"/>
              </w:rPr>
              <w:t>ETC</w:t>
            </w:r>
            <w:r w:rsidR="009155BA" w:rsidRPr="00C77E77">
              <w:rPr>
                <w:rFonts w:ascii="Times New Roman" w:eastAsia="標楷體" w:hAnsi="Times New Roman" w:cs="Times New Roman"/>
                <w:color w:val="000000"/>
                <w:kern w:val="0"/>
                <w:szCs w:val="24"/>
              </w:rPr>
              <w:t>產業，電力問題是一大考驗，需仰賴當地基礎建設完備，才能提供更完整、多元之服務。</w:t>
            </w:r>
          </w:p>
          <w:p w:rsidR="004E1F92" w:rsidRPr="00C77E77" w:rsidRDefault="004F675C"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東南亞與印度各國法令、制度不一，商情也有所不同，若前往發展，需深入了解。</w:t>
            </w:r>
          </w:p>
        </w:tc>
      </w:tr>
    </w:tbl>
    <w:p w:rsidR="004E1F92" w:rsidRPr="00C77E77" w:rsidRDefault="004E1F92" w:rsidP="001F0CF0">
      <w:pPr>
        <w:pStyle w:val="ab"/>
        <w:ind w:leftChars="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r w:rsidR="000C1684" w:rsidRPr="00C77E77">
        <w:rPr>
          <w:rFonts w:ascii="Times New Roman" w:eastAsia="標楷體" w:hAnsi="Times New Roman" w:cs="Times New Roman"/>
          <w:sz w:val="28"/>
          <w:szCs w:val="28"/>
        </w:rPr>
        <w:t>。</w:t>
      </w:r>
    </w:p>
    <w:p w:rsidR="00544A79" w:rsidRPr="00C77E77" w:rsidRDefault="00544A79" w:rsidP="001F0CF0">
      <w:pPr>
        <w:pStyle w:val="ab"/>
        <w:ind w:leftChars="0" w:left="720"/>
        <w:rPr>
          <w:rFonts w:ascii="Times New Roman" w:eastAsia="標楷體" w:hAnsi="Times New Roman" w:cs="Times New Roman"/>
          <w:sz w:val="28"/>
          <w:szCs w:val="28"/>
        </w:rPr>
      </w:pPr>
    </w:p>
    <w:p w:rsidR="009D7FB5" w:rsidRPr="00C77E77" w:rsidRDefault="009D7FB5" w:rsidP="00764ED7">
      <w:pPr>
        <w:pStyle w:val="ab"/>
        <w:numPr>
          <w:ilvl w:val="0"/>
          <w:numId w:val="31"/>
        </w:numPr>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電子化政府</w:t>
      </w:r>
    </w:p>
    <w:p w:rsidR="00AA60D5" w:rsidRPr="00C77E77" w:rsidRDefault="00FF258F" w:rsidP="00FF258F">
      <w:pPr>
        <w:pStyle w:val="ab"/>
        <w:spacing w:beforeLines="50" w:before="180" w:afterLines="50" w:after="180" w:line="500" w:lineRule="exact"/>
        <w:ind w:leftChars="0" w:left="72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電子化政府產業屬於輸出制度、規範的顧問性服務，因此對於國內無明顯負面衝擊，反而能幫助我產業擴大市場，輸出海外也能增進相關人員彼此知識、實務上之交流，但需留意專業</w:t>
      </w:r>
      <w:r w:rsidRPr="00C77E77">
        <w:rPr>
          <w:rFonts w:ascii="Times New Roman" w:eastAsia="標楷體" w:hAnsi="Times New Roman" w:cs="Times New Roman"/>
          <w:sz w:val="28"/>
          <w:szCs w:val="28"/>
        </w:rPr>
        <w:t>know-how</w:t>
      </w:r>
      <w:r w:rsidRPr="00C77E77">
        <w:rPr>
          <w:rFonts w:ascii="Times New Roman" w:eastAsia="標楷體" w:hAnsi="Times New Roman" w:cs="Times New Roman"/>
          <w:sz w:val="28"/>
          <w:szCs w:val="28"/>
        </w:rPr>
        <w:t>的保護機制，避免雙方合作、交流過程中，將我寶貴技術外流，造成不必要之損失。</w:t>
      </w:r>
      <w:r w:rsidR="00E72F14" w:rsidRPr="00C77E77">
        <w:rPr>
          <w:rFonts w:ascii="Times New Roman" w:eastAsia="標楷體" w:hAnsi="Times New Roman" w:cs="Times New Roman"/>
          <w:sz w:val="28"/>
          <w:szCs w:val="28"/>
        </w:rPr>
        <w:t>電子化政府除了政府層面的配合，更需要電子網路等硬體設施的建立。</w:t>
      </w:r>
      <w:r w:rsidR="00D54098" w:rsidRPr="00C77E77">
        <w:rPr>
          <w:rFonts w:ascii="Times New Roman" w:eastAsia="標楷體" w:hAnsi="Times New Roman" w:cs="Times New Roman"/>
          <w:sz w:val="28"/>
          <w:szCs w:val="28"/>
        </w:rPr>
        <w:t>我國電子化政府發展在日本早稻田大學研究排名名列前茅，</w:t>
      </w:r>
      <w:r w:rsidR="00D54098" w:rsidRPr="00C77E77">
        <w:rPr>
          <w:rFonts w:ascii="Times New Roman" w:eastAsia="標楷體" w:hAnsi="Times New Roman" w:cs="Times New Roman"/>
          <w:sz w:val="28"/>
          <w:szCs w:val="28"/>
        </w:rPr>
        <w:t>2016</w:t>
      </w:r>
      <w:r w:rsidR="00D54098" w:rsidRPr="00C77E77">
        <w:rPr>
          <w:rFonts w:ascii="Times New Roman" w:eastAsia="標楷體" w:hAnsi="Times New Roman" w:cs="Times New Roman"/>
          <w:sz w:val="28"/>
          <w:szCs w:val="28"/>
        </w:rPr>
        <w:t>年獲得第十名之優異成績，</w:t>
      </w:r>
      <w:r w:rsidR="00587A4E" w:rsidRPr="00C77E77">
        <w:rPr>
          <w:rFonts w:ascii="Times New Roman" w:eastAsia="標楷體" w:hAnsi="Times New Roman" w:cs="Times New Roman"/>
          <w:sz w:val="28"/>
          <w:szCs w:val="28"/>
        </w:rPr>
        <w:t>國內企業神通資科已成功將自動通關系統輸至杜拜國際機場，</w:t>
      </w:r>
      <w:r w:rsidR="008C405B" w:rsidRPr="00C77E77">
        <w:rPr>
          <w:rFonts w:ascii="Times New Roman" w:eastAsia="標楷體" w:hAnsi="Times New Roman" w:cs="Times New Roman"/>
          <w:sz w:val="28"/>
          <w:szCs w:val="28"/>
        </w:rPr>
        <w:t>研華公司</w:t>
      </w:r>
      <w:r w:rsidR="00623B33" w:rsidRPr="00C77E77">
        <w:rPr>
          <w:rFonts w:ascii="Times New Roman" w:eastAsia="標楷體" w:hAnsi="Times New Roman" w:cs="Times New Roman"/>
          <w:sz w:val="28"/>
          <w:szCs w:val="28"/>
        </w:rPr>
        <w:t>業務協理</w:t>
      </w:r>
      <w:r w:rsidR="008C405B" w:rsidRPr="00C77E77">
        <w:rPr>
          <w:rFonts w:ascii="Times New Roman" w:eastAsia="標楷體" w:hAnsi="Times New Roman" w:cs="Times New Roman"/>
          <w:sz w:val="28"/>
          <w:szCs w:val="28"/>
        </w:rPr>
        <w:t>亦表示針對</w:t>
      </w:r>
      <w:r w:rsidR="00AA60D5" w:rsidRPr="00C77E77">
        <w:rPr>
          <w:rFonts w:ascii="Times New Roman" w:eastAsia="標楷體" w:hAnsi="Times New Roman" w:cs="Times New Roman"/>
          <w:sz w:val="28"/>
          <w:szCs w:val="28"/>
        </w:rPr>
        <w:t>東協與印度目前所需的電子化相關解決方案，臺灣廠商絕對有能力完成。</w:t>
      </w:r>
    </w:p>
    <w:p w:rsidR="00C578CD" w:rsidRPr="00C77E77" w:rsidRDefault="00C578CD" w:rsidP="00AB60DE">
      <w:pPr>
        <w:pStyle w:val="ab"/>
        <w:spacing w:beforeLines="50" w:before="180" w:afterLines="50" w:after="180" w:line="500" w:lineRule="exact"/>
        <w:ind w:leftChars="0" w:left="720" w:firstLineChars="198" w:firstLine="555"/>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lastRenderedPageBreak/>
        <w:t>短期</w:t>
      </w:r>
      <w:r w:rsidRPr="00C77E77">
        <w:rPr>
          <w:rFonts w:ascii="Times New Roman" w:eastAsia="標楷體" w:hAnsi="Times New Roman" w:cs="Times New Roman"/>
          <w:color w:val="000000" w:themeColor="text1"/>
          <w:sz w:val="28"/>
          <w:szCs w:val="28"/>
        </w:rPr>
        <w:t>策略方面，</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可在國內建置示範廠區，透過駐外單位或專責單位帶領眾廠商行銷推廣，提升我國產業能見度及形象。而馬來西亞、泰國、印尼、菲律賓、越南、汶萊，是我國現階段可前往發展之國家，至於新加坡電子化政府已發展成熟，我可與其進行技術、經驗交流。政府首要協助廠商蒐集相關情資，提供法律、制度的諮詢，以政府力量保障廠商基本權益。由於私單位規模較小，可和國外大型系統整合商合作，做為下包商，透過國外的一條龍帶領形式，我國廠商附在龍上前往發展，並將層級提升到公單位。</w:t>
      </w:r>
    </w:p>
    <w:p w:rsidR="00D54098" w:rsidRPr="00C77E77" w:rsidRDefault="00C578CD" w:rsidP="00AB60DE">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中</w:t>
      </w:r>
      <w:r w:rsidR="00AA60D5" w:rsidRPr="00C77E77">
        <w:rPr>
          <w:rFonts w:ascii="Times New Roman" w:eastAsia="標楷體" w:hAnsi="Times New Roman" w:cs="Times New Roman"/>
          <w:b/>
          <w:color w:val="000000" w:themeColor="text1"/>
          <w:sz w:val="28"/>
          <w:szCs w:val="28"/>
        </w:rPr>
        <w:t>期</w:t>
      </w:r>
      <w:r w:rsidR="00AA60D5" w:rsidRPr="00C77E77">
        <w:rPr>
          <w:rFonts w:ascii="Times New Roman" w:eastAsia="標楷體" w:hAnsi="Times New Roman" w:cs="Times New Roman"/>
          <w:color w:val="000000" w:themeColor="text1"/>
          <w:sz w:val="28"/>
          <w:szCs w:val="28"/>
        </w:rPr>
        <w:t>策略方面，</w:t>
      </w:r>
      <w:r w:rsidR="00623B33" w:rsidRPr="00C77E77">
        <w:rPr>
          <w:rFonts w:ascii="Times New Roman" w:eastAsia="標楷體" w:hAnsi="Times New Roman" w:cs="Times New Roman"/>
          <w:color w:val="000000" w:themeColor="text1"/>
          <w:sz w:val="28"/>
          <w:szCs w:val="28"/>
        </w:rPr>
        <w:t>迅宏科技經理指出，</w:t>
      </w:r>
      <w:r w:rsidR="00E524DA" w:rsidRPr="00C77E77">
        <w:rPr>
          <w:rFonts w:ascii="Times New Roman" w:eastAsia="標楷體" w:hAnsi="Times New Roman" w:cs="Times New Roman"/>
          <w:color w:val="000000" w:themeColor="text1"/>
          <w:sz w:val="28"/>
          <w:szCs w:val="28"/>
        </w:rPr>
        <w:t>臺</w:t>
      </w:r>
      <w:r w:rsidR="00AA60D5" w:rsidRPr="00C77E77">
        <w:rPr>
          <w:rFonts w:ascii="Times New Roman" w:eastAsia="標楷體" w:hAnsi="Times New Roman" w:cs="Times New Roman"/>
          <w:color w:val="000000" w:themeColor="text1"/>
          <w:sz w:val="28"/>
          <w:szCs w:val="28"/>
        </w:rPr>
        <w:t>灣與印度發展</w:t>
      </w:r>
      <w:r w:rsidR="00AB0ECA" w:rsidRPr="00C77E77">
        <w:rPr>
          <w:rFonts w:ascii="Times New Roman" w:eastAsia="標楷體" w:hAnsi="Times New Roman" w:cs="Times New Roman"/>
          <w:color w:val="000000" w:themeColor="text1"/>
          <w:sz w:val="28"/>
          <w:szCs w:val="28"/>
        </w:rPr>
        <w:t>智慧監控、智慧路燈、無線網路、國防安全、環保衛</w:t>
      </w:r>
      <w:r w:rsidR="00AA60D5" w:rsidRPr="00C77E77">
        <w:rPr>
          <w:rFonts w:ascii="Times New Roman" w:eastAsia="標楷體" w:hAnsi="Times New Roman" w:cs="Times New Roman"/>
          <w:color w:val="000000" w:themeColor="text1"/>
          <w:sz w:val="28"/>
          <w:szCs w:val="28"/>
        </w:rPr>
        <w:t>等</w:t>
      </w:r>
      <w:r w:rsidR="00AB0ECA" w:rsidRPr="00C77E77">
        <w:rPr>
          <w:rFonts w:ascii="Times New Roman" w:eastAsia="標楷體" w:hAnsi="Times New Roman" w:cs="Times New Roman"/>
          <w:color w:val="000000" w:themeColor="text1"/>
          <w:sz w:val="28"/>
          <w:szCs w:val="28"/>
        </w:rPr>
        <w:t>五大產業</w:t>
      </w:r>
      <w:r w:rsidR="00AA60D5" w:rsidRPr="00C77E77">
        <w:rPr>
          <w:rFonts w:ascii="Times New Roman" w:eastAsia="標楷體" w:hAnsi="Times New Roman" w:cs="Times New Roman"/>
          <w:color w:val="000000" w:themeColor="text1"/>
          <w:sz w:val="28"/>
          <w:szCs w:val="28"/>
        </w:rPr>
        <w:t>，</w:t>
      </w:r>
      <w:r w:rsidR="00AB0ECA" w:rsidRPr="00C77E77">
        <w:rPr>
          <w:rFonts w:ascii="Times New Roman" w:eastAsia="標楷體" w:hAnsi="Times New Roman" w:cs="Times New Roman"/>
          <w:color w:val="000000" w:themeColor="text1"/>
          <w:sz w:val="28"/>
          <w:szCs w:val="28"/>
        </w:rPr>
        <w:t>由於不需要跟中國大陸的基礎建設競爭，是</w:t>
      </w:r>
      <w:r w:rsidR="00FD0D5A" w:rsidRPr="00C77E77">
        <w:rPr>
          <w:rFonts w:ascii="Times New Roman" w:eastAsia="標楷體" w:hAnsi="Times New Roman" w:cs="Times New Roman"/>
          <w:color w:val="000000" w:themeColor="text1"/>
          <w:sz w:val="28"/>
          <w:szCs w:val="28"/>
        </w:rPr>
        <w:t>臺</w:t>
      </w:r>
      <w:r w:rsidR="00AB0ECA" w:rsidRPr="00C77E77">
        <w:rPr>
          <w:rFonts w:ascii="Times New Roman" w:eastAsia="標楷體" w:hAnsi="Times New Roman" w:cs="Times New Roman"/>
          <w:color w:val="000000" w:themeColor="text1"/>
          <w:sz w:val="28"/>
          <w:szCs w:val="28"/>
        </w:rPr>
        <w:t>灣前往印度發展電子化政府非常有機會的產業。</w:t>
      </w:r>
      <w:r w:rsidR="00AA60D5" w:rsidRPr="00C77E77">
        <w:rPr>
          <w:rFonts w:ascii="Times New Roman" w:eastAsia="標楷體" w:hAnsi="Times New Roman" w:cs="Times New Roman"/>
          <w:color w:val="000000" w:themeColor="text1"/>
          <w:sz w:val="28"/>
          <w:szCs w:val="28"/>
        </w:rPr>
        <w:t>但需解決</w:t>
      </w:r>
      <w:r w:rsidR="008C405B" w:rsidRPr="00C77E77">
        <w:rPr>
          <w:rFonts w:ascii="Times New Roman" w:eastAsia="標楷體" w:hAnsi="Times New Roman" w:cs="Times New Roman"/>
          <w:color w:val="000000" w:themeColor="text1"/>
          <w:sz w:val="28"/>
          <w:szCs w:val="28"/>
        </w:rPr>
        <w:t>廠商欠缺與當地連結的互信平</w:t>
      </w:r>
      <w:r w:rsidR="00FD0D5A" w:rsidRPr="00C77E77">
        <w:rPr>
          <w:rFonts w:ascii="Times New Roman" w:eastAsia="標楷體" w:hAnsi="Times New Roman" w:cs="Times New Roman"/>
          <w:color w:val="000000" w:themeColor="text1"/>
          <w:sz w:val="28"/>
          <w:szCs w:val="28"/>
        </w:rPr>
        <w:t>臺</w:t>
      </w:r>
      <w:r w:rsidR="00AA60D5" w:rsidRPr="00C77E77">
        <w:rPr>
          <w:rFonts w:ascii="Times New Roman" w:eastAsia="標楷體" w:hAnsi="Times New Roman" w:cs="Times New Roman"/>
          <w:color w:val="000000" w:themeColor="text1"/>
          <w:sz w:val="28"/>
          <w:szCs w:val="28"/>
        </w:rPr>
        <w:t>的問題</w:t>
      </w:r>
      <w:r w:rsidR="008C405B" w:rsidRPr="00C77E77">
        <w:rPr>
          <w:rFonts w:ascii="Times New Roman" w:eastAsia="標楷體" w:hAnsi="Times New Roman" w:cs="Times New Roman"/>
          <w:color w:val="000000" w:themeColor="text1"/>
          <w:sz w:val="28"/>
          <w:szCs w:val="28"/>
        </w:rPr>
        <w:t>，</w:t>
      </w:r>
      <w:r w:rsidR="00AA60D5" w:rsidRPr="00C77E77">
        <w:rPr>
          <w:rFonts w:ascii="Times New Roman" w:eastAsia="標楷體" w:hAnsi="Times New Roman" w:cs="Times New Roman"/>
          <w:color w:val="000000" w:themeColor="text1"/>
          <w:sz w:val="28"/>
          <w:szCs w:val="28"/>
        </w:rPr>
        <w:t>避免</w:t>
      </w:r>
      <w:r w:rsidR="008C405B" w:rsidRPr="00C77E77">
        <w:rPr>
          <w:rFonts w:ascii="Times New Roman" w:eastAsia="標楷體" w:hAnsi="Times New Roman" w:cs="Times New Roman"/>
          <w:color w:val="000000" w:themeColor="text1"/>
          <w:sz w:val="28"/>
          <w:szCs w:val="28"/>
        </w:rPr>
        <w:t>雖然看得到商機，但因為沒有窗口，</w:t>
      </w:r>
      <w:r w:rsidR="00AA60D5" w:rsidRPr="00C77E77">
        <w:rPr>
          <w:rFonts w:ascii="Times New Roman" w:eastAsia="標楷體" w:hAnsi="Times New Roman" w:cs="Times New Roman"/>
          <w:color w:val="000000" w:themeColor="text1"/>
          <w:sz w:val="28"/>
          <w:szCs w:val="28"/>
        </w:rPr>
        <w:t>而</w:t>
      </w:r>
      <w:r w:rsidR="008C405B" w:rsidRPr="00C77E77">
        <w:rPr>
          <w:rFonts w:ascii="Times New Roman" w:eastAsia="標楷體" w:hAnsi="Times New Roman" w:cs="Times New Roman"/>
          <w:color w:val="000000" w:themeColor="text1"/>
          <w:sz w:val="28"/>
          <w:szCs w:val="28"/>
        </w:rPr>
        <w:t>無法有更進一步的進展。再者，</w:t>
      </w:r>
      <w:r w:rsidR="00AA60D5" w:rsidRPr="00C77E77">
        <w:rPr>
          <w:rFonts w:ascii="Times New Roman" w:eastAsia="標楷體" w:hAnsi="Times New Roman" w:cs="Times New Roman"/>
          <w:color w:val="000000" w:themeColor="text1"/>
          <w:sz w:val="28"/>
          <w:szCs w:val="28"/>
        </w:rPr>
        <w:t>亦需協助克服</w:t>
      </w:r>
      <w:r w:rsidR="008C405B" w:rsidRPr="00C77E77">
        <w:rPr>
          <w:rFonts w:ascii="Times New Roman" w:eastAsia="標楷體" w:hAnsi="Times New Roman" w:cs="Times New Roman"/>
          <w:color w:val="000000" w:themeColor="text1"/>
          <w:sz w:val="28"/>
          <w:szCs w:val="28"/>
        </w:rPr>
        <w:t>廠商對當地的</w:t>
      </w:r>
      <w:r w:rsidR="00096E8C" w:rsidRPr="00C77E77">
        <w:rPr>
          <w:rFonts w:ascii="Times New Roman" w:eastAsia="標楷體" w:hAnsi="Times New Roman" w:cs="Times New Roman"/>
          <w:color w:val="000000" w:themeColor="text1"/>
          <w:sz w:val="28"/>
          <w:szCs w:val="28"/>
        </w:rPr>
        <w:t>語言、</w:t>
      </w:r>
      <w:r w:rsidR="008C405B" w:rsidRPr="00C77E77">
        <w:rPr>
          <w:rFonts w:ascii="Times New Roman" w:eastAsia="標楷體" w:hAnsi="Times New Roman" w:cs="Times New Roman"/>
          <w:color w:val="000000" w:themeColor="text1"/>
          <w:sz w:val="28"/>
          <w:szCs w:val="28"/>
        </w:rPr>
        <w:t>法律不瞭解，缺少當地的合作夥伴、技術支援</w:t>
      </w:r>
      <w:r w:rsidR="00AA60D5" w:rsidRPr="00C77E77">
        <w:rPr>
          <w:rFonts w:ascii="Times New Roman" w:eastAsia="標楷體" w:hAnsi="Times New Roman" w:cs="Times New Roman"/>
          <w:color w:val="000000" w:themeColor="text1"/>
          <w:sz w:val="28"/>
          <w:szCs w:val="28"/>
        </w:rPr>
        <w:t>等</w:t>
      </w:r>
      <w:r w:rsidR="00AB60DE" w:rsidRPr="00C77E77">
        <w:rPr>
          <w:rFonts w:ascii="Times New Roman" w:eastAsia="標楷體" w:hAnsi="Times New Roman" w:cs="Times New Roman"/>
          <w:color w:val="000000" w:themeColor="text1"/>
          <w:sz w:val="28"/>
          <w:szCs w:val="28"/>
        </w:rPr>
        <w:t>阻礙電子化政府產業發展</w:t>
      </w:r>
      <w:r w:rsidR="00AA60D5" w:rsidRPr="00C77E77">
        <w:rPr>
          <w:rFonts w:ascii="Times New Roman" w:eastAsia="標楷體" w:hAnsi="Times New Roman" w:cs="Times New Roman"/>
          <w:color w:val="000000" w:themeColor="text1"/>
          <w:sz w:val="28"/>
          <w:szCs w:val="28"/>
        </w:rPr>
        <w:t>的困難點</w:t>
      </w:r>
      <w:r w:rsidR="00AB60DE" w:rsidRPr="00C77E77">
        <w:rPr>
          <w:rFonts w:ascii="Times New Roman" w:eastAsia="標楷體" w:hAnsi="Times New Roman" w:cs="Times New Roman"/>
          <w:color w:val="000000" w:themeColor="text1"/>
          <w:sz w:val="28"/>
          <w:szCs w:val="28"/>
        </w:rPr>
        <w:t>。</w:t>
      </w:r>
    </w:p>
    <w:p w:rsidR="00BE07E4" w:rsidRPr="00C77E77" w:rsidRDefault="00C578CD" w:rsidP="00FF258F">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長期</w:t>
      </w:r>
      <w:r w:rsidRPr="00C77E77">
        <w:rPr>
          <w:rFonts w:ascii="Times New Roman" w:eastAsia="標楷體" w:hAnsi="Times New Roman" w:cs="Times New Roman"/>
          <w:color w:val="000000" w:themeColor="text1"/>
          <w:sz w:val="28"/>
          <w:szCs w:val="28"/>
        </w:rPr>
        <w:t>策略方面，</w:t>
      </w:r>
      <w:r w:rsidR="00AB60DE" w:rsidRPr="00C77E77">
        <w:rPr>
          <w:rFonts w:ascii="Times New Roman" w:eastAsia="標楷體" w:hAnsi="Times New Roman" w:cs="Times New Roman"/>
          <w:color w:val="000000" w:themeColor="text1"/>
          <w:sz w:val="28"/>
          <w:szCs w:val="28"/>
        </w:rPr>
        <w:t>寮國、柬埔寨、緬甸，由於電子化政府</w:t>
      </w:r>
      <w:r w:rsidR="00606A8E" w:rsidRPr="00C77E77">
        <w:rPr>
          <w:rFonts w:ascii="Times New Roman" w:eastAsia="標楷體" w:hAnsi="Times New Roman" w:cs="Times New Roman"/>
          <w:color w:val="000000" w:themeColor="text1"/>
          <w:sz w:val="28"/>
          <w:szCs w:val="28"/>
        </w:rPr>
        <w:t>發展</w:t>
      </w:r>
      <w:r w:rsidR="00AB60DE" w:rsidRPr="00C77E77">
        <w:rPr>
          <w:rFonts w:ascii="Times New Roman" w:eastAsia="標楷體" w:hAnsi="Times New Roman" w:cs="Times New Roman"/>
          <w:color w:val="000000" w:themeColor="text1"/>
          <w:sz w:val="28"/>
          <w:szCs w:val="28"/>
        </w:rPr>
        <w:t>程度低，進入市場障礙高，</w:t>
      </w:r>
      <w:r w:rsidR="00E524DA" w:rsidRPr="00C77E77">
        <w:rPr>
          <w:rFonts w:ascii="Times New Roman" w:eastAsia="標楷體" w:hAnsi="Times New Roman" w:cs="Times New Roman"/>
          <w:color w:val="000000" w:themeColor="text1"/>
          <w:sz w:val="28"/>
          <w:szCs w:val="28"/>
        </w:rPr>
        <w:t>臺</w:t>
      </w:r>
      <w:r w:rsidR="00FF258F" w:rsidRPr="00C77E77">
        <w:rPr>
          <w:rFonts w:ascii="Times New Roman" w:eastAsia="標楷體" w:hAnsi="Times New Roman" w:cs="Times New Roman"/>
          <w:color w:val="000000" w:themeColor="text1"/>
          <w:sz w:val="28"/>
          <w:szCs w:val="28"/>
        </w:rPr>
        <w:t>灣</w:t>
      </w:r>
      <w:r w:rsidR="00545EB7" w:rsidRPr="00C77E77">
        <w:rPr>
          <w:rFonts w:ascii="Times New Roman" w:eastAsia="標楷體" w:hAnsi="Times New Roman" w:cs="Times New Roman"/>
          <w:color w:val="000000" w:themeColor="text1"/>
          <w:sz w:val="28"/>
          <w:szCs w:val="28"/>
        </w:rPr>
        <w:t>政府應</w:t>
      </w:r>
      <w:r w:rsidR="00E03F2E" w:rsidRPr="00C77E77">
        <w:rPr>
          <w:rFonts w:ascii="Times New Roman" w:eastAsia="標楷體" w:hAnsi="Times New Roman" w:cs="Times New Roman"/>
          <w:color w:val="000000" w:themeColor="text1"/>
          <w:sz w:val="28"/>
          <w:szCs w:val="28"/>
        </w:rPr>
        <w:t>定期關注當地發展情形，提前建立當地信息資料庫，待當地發展機會成熟，政府便可迅速協助我國廠商布局。但由於電子化政府業務牽涉到政治層面議題，東協及印度國家政治透明度相對較低，</w:t>
      </w:r>
      <w:r w:rsidR="007E4456" w:rsidRPr="00C77E77">
        <w:rPr>
          <w:rFonts w:ascii="Times New Roman" w:eastAsia="標楷體" w:hAnsi="Times New Roman" w:cs="Times New Roman"/>
          <w:color w:val="000000" w:themeColor="text1"/>
          <w:sz w:val="28"/>
          <w:szCs w:val="28"/>
        </w:rPr>
        <w:t>許多檯面下的行動、利益衝突</w:t>
      </w:r>
      <w:r w:rsidR="00C76E4E" w:rsidRPr="00C77E77">
        <w:rPr>
          <w:rFonts w:ascii="Times New Roman" w:eastAsia="標楷體" w:hAnsi="Times New Roman" w:cs="Times New Roman"/>
          <w:color w:val="000000" w:themeColor="text1"/>
          <w:sz w:val="28"/>
          <w:szCs w:val="28"/>
        </w:rPr>
        <w:t>也阻礙當地電子化政府的發展，若能進行雙方電子化政府的業務合作，不僅提升政府行政效率，更希望能</w:t>
      </w:r>
      <w:r w:rsidR="007E4456" w:rsidRPr="00C77E77">
        <w:rPr>
          <w:rFonts w:ascii="Times New Roman" w:eastAsia="標楷體" w:hAnsi="Times New Roman" w:cs="Times New Roman"/>
          <w:color w:val="000000" w:themeColor="text1"/>
          <w:sz w:val="28"/>
          <w:szCs w:val="28"/>
        </w:rPr>
        <w:t>改善當地的政治資訊透明度，降低不公的檯面下交易。</w:t>
      </w:r>
    </w:p>
    <w:p w:rsidR="00F73B49" w:rsidRPr="00C77E77" w:rsidRDefault="00F73B49" w:rsidP="00FF258F">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p>
    <w:p w:rsidR="00F73B49" w:rsidRPr="00C77E77" w:rsidRDefault="00F73B49" w:rsidP="00FF258F">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p>
    <w:p w:rsidR="00F73B49" w:rsidRPr="00C77E77" w:rsidRDefault="00F73B49" w:rsidP="00FF258F">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p>
    <w:p w:rsidR="004E1F92" w:rsidRPr="00C77E77" w:rsidRDefault="004E1F92" w:rsidP="00FF258F">
      <w:pPr>
        <w:pStyle w:val="af9"/>
        <w:spacing w:beforeLines="50" w:before="180" w:afterLines="50" w:after="180"/>
        <w:ind w:left="720"/>
      </w:pPr>
      <w:bookmarkStart w:id="145" w:name="_Toc470676612"/>
      <w:r w:rsidRPr="00C77E77">
        <w:lastRenderedPageBreak/>
        <w:t>表</w:t>
      </w:r>
      <w:r w:rsidRPr="00C77E77">
        <w:t>5-</w:t>
      </w:r>
      <w:r w:rsidR="009551A7" w:rsidRPr="00C77E77">
        <w:t>2</w:t>
      </w:r>
      <w:r w:rsidRPr="00C77E77">
        <w:t xml:space="preserve">-2 </w:t>
      </w:r>
      <w:r w:rsidRPr="00C77E77">
        <w:t>我國</w:t>
      </w:r>
      <w:r w:rsidR="00486B15" w:rsidRPr="00C77E77">
        <w:t>電子化政府</w:t>
      </w:r>
      <w:r w:rsidRPr="00C77E77">
        <w:t>產業之</w:t>
      </w:r>
      <w:r w:rsidRPr="00C77E77">
        <w:t>SWOT</w:t>
      </w:r>
      <w:r w:rsidRPr="00C77E77">
        <w:t>分析</w:t>
      </w:r>
      <w:bookmarkEnd w:id="14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9"/>
        <w:gridCol w:w="4159"/>
      </w:tblGrid>
      <w:tr w:rsidR="00C43C65" w:rsidRPr="00C77E77" w:rsidTr="00F90C03">
        <w:trPr>
          <w:trHeight w:val="168"/>
          <w:jc w:val="center"/>
        </w:trPr>
        <w:tc>
          <w:tcPr>
            <w:tcW w:w="4159" w:type="dxa"/>
          </w:tcPr>
          <w:p w:rsidR="00C43C65" w:rsidRPr="00C77E77" w:rsidRDefault="00C43C65"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Pr="00C77E77">
              <w:rPr>
                <w:rFonts w:ascii="Times New Roman" w:eastAsia="標楷體" w:hAnsi="Times New Roman" w:cs="Times New Roman"/>
                <w:b/>
                <w:bCs/>
                <w:color w:val="000000"/>
                <w:kern w:val="0"/>
                <w:szCs w:val="24"/>
              </w:rPr>
              <w:t>S</w:t>
            </w:r>
            <w:r w:rsidRPr="00C77E77">
              <w:rPr>
                <w:rFonts w:ascii="Times New Roman" w:eastAsia="標楷體" w:hAnsi="Times New Roman" w:cs="Times New Roman"/>
                <w:b/>
                <w:bCs/>
                <w:color w:val="000000"/>
                <w:kern w:val="0"/>
                <w:szCs w:val="24"/>
              </w:rPr>
              <w:t>）</w:t>
            </w:r>
          </w:p>
        </w:tc>
        <w:tc>
          <w:tcPr>
            <w:tcW w:w="4159" w:type="dxa"/>
          </w:tcPr>
          <w:p w:rsidR="00C43C65" w:rsidRPr="00C77E77" w:rsidRDefault="00C43C65"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Pr="00C77E77">
              <w:rPr>
                <w:rFonts w:ascii="Times New Roman" w:eastAsia="標楷體" w:hAnsi="Times New Roman" w:cs="Times New Roman"/>
                <w:b/>
                <w:bCs/>
                <w:color w:val="000000"/>
                <w:kern w:val="0"/>
                <w:szCs w:val="24"/>
              </w:rPr>
              <w:t>（</w:t>
            </w:r>
            <w:r w:rsidRPr="00C77E77">
              <w:rPr>
                <w:rFonts w:ascii="Times New Roman" w:eastAsia="標楷體" w:hAnsi="Times New Roman" w:cs="Times New Roman"/>
                <w:b/>
                <w:bCs/>
                <w:color w:val="000000"/>
                <w:kern w:val="0"/>
                <w:szCs w:val="24"/>
              </w:rPr>
              <w:t>W</w:t>
            </w:r>
            <w:r w:rsidRPr="00C77E77">
              <w:rPr>
                <w:rFonts w:ascii="Times New Roman" w:eastAsia="標楷體" w:hAnsi="Times New Roman" w:cs="Times New Roman"/>
                <w:b/>
                <w:bCs/>
                <w:color w:val="000000"/>
                <w:kern w:val="0"/>
                <w:szCs w:val="24"/>
              </w:rPr>
              <w:t>）</w:t>
            </w:r>
          </w:p>
        </w:tc>
      </w:tr>
      <w:tr w:rsidR="004E1F92" w:rsidRPr="00C77E77" w:rsidTr="001F0CF0">
        <w:trPr>
          <w:trHeight w:val="416"/>
          <w:jc w:val="center"/>
        </w:trPr>
        <w:tc>
          <w:tcPr>
            <w:tcW w:w="4159" w:type="dxa"/>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4F675C" w:rsidRPr="00C77E77">
              <w:rPr>
                <w:rFonts w:ascii="Times New Roman" w:eastAsia="標楷體" w:hAnsi="Times New Roman" w:cs="Times New Roman"/>
                <w:color w:val="000000"/>
                <w:kern w:val="0"/>
                <w:szCs w:val="24"/>
              </w:rPr>
              <w:t>我國自</w:t>
            </w:r>
            <w:r w:rsidR="004F675C" w:rsidRPr="00C77E77">
              <w:rPr>
                <w:rFonts w:ascii="Times New Roman" w:eastAsia="標楷體" w:hAnsi="Times New Roman" w:cs="Times New Roman"/>
                <w:color w:val="000000"/>
                <w:kern w:val="0"/>
                <w:szCs w:val="24"/>
              </w:rPr>
              <w:t>1998</w:t>
            </w:r>
            <w:r w:rsidR="004F675C" w:rsidRPr="00C77E77">
              <w:rPr>
                <w:rFonts w:ascii="Times New Roman" w:eastAsia="標楷體" w:hAnsi="Times New Roman" w:cs="Times New Roman"/>
                <w:color w:val="000000"/>
                <w:kern w:val="0"/>
                <w:szCs w:val="24"/>
              </w:rPr>
              <w:t>年開始推行電子化政府計畫，現已邁入第五階段，並得到</w:t>
            </w:r>
            <w:r w:rsidR="004F675C" w:rsidRPr="00C77E77">
              <w:rPr>
                <w:rFonts w:ascii="Times New Roman" w:eastAsia="標楷體" w:hAnsi="Times New Roman" w:cs="Times New Roman"/>
                <w:color w:val="000000"/>
                <w:kern w:val="0"/>
                <w:szCs w:val="24"/>
              </w:rPr>
              <w:t>2016</w:t>
            </w:r>
            <w:r w:rsidR="004F675C" w:rsidRPr="00C77E77">
              <w:rPr>
                <w:rFonts w:ascii="Times New Roman" w:eastAsia="標楷體" w:hAnsi="Times New Roman" w:cs="Times New Roman"/>
                <w:color w:val="000000"/>
                <w:kern w:val="0"/>
                <w:szCs w:val="24"/>
              </w:rPr>
              <w:t>年早稻田大學電子化政府評比第十名之佳績。</w:t>
            </w:r>
          </w:p>
          <w:p w:rsidR="004E1F92" w:rsidRPr="00C77E77" w:rsidRDefault="004F675C"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根據評比，我國在線上申請服務、開放政府以及行政管理優化有較佳的表現。</w:t>
            </w:r>
          </w:p>
        </w:tc>
        <w:tc>
          <w:tcPr>
            <w:tcW w:w="4159" w:type="dxa"/>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4F675C" w:rsidRPr="00C77E77">
              <w:rPr>
                <w:rFonts w:ascii="Times New Roman" w:eastAsia="標楷體" w:hAnsi="Times New Roman" w:cs="Times New Roman"/>
                <w:color w:val="000000"/>
                <w:kern w:val="0"/>
                <w:szCs w:val="24"/>
              </w:rPr>
              <w:t>在網路設施普及程度、技術層面以及入口網站的便利性皆有待加強。</w:t>
            </w:r>
          </w:p>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p>
        </w:tc>
      </w:tr>
      <w:tr w:rsidR="008B0B95" w:rsidRPr="00C77E77" w:rsidTr="004E1F92">
        <w:trPr>
          <w:trHeight w:val="168"/>
          <w:jc w:val="center"/>
        </w:trPr>
        <w:tc>
          <w:tcPr>
            <w:tcW w:w="4159"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4159"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4E1F92" w:rsidRPr="00C77E77" w:rsidTr="004E1F92">
        <w:trPr>
          <w:trHeight w:val="984"/>
          <w:jc w:val="center"/>
        </w:trPr>
        <w:tc>
          <w:tcPr>
            <w:tcW w:w="4159" w:type="dxa"/>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B641CA" w:rsidRPr="00C77E77">
              <w:rPr>
                <w:rFonts w:ascii="Times New Roman" w:eastAsia="標楷體" w:hAnsi="Times New Roman" w:cs="Times New Roman"/>
                <w:color w:val="000000"/>
                <w:kern w:val="0"/>
                <w:szCs w:val="24"/>
              </w:rPr>
              <w:t>除新加坡外，我國之電子化政府排名皆優於東南亞及印度，因此可向其推廣我在線上服務、法律規範及行政組織方面優勢，提供制度面、服務流程的輸出。</w:t>
            </w:r>
          </w:p>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p>
        </w:tc>
        <w:tc>
          <w:tcPr>
            <w:tcW w:w="4159" w:type="dxa"/>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B641CA" w:rsidRPr="00C77E77">
              <w:rPr>
                <w:rFonts w:ascii="Times New Roman" w:eastAsia="標楷體" w:hAnsi="Times New Roman" w:cs="Times New Roman"/>
                <w:color w:val="000000"/>
                <w:kern w:val="0"/>
                <w:szCs w:val="24"/>
              </w:rPr>
              <w:t>東南亞各國及印度政府政策、法規、組織運作等皆有所不同，我國成功模式不一定適用於當地，且電子化政府產業更易受國家政策走向影響，對商機的掌握更加不易。</w:t>
            </w:r>
          </w:p>
          <w:p w:rsidR="00B641CA" w:rsidRPr="00C77E77" w:rsidRDefault="00B641CA"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新加坡電子化政府的發展在世界上名列前茅，又身為東協一員，再挾帶著地利之便，其為我國一大潛在對手。</w:t>
            </w:r>
          </w:p>
        </w:tc>
      </w:tr>
    </w:tbl>
    <w:p w:rsidR="004E1F92" w:rsidRPr="00C77E77" w:rsidRDefault="004E1F92" w:rsidP="004E1F92">
      <w:pPr>
        <w:pStyle w:val="ab"/>
        <w:ind w:leftChars="0" w:left="72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r w:rsidR="000C1684" w:rsidRPr="00C77E77">
        <w:rPr>
          <w:rFonts w:ascii="Times New Roman" w:eastAsia="標楷體" w:hAnsi="Times New Roman" w:cs="Times New Roman"/>
          <w:sz w:val="28"/>
          <w:szCs w:val="28"/>
        </w:rPr>
        <w:t>。</w:t>
      </w:r>
    </w:p>
    <w:p w:rsidR="009D7FB5" w:rsidRPr="00C77E77" w:rsidRDefault="009D7FB5" w:rsidP="00764ED7">
      <w:pPr>
        <w:pStyle w:val="ab"/>
        <w:numPr>
          <w:ilvl w:val="0"/>
          <w:numId w:val="31"/>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智慧校園</w:t>
      </w:r>
    </w:p>
    <w:p w:rsidR="00AB58C4" w:rsidRPr="00C77E77" w:rsidRDefault="004A2459" w:rsidP="00AF4AC3">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智慧校園產業透過資訊科技的應用，提供多元的數位學習，帶動教育體系與學習產業的轉型，發展趨勢除基本的學習應用外，校務行政管理、學生保健、校園綠能皆涵蓋在內，所以</w:t>
      </w:r>
      <w:r w:rsidR="009C29CD" w:rsidRPr="00C77E77">
        <w:rPr>
          <w:rFonts w:ascii="Times New Roman" w:eastAsia="標楷體" w:hAnsi="Times New Roman" w:cs="Times New Roman"/>
          <w:sz w:val="28"/>
          <w:szCs w:val="28"/>
        </w:rPr>
        <w:t>要發展智慧校園產業需仰賴完善的基礎網絡設施。</w:t>
      </w:r>
      <w:r w:rsidR="00897F2C" w:rsidRPr="00C77E77">
        <w:rPr>
          <w:rFonts w:ascii="Times New Roman" w:eastAsia="標楷體" w:hAnsi="Times New Roman" w:cs="Times New Roman"/>
          <w:sz w:val="28"/>
          <w:szCs w:val="28"/>
        </w:rPr>
        <w:t>臺灣透過科技帶動教育已推行十幾年，</w:t>
      </w:r>
      <w:r w:rsidR="001B0EE5" w:rsidRPr="00C77E77">
        <w:rPr>
          <w:rFonts w:ascii="Times New Roman" w:eastAsia="標楷體" w:hAnsi="Times New Roman" w:cs="Times New Roman"/>
          <w:sz w:val="28"/>
          <w:szCs w:val="28"/>
        </w:rPr>
        <w:t>我國企業也在東南亞國家多國推行智慧校園方案，但</w:t>
      </w:r>
      <w:r w:rsidR="002F65DA" w:rsidRPr="00C77E77">
        <w:rPr>
          <w:rFonts w:ascii="Times New Roman" w:eastAsia="標楷體" w:hAnsi="Times New Roman" w:cs="Times New Roman"/>
          <w:sz w:val="28"/>
          <w:szCs w:val="28"/>
        </w:rPr>
        <w:t>智慧校園的推廣需仰賴完善的基礎電信設備，因此需在地電信業者的合作，才可提供完善的智慧校園服務，除此之外，如何串連不同服務項目的廠商，</w:t>
      </w:r>
      <w:r w:rsidR="00173854" w:rsidRPr="00C77E77">
        <w:rPr>
          <w:rFonts w:ascii="Times New Roman" w:eastAsia="標楷體" w:hAnsi="Times New Roman" w:cs="Times New Roman"/>
          <w:sz w:val="28"/>
          <w:szCs w:val="28"/>
        </w:rPr>
        <w:t>亦是一重大課題</w:t>
      </w:r>
      <w:r w:rsidR="002F65DA" w:rsidRPr="00C77E77">
        <w:rPr>
          <w:rFonts w:ascii="Times New Roman" w:eastAsia="標楷體" w:hAnsi="Times New Roman" w:cs="Times New Roman"/>
          <w:sz w:val="28"/>
          <w:szCs w:val="28"/>
        </w:rPr>
        <w:t>。</w:t>
      </w:r>
    </w:p>
    <w:p w:rsidR="00F66C5F" w:rsidRPr="00C77E77" w:rsidRDefault="00F66C5F" w:rsidP="00AF4AC3">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神通資科處長指出智慧校園產業的</w:t>
      </w:r>
      <w:r w:rsidRPr="00C77E77">
        <w:rPr>
          <w:rFonts w:ascii="Times New Roman" w:eastAsia="標楷體" w:hAnsi="Times New Roman" w:cs="Times New Roman"/>
          <w:b/>
          <w:color w:val="000000" w:themeColor="text1"/>
          <w:sz w:val="28"/>
          <w:szCs w:val="28"/>
        </w:rPr>
        <w:t>短期</w:t>
      </w:r>
      <w:r w:rsidRPr="00C77E77">
        <w:rPr>
          <w:rFonts w:ascii="Times New Roman" w:eastAsia="標楷體" w:hAnsi="Times New Roman" w:cs="Times New Roman"/>
          <w:color w:val="000000" w:themeColor="text1"/>
          <w:sz w:val="28"/>
          <w:szCs w:val="28"/>
        </w:rPr>
        <w:t>策略</w:t>
      </w:r>
      <w:r w:rsidR="001C6673" w:rsidRPr="00C77E77">
        <w:rPr>
          <w:rFonts w:ascii="Times New Roman" w:eastAsia="標楷體" w:hAnsi="Times New Roman" w:cs="Times New Roman"/>
          <w:color w:val="000000" w:themeColor="text1"/>
          <w:sz w:val="28"/>
          <w:szCs w:val="28"/>
        </w:rPr>
        <w:t>必須針對特定省份導入示範校布局規劃，切忌散彈打鳥，需長時間經營後，將</w:t>
      </w:r>
      <w:r w:rsidRPr="00C77E77">
        <w:rPr>
          <w:rFonts w:ascii="Times New Roman" w:eastAsia="標楷體" w:hAnsi="Times New Roman" w:cs="Times New Roman"/>
          <w:color w:val="000000" w:themeColor="text1"/>
          <w:sz w:val="28"/>
          <w:szCs w:val="28"/>
        </w:rPr>
        <w:t>是未來極具</w:t>
      </w:r>
      <w:r w:rsidRPr="00C77E77">
        <w:rPr>
          <w:rFonts w:ascii="Times New Roman" w:eastAsia="標楷體" w:hAnsi="Times New Roman" w:cs="Times New Roman"/>
          <w:color w:val="000000" w:themeColor="text1"/>
          <w:sz w:val="28"/>
          <w:szCs w:val="28"/>
        </w:rPr>
        <w:lastRenderedPageBreak/>
        <w:t>潛力之產業</w:t>
      </w:r>
      <w:r w:rsidR="001C6673"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以越南為例，雖民眾多有上網、使用電腦之經驗，但實際將科技結合至教學上的觀念尚未建立，且因基礎電信設備多屬起步階段，因此在推廣高階雲端科技有技術上瓶頸，對此廠商可和當地電信業者、大型系統整合商，一同開發推廣，並協助當地政府推動智慧校園相關培育中心，提升相關硬體設備和使用者技能。</w:t>
      </w:r>
      <w:r w:rsidR="001C6673" w:rsidRPr="00C77E77">
        <w:rPr>
          <w:rFonts w:ascii="Times New Roman" w:eastAsia="標楷體" w:hAnsi="Times New Roman" w:cs="Times New Roman"/>
          <w:color w:val="000000" w:themeColor="text1"/>
          <w:sz w:val="28"/>
          <w:szCs w:val="28"/>
        </w:rPr>
        <w:t>新加坡因當地既有智慧校園建設規劃，可將其經驗做為借鏡</w:t>
      </w:r>
    </w:p>
    <w:p w:rsidR="001C6673" w:rsidRPr="00C77E77" w:rsidRDefault="001C6673" w:rsidP="001C6673">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中期</w:t>
      </w:r>
      <w:r w:rsidRPr="00C77E77">
        <w:rPr>
          <w:rFonts w:ascii="Times New Roman" w:eastAsia="標楷體" w:hAnsi="Times New Roman" w:cs="Times New Roman"/>
          <w:color w:val="000000" w:themeColor="text1"/>
          <w:sz w:val="28"/>
          <w:szCs w:val="28"/>
        </w:rPr>
        <w:t>策略方面，智慧校園產業同樣屬於服務貿易之輸出，對國內勞動市場影響不大，而是有助產業拓展海外市場。由於教育產業在語言的理解上非常重要，故可運用我新住民優勢及現有的教師資源，教師可與我國新住民一起進行東南亞教材編纂，將我國優異教材翻譯成當地語言，提供豐富的教育資源給東南亞國家學子。同時，智慧校園對於我國師資過剩問題，可能是一大解決途徑，我國可前往馬來西亞、泰國、印尼、菲律賓、越南、印度等臺商眾多的國家，並針對當地臺商學校師資參差不齊的現象，透過政府的專案方式，引導國內教師前往海外從事教育工作。在印度</w:t>
      </w:r>
      <w:r w:rsidR="006165C6" w:rsidRPr="00C77E77">
        <w:rPr>
          <w:rFonts w:ascii="Times New Roman" w:eastAsia="標楷體" w:hAnsi="Times New Roman" w:cs="Times New Roman"/>
          <w:color w:val="000000" w:themeColor="text1"/>
          <w:sz w:val="28"/>
          <w:szCs w:val="28"/>
        </w:rPr>
        <w:t>可安排華語老師前往，拓展印度華語學習市場，並</w:t>
      </w:r>
      <w:r w:rsidRPr="00C77E77">
        <w:rPr>
          <w:rFonts w:ascii="Times New Roman" w:eastAsia="標楷體" w:hAnsi="Times New Roman" w:cs="Times New Roman"/>
          <w:color w:val="000000" w:themeColor="text1"/>
          <w:sz w:val="28"/>
          <w:szCs w:val="28"/>
        </w:rPr>
        <w:t>針對高端家庭子女就讀的私立學校為合作對象，推廣智慧校園產業。</w:t>
      </w:r>
    </w:p>
    <w:p w:rsidR="00F1339A" w:rsidRPr="00C77E77" w:rsidRDefault="006165C6" w:rsidP="006165C6">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長</w:t>
      </w:r>
      <w:r w:rsidR="001C6673" w:rsidRPr="00C77E77">
        <w:rPr>
          <w:rFonts w:ascii="Times New Roman" w:eastAsia="標楷體" w:hAnsi="Times New Roman" w:cs="Times New Roman"/>
          <w:b/>
          <w:color w:val="000000" w:themeColor="text1"/>
          <w:sz w:val="28"/>
          <w:szCs w:val="28"/>
        </w:rPr>
        <w:t>期</w:t>
      </w:r>
      <w:r w:rsidR="001C6673" w:rsidRPr="00C77E77">
        <w:rPr>
          <w:rFonts w:ascii="Times New Roman" w:eastAsia="標楷體" w:hAnsi="Times New Roman" w:cs="Times New Roman"/>
          <w:color w:val="000000" w:themeColor="text1"/>
          <w:sz w:val="28"/>
          <w:szCs w:val="28"/>
        </w:rPr>
        <w:t>策略方面，寮國、柬埔寨及緬甸雖</w:t>
      </w:r>
      <w:r w:rsidR="00781721" w:rsidRPr="00C77E77">
        <w:rPr>
          <w:rFonts w:ascii="Times New Roman" w:eastAsia="標楷體" w:hAnsi="Times New Roman" w:cs="Times New Roman"/>
          <w:color w:val="000000" w:themeColor="text1"/>
          <w:sz w:val="28"/>
          <w:szCs w:val="28"/>
        </w:rPr>
        <w:t>有表達與我合作意願，但</w:t>
      </w:r>
      <w:r w:rsidR="0044382F" w:rsidRPr="00C77E77">
        <w:rPr>
          <w:rFonts w:ascii="Times New Roman" w:eastAsia="標楷體" w:hAnsi="Times New Roman" w:cs="Times New Roman"/>
          <w:color w:val="000000" w:themeColor="text1"/>
          <w:sz w:val="28"/>
          <w:szCs w:val="28"/>
        </w:rPr>
        <w:t>因</w:t>
      </w:r>
      <w:r w:rsidR="001C6673" w:rsidRPr="00C77E77">
        <w:rPr>
          <w:rFonts w:ascii="Times New Roman" w:eastAsia="標楷體" w:hAnsi="Times New Roman" w:cs="Times New Roman"/>
          <w:color w:val="000000" w:themeColor="text1"/>
          <w:sz w:val="28"/>
          <w:szCs w:val="28"/>
        </w:rPr>
        <w:t>基礎建設不完善，開發成本高</w:t>
      </w:r>
      <w:r w:rsidR="00781721" w:rsidRPr="00C77E77">
        <w:rPr>
          <w:rFonts w:ascii="Times New Roman" w:eastAsia="標楷體" w:hAnsi="Times New Roman" w:cs="Times New Roman"/>
          <w:color w:val="000000" w:themeColor="text1"/>
          <w:sz w:val="28"/>
          <w:szCs w:val="28"/>
        </w:rPr>
        <w:t>。</w:t>
      </w:r>
      <w:r w:rsidR="001C6673" w:rsidRPr="00C77E77">
        <w:rPr>
          <w:rFonts w:ascii="Times New Roman" w:eastAsia="標楷體" w:hAnsi="Times New Roman" w:cs="Times New Roman"/>
          <w:color w:val="000000" w:themeColor="text1"/>
          <w:sz w:val="28"/>
          <w:szCs w:val="28"/>
        </w:rPr>
        <w:t>我國仍可率先培養瞭解當地語言、風土民情之師資，將國內教材翻譯成當地語言，先行輸出教育資源服務，並持續透過參展推廣我國智慧教育品牌，待當地基礎建設完備後，再輸出更高階的智慧校園相關技術服務。</w:t>
      </w:r>
    </w:p>
    <w:p w:rsidR="00F73B49" w:rsidRPr="00C77E77" w:rsidRDefault="00F73B49" w:rsidP="006165C6">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p>
    <w:p w:rsidR="00F73B49" w:rsidRPr="00C77E77" w:rsidRDefault="00F73B49" w:rsidP="006165C6">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p>
    <w:p w:rsidR="00F73B49" w:rsidRPr="00C77E77" w:rsidRDefault="00F73B49" w:rsidP="006165C6">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p>
    <w:p w:rsidR="00F73B49" w:rsidRPr="00C77E77" w:rsidRDefault="00F73B49" w:rsidP="006165C6">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p>
    <w:p w:rsidR="004E1F92" w:rsidRPr="00C77E77" w:rsidRDefault="004E1F92" w:rsidP="006165C6">
      <w:pPr>
        <w:pStyle w:val="af9"/>
        <w:spacing w:beforeLines="50" w:before="180" w:afterLines="50" w:after="180"/>
        <w:ind w:left="720"/>
      </w:pPr>
      <w:bookmarkStart w:id="146" w:name="_Toc470676613"/>
      <w:r w:rsidRPr="00C77E77">
        <w:t>表</w:t>
      </w:r>
      <w:r w:rsidRPr="00C77E77">
        <w:t>5-</w:t>
      </w:r>
      <w:r w:rsidR="009551A7" w:rsidRPr="00C77E77">
        <w:t>2</w:t>
      </w:r>
      <w:r w:rsidRPr="00C77E77">
        <w:t xml:space="preserve">-3 </w:t>
      </w:r>
      <w:r w:rsidRPr="00C77E77">
        <w:t>我國</w:t>
      </w:r>
      <w:r w:rsidR="00486B15" w:rsidRPr="00C77E77">
        <w:t>智慧校園</w:t>
      </w:r>
      <w:r w:rsidRPr="00C77E77">
        <w:t>產業之</w:t>
      </w:r>
      <w:r w:rsidRPr="00C77E77">
        <w:t>SWOT</w:t>
      </w:r>
      <w:r w:rsidRPr="00C77E77">
        <w:t>分析</w:t>
      </w:r>
      <w:bookmarkEnd w:id="14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9"/>
        <w:gridCol w:w="4159"/>
      </w:tblGrid>
      <w:tr w:rsidR="00C43C65" w:rsidRPr="00C77E77" w:rsidTr="00F90C03">
        <w:trPr>
          <w:trHeight w:val="168"/>
          <w:jc w:val="center"/>
        </w:trPr>
        <w:tc>
          <w:tcPr>
            <w:tcW w:w="4159" w:type="dxa"/>
          </w:tcPr>
          <w:p w:rsidR="00C43C65" w:rsidRPr="00C77E77" w:rsidRDefault="00C43C65"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Pr="00C77E77">
              <w:rPr>
                <w:rFonts w:ascii="Times New Roman" w:eastAsia="標楷體" w:hAnsi="Times New Roman" w:cs="Times New Roman"/>
                <w:b/>
                <w:bCs/>
                <w:color w:val="000000"/>
                <w:kern w:val="0"/>
                <w:szCs w:val="24"/>
              </w:rPr>
              <w:t>S</w:t>
            </w:r>
            <w:r w:rsidRPr="00C77E77">
              <w:rPr>
                <w:rFonts w:ascii="Times New Roman" w:eastAsia="標楷體" w:hAnsi="Times New Roman" w:cs="Times New Roman"/>
                <w:b/>
                <w:bCs/>
                <w:color w:val="000000"/>
                <w:kern w:val="0"/>
                <w:szCs w:val="24"/>
              </w:rPr>
              <w:t>）</w:t>
            </w:r>
          </w:p>
        </w:tc>
        <w:tc>
          <w:tcPr>
            <w:tcW w:w="4159" w:type="dxa"/>
          </w:tcPr>
          <w:p w:rsidR="00C43C65" w:rsidRPr="00C77E77" w:rsidRDefault="00C43C65"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Pr="00C77E77">
              <w:rPr>
                <w:rFonts w:ascii="Times New Roman" w:eastAsia="標楷體" w:hAnsi="Times New Roman" w:cs="Times New Roman"/>
                <w:b/>
                <w:bCs/>
                <w:color w:val="000000"/>
                <w:kern w:val="0"/>
                <w:szCs w:val="24"/>
              </w:rPr>
              <w:t>（</w:t>
            </w:r>
            <w:r w:rsidRPr="00C77E77">
              <w:rPr>
                <w:rFonts w:ascii="Times New Roman" w:eastAsia="標楷體" w:hAnsi="Times New Roman" w:cs="Times New Roman"/>
                <w:b/>
                <w:bCs/>
                <w:color w:val="000000"/>
                <w:kern w:val="0"/>
                <w:szCs w:val="24"/>
              </w:rPr>
              <w:t>W</w:t>
            </w:r>
            <w:r w:rsidRPr="00C77E77">
              <w:rPr>
                <w:rFonts w:ascii="Times New Roman" w:eastAsia="標楷體" w:hAnsi="Times New Roman" w:cs="Times New Roman"/>
                <w:b/>
                <w:bCs/>
                <w:color w:val="000000"/>
                <w:kern w:val="0"/>
                <w:szCs w:val="24"/>
              </w:rPr>
              <w:t>）</w:t>
            </w:r>
          </w:p>
        </w:tc>
      </w:tr>
      <w:tr w:rsidR="004E1F92" w:rsidRPr="00C77E77" w:rsidTr="004E1F92">
        <w:trPr>
          <w:trHeight w:val="1136"/>
          <w:jc w:val="center"/>
        </w:trPr>
        <w:tc>
          <w:tcPr>
            <w:tcW w:w="4159" w:type="dxa"/>
          </w:tcPr>
          <w:p w:rsidR="004E1F92" w:rsidRPr="00C77E77" w:rsidRDefault="00486B15"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經濟部工業局自</w:t>
            </w:r>
            <w:r w:rsidRPr="00C77E77">
              <w:rPr>
                <w:rFonts w:ascii="Times New Roman" w:eastAsia="標楷體" w:hAnsi="Times New Roman" w:cs="Times New Roman"/>
                <w:color w:val="000000"/>
                <w:kern w:val="0"/>
                <w:szCs w:val="24"/>
              </w:rPr>
              <w:t>2014</w:t>
            </w:r>
            <w:r w:rsidRPr="00C77E77">
              <w:rPr>
                <w:rFonts w:ascii="Times New Roman" w:eastAsia="標楷體" w:hAnsi="Times New Roman" w:cs="Times New Roman"/>
                <w:color w:val="000000"/>
                <w:kern w:val="0"/>
                <w:szCs w:val="24"/>
              </w:rPr>
              <w:t>年起推動「智慧校園產業推動規劃建立示範學校」計畫，提出六大智慧服務。</w:t>
            </w:r>
          </w:p>
          <w:p w:rsidR="004E1F92" w:rsidRPr="00C77E77" w:rsidRDefault="00486B15"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現已於國內九縣市建置</w:t>
            </w:r>
            <w:r w:rsidRPr="00C77E77">
              <w:rPr>
                <w:rFonts w:ascii="Times New Roman" w:eastAsia="標楷體" w:hAnsi="Times New Roman" w:cs="Times New Roman"/>
                <w:color w:val="000000"/>
                <w:kern w:val="0"/>
                <w:szCs w:val="24"/>
              </w:rPr>
              <w:t>41</w:t>
            </w:r>
            <w:r w:rsidRPr="00C77E77">
              <w:rPr>
                <w:rFonts w:ascii="Times New Roman" w:eastAsia="標楷體" w:hAnsi="Times New Roman" w:cs="Times New Roman"/>
                <w:color w:val="000000"/>
                <w:kern w:val="0"/>
                <w:szCs w:val="24"/>
              </w:rPr>
              <w:t>所智慧校園示範學校。</w:t>
            </w:r>
          </w:p>
        </w:tc>
        <w:tc>
          <w:tcPr>
            <w:tcW w:w="4159" w:type="dxa"/>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486B15" w:rsidRPr="00C77E77">
              <w:rPr>
                <w:rFonts w:ascii="Times New Roman" w:eastAsia="標楷體" w:hAnsi="Times New Roman" w:cs="Times New Roman"/>
                <w:color w:val="000000"/>
                <w:kern w:val="0"/>
                <w:szCs w:val="24"/>
              </w:rPr>
              <w:t>如何將各家廠商之不同設備串連是智慧校園一大考驗。</w:t>
            </w:r>
          </w:p>
          <w:p w:rsidR="004E1F92" w:rsidRPr="00C77E77" w:rsidRDefault="00486B15"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校園內資料數據取得較不易，對推動智慧服務有所阻礙。</w:t>
            </w:r>
          </w:p>
        </w:tc>
      </w:tr>
      <w:tr w:rsidR="004E1F92" w:rsidRPr="00C77E77" w:rsidTr="004E1F92">
        <w:trPr>
          <w:trHeight w:val="168"/>
          <w:jc w:val="center"/>
        </w:trPr>
        <w:tc>
          <w:tcPr>
            <w:tcW w:w="4159" w:type="dxa"/>
          </w:tcPr>
          <w:p w:rsidR="004E1F92" w:rsidRPr="00C77E77" w:rsidRDefault="004E1F92" w:rsidP="004E1F92">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機會</w:t>
            </w:r>
            <w:r w:rsidRPr="00C77E77">
              <w:rPr>
                <w:rFonts w:ascii="Times New Roman" w:eastAsia="標楷體" w:hAnsi="Times New Roman" w:cs="Times New Roman"/>
                <w:b/>
                <w:bCs/>
                <w:color w:val="000000"/>
                <w:kern w:val="0"/>
                <w:szCs w:val="24"/>
              </w:rPr>
              <w:t>(O)</w:t>
            </w:r>
          </w:p>
        </w:tc>
        <w:tc>
          <w:tcPr>
            <w:tcW w:w="4159" w:type="dxa"/>
          </w:tcPr>
          <w:p w:rsidR="004E1F92" w:rsidRPr="00C77E77" w:rsidRDefault="004E1F92" w:rsidP="004E1F92">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威脅</w:t>
            </w:r>
            <w:r w:rsidRPr="00C77E77">
              <w:rPr>
                <w:rFonts w:ascii="Times New Roman" w:eastAsia="標楷體" w:hAnsi="Times New Roman" w:cs="Times New Roman"/>
                <w:b/>
                <w:bCs/>
                <w:color w:val="000000"/>
                <w:kern w:val="0"/>
                <w:szCs w:val="24"/>
              </w:rPr>
              <w:t>(T)</w:t>
            </w:r>
          </w:p>
        </w:tc>
      </w:tr>
      <w:tr w:rsidR="004E1F92" w:rsidRPr="00C77E77" w:rsidTr="004E1F92">
        <w:trPr>
          <w:trHeight w:val="984"/>
          <w:jc w:val="center"/>
        </w:trPr>
        <w:tc>
          <w:tcPr>
            <w:tcW w:w="4159" w:type="dxa"/>
          </w:tcPr>
          <w:p w:rsidR="004E1F92" w:rsidRPr="00C77E77" w:rsidRDefault="004E1F92" w:rsidP="006C684A">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755403" w:rsidRPr="00C77E77">
              <w:rPr>
                <w:rFonts w:ascii="Times New Roman" w:eastAsia="標楷體" w:hAnsi="Times New Roman" w:cs="Times New Roman"/>
                <w:color w:val="000000"/>
                <w:kern w:val="0"/>
                <w:szCs w:val="24"/>
              </w:rPr>
              <w:t>現已與越南、泰國和馬來西亞進行智慧校園交流，我可參考此成功模式推廣至東南亞其他國家及印度。</w:t>
            </w:r>
          </w:p>
        </w:tc>
        <w:tc>
          <w:tcPr>
            <w:tcW w:w="4159" w:type="dxa"/>
          </w:tcPr>
          <w:p w:rsidR="004E1F92" w:rsidRPr="00C77E77" w:rsidRDefault="004E1F92" w:rsidP="006C684A">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00755403" w:rsidRPr="00C77E77">
              <w:rPr>
                <w:rFonts w:ascii="Times New Roman" w:eastAsia="標楷體" w:hAnsi="Times New Roman" w:cs="Times New Roman"/>
                <w:color w:val="000000"/>
                <w:kern w:val="0"/>
                <w:szCs w:val="24"/>
              </w:rPr>
              <w:t>推廣智慧校園仍需完備電信基礎設施，此部分需與在地電信業者配合，才有機會切入。</w:t>
            </w:r>
          </w:p>
        </w:tc>
      </w:tr>
    </w:tbl>
    <w:p w:rsidR="004E1F92" w:rsidRPr="00C77E77" w:rsidRDefault="004E1F92" w:rsidP="0098468D">
      <w:pPr>
        <w:pStyle w:val="ab"/>
        <w:ind w:leftChars="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r w:rsidR="000C1684" w:rsidRPr="00C77E77">
        <w:rPr>
          <w:rFonts w:ascii="Times New Roman" w:eastAsia="標楷體" w:hAnsi="Times New Roman" w:cs="Times New Roman"/>
          <w:sz w:val="28"/>
          <w:szCs w:val="28"/>
        </w:rPr>
        <w:t>。</w:t>
      </w:r>
    </w:p>
    <w:p w:rsidR="002E0017" w:rsidRPr="00C77E77" w:rsidRDefault="002E0017">
      <w:pPr>
        <w:widowControl/>
        <w:rPr>
          <w:rFonts w:ascii="Times New Roman" w:eastAsia="標楷體" w:hAnsi="Times New Roman" w:cs="Times New Roman"/>
          <w:b/>
          <w:sz w:val="28"/>
          <w:szCs w:val="28"/>
        </w:rPr>
      </w:pPr>
    </w:p>
    <w:p w:rsidR="009D7FB5" w:rsidRPr="00C77E77" w:rsidRDefault="009D7FB5" w:rsidP="00764ED7">
      <w:pPr>
        <w:pStyle w:val="ab"/>
        <w:numPr>
          <w:ilvl w:val="0"/>
          <w:numId w:val="31"/>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電子商務</w:t>
      </w:r>
    </w:p>
    <w:p w:rsidR="00393ECE" w:rsidRPr="00C77E77" w:rsidRDefault="001B02D4" w:rsidP="001B02D4">
      <w:pPr>
        <w:widowControl/>
        <w:spacing w:beforeLines="50" w:before="180" w:afterLines="50" w:after="180"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商務的發展，與民眾的消費能力、網路普及率、手機使用率等有關。眾多且持續成長的人口為東南亞奠定了內需市場的龐大基礎，加以經濟成長帶動所得提升與消費力增加，東南亞各國內需市場之潛力不容小覷，龐大的內需成長動能代表潛在的消費商機，包含零售業、百貨服務業、觀光旅遊業等。依國際貨幣基金</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月報告，印尼、馬來西亞、菲律賓、泰國及越南之中產階級人數急遽增加，又以越南、印尼和泰國成長最為顯著，而泰國中產階級人數最多且與中國大陸都市的中產階級人數相當。同時，隨著人均</w:t>
      </w:r>
      <w:r w:rsidRPr="00C77E77">
        <w:rPr>
          <w:rFonts w:ascii="Times New Roman" w:eastAsia="標楷體" w:hAnsi="Times New Roman" w:cs="Times New Roman"/>
          <w:sz w:val="28"/>
          <w:szCs w:val="28"/>
        </w:rPr>
        <w:t>GDP</w:t>
      </w:r>
      <w:r w:rsidRPr="00C77E77">
        <w:rPr>
          <w:rFonts w:ascii="Times New Roman" w:eastAsia="標楷體" w:hAnsi="Times New Roman" w:cs="Times New Roman"/>
          <w:sz w:val="28"/>
          <w:szCs w:val="28"/>
        </w:rPr>
        <w:t>提高與中產階級興起，東南亞國家的貧窮人口（每日</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美元）也隨之大幅減少，以越南、泰國與印尼之變化最為明顯。</w:t>
      </w:r>
    </w:p>
    <w:p w:rsidR="00393ECE" w:rsidRPr="00C77E77" w:rsidRDefault="00393ECE" w:rsidP="00393ECE">
      <w:pPr>
        <w:widowControl/>
        <w:spacing w:beforeLines="50" w:before="180" w:afterLines="50" w:after="180"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手機使用率在東南亞國家相當普及。除了寮國及緬甸外，各國平均每人至少擁有一支手機，新加坡、柬埔寨、越南、馬來西亞及泰國平均每人擁有</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支手機，其中柬埔寨手機使用率於</w:t>
      </w:r>
      <w:r w:rsidRPr="00C77E77">
        <w:rPr>
          <w:rFonts w:ascii="Times New Roman" w:eastAsia="標楷體" w:hAnsi="Times New Roman" w:cs="Times New Roman"/>
          <w:sz w:val="28"/>
          <w:szCs w:val="28"/>
        </w:rPr>
        <w:t xml:space="preserve"> 2014</w:t>
      </w:r>
      <w:r w:rsidRPr="00C77E77">
        <w:rPr>
          <w:rFonts w:ascii="Times New Roman" w:eastAsia="標楷體" w:hAnsi="Times New Roman" w:cs="Times New Roman"/>
          <w:sz w:val="28"/>
          <w:szCs w:val="28"/>
        </w:rPr>
        <w:t>年明顯增加。</w:t>
      </w:r>
      <w:r w:rsidRPr="00C77E77">
        <w:rPr>
          <w:rFonts w:ascii="Times New Roman" w:eastAsia="標楷體" w:hAnsi="Times New Roman" w:cs="Times New Roman"/>
          <w:sz w:val="28"/>
          <w:szCs w:val="28"/>
        </w:rPr>
        <w:lastRenderedPageBreak/>
        <w:t>然而，雖然東南亞國家網路使用人數皆持續成長，但各國普及率差異大；</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年每</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人中，新加坡有</w:t>
      </w:r>
      <w:r w:rsidRPr="00C77E77">
        <w:rPr>
          <w:rFonts w:ascii="Times New Roman" w:eastAsia="標楷體" w:hAnsi="Times New Roman" w:cs="Times New Roman"/>
          <w:sz w:val="28"/>
          <w:szCs w:val="28"/>
        </w:rPr>
        <w:t>80</w:t>
      </w:r>
      <w:r w:rsidRPr="00C77E77">
        <w:rPr>
          <w:rFonts w:ascii="Times New Roman" w:eastAsia="標楷體" w:hAnsi="Times New Roman" w:cs="Times New Roman"/>
          <w:sz w:val="28"/>
          <w:szCs w:val="28"/>
        </w:rPr>
        <w:t>人使用網路，馬來西亞近</w:t>
      </w:r>
      <w:r w:rsidRPr="00C77E77">
        <w:rPr>
          <w:rFonts w:ascii="Times New Roman" w:eastAsia="標楷體" w:hAnsi="Times New Roman" w:cs="Times New Roman"/>
          <w:sz w:val="28"/>
          <w:szCs w:val="28"/>
        </w:rPr>
        <w:t>70</w:t>
      </w:r>
      <w:r w:rsidRPr="00C77E77">
        <w:rPr>
          <w:rFonts w:ascii="Times New Roman" w:eastAsia="標楷體" w:hAnsi="Times New Roman" w:cs="Times New Roman"/>
          <w:sz w:val="28"/>
          <w:szCs w:val="28"/>
        </w:rPr>
        <w:t>人，越南約</w:t>
      </w:r>
      <w:r w:rsidRPr="00C77E77">
        <w:rPr>
          <w:rFonts w:ascii="Times New Roman" w:eastAsia="標楷體" w:hAnsi="Times New Roman" w:cs="Times New Roman"/>
          <w:sz w:val="28"/>
          <w:szCs w:val="28"/>
        </w:rPr>
        <w:t xml:space="preserve"> 50</w:t>
      </w:r>
      <w:r w:rsidRPr="00C77E77">
        <w:rPr>
          <w:rFonts w:ascii="Times New Roman" w:eastAsia="標楷體" w:hAnsi="Times New Roman" w:cs="Times New Roman"/>
          <w:sz w:val="28"/>
          <w:szCs w:val="28"/>
        </w:rPr>
        <w:t>人，菲律賓有</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人，泰國約</w:t>
      </w:r>
      <w:r w:rsidRPr="00C77E77">
        <w:rPr>
          <w:rFonts w:ascii="Times New Roman" w:eastAsia="標楷體" w:hAnsi="Times New Roman" w:cs="Times New Roman"/>
          <w:sz w:val="28"/>
          <w:szCs w:val="28"/>
        </w:rPr>
        <w:t>35</w:t>
      </w:r>
      <w:r w:rsidRPr="00C77E77">
        <w:rPr>
          <w:rFonts w:ascii="Times New Roman" w:eastAsia="標楷體" w:hAnsi="Times New Roman" w:cs="Times New Roman"/>
          <w:sz w:val="28"/>
          <w:szCs w:val="28"/>
        </w:rPr>
        <w:t>人，印尼、寮國、汶萊約</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人，柬埔寨及緬甸均少於</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人。世界經濟論壇「全球競爭力報告</w:t>
      </w:r>
      <w:r w:rsidRPr="00C77E77">
        <w:rPr>
          <w:rFonts w:ascii="Times New Roman" w:eastAsia="標楷體" w:hAnsi="Times New Roman" w:cs="Times New Roman"/>
          <w:sz w:val="28"/>
          <w:szCs w:val="28"/>
        </w:rPr>
        <w:t>2015-2016</w:t>
      </w:r>
      <w:r w:rsidRPr="00C77E77">
        <w:rPr>
          <w:rFonts w:ascii="Times New Roman" w:eastAsia="標楷體" w:hAnsi="Times New Roman" w:cs="Times New Roman"/>
          <w:sz w:val="28"/>
          <w:szCs w:val="28"/>
        </w:rPr>
        <w:t>」指出印尼、寮國、緬甸之網路使用率及覆蓋率低。</w:t>
      </w:r>
    </w:p>
    <w:p w:rsidR="00393ECE" w:rsidRPr="00C77E77" w:rsidRDefault="00393ECE" w:rsidP="00393ECE">
      <w:pPr>
        <w:spacing w:line="276" w:lineRule="auto"/>
        <w:ind w:leftChars="295" w:left="710" w:hanging="2"/>
        <w:jc w:val="center"/>
        <w:rPr>
          <w:rFonts w:ascii="Times New Roman" w:eastAsia="標楷體" w:hAnsi="Times New Roman" w:cs="Times New Roman"/>
          <w:color w:val="002060"/>
        </w:rPr>
      </w:pPr>
      <w:r w:rsidRPr="00C77E77">
        <w:rPr>
          <w:rFonts w:ascii="Times New Roman" w:eastAsia="標楷體" w:hAnsi="Times New Roman" w:cs="Times New Roman"/>
          <w:noProof/>
          <w:color w:val="002060"/>
        </w:rPr>
        <w:drawing>
          <wp:inline distT="0" distB="0" distL="0" distR="0" wp14:anchorId="1AC74473" wp14:editId="6999B36F">
            <wp:extent cx="5274310" cy="2314575"/>
            <wp:effectExtent l="0" t="0" r="2540" b="952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314575"/>
                    </a:xfrm>
                    <a:prstGeom prst="rect">
                      <a:avLst/>
                    </a:prstGeom>
                  </pic:spPr>
                </pic:pic>
              </a:graphicData>
            </a:graphic>
          </wp:inline>
        </w:drawing>
      </w:r>
    </w:p>
    <w:p w:rsidR="00393ECE" w:rsidRPr="00C77E77" w:rsidRDefault="00393ECE" w:rsidP="00393ECE">
      <w:pPr>
        <w:pStyle w:val="af7"/>
        <w:ind w:leftChars="295" w:left="708"/>
      </w:pPr>
      <w:bookmarkStart w:id="147" w:name="_Toc464206785"/>
      <w:bookmarkStart w:id="148" w:name="_Toc470676650"/>
      <w:r w:rsidRPr="00C77E77">
        <w:t>圖</w:t>
      </w:r>
      <w:r w:rsidRPr="00C77E77">
        <w:t xml:space="preserve">5-2-1 </w:t>
      </w:r>
      <w:r w:rsidRPr="00C77E77">
        <w:t>東南亞十國網路及手機使用普及率</w:t>
      </w:r>
      <w:bookmarkEnd w:id="147"/>
      <w:bookmarkEnd w:id="148"/>
    </w:p>
    <w:p w:rsidR="00393ECE" w:rsidRPr="00C77E77" w:rsidRDefault="00393ECE" w:rsidP="00393ECE">
      <w:pPr>
        <w:spacing w:line="0" w:lineRule="atLeast"/>
        <w:ind w:leftChars="295" w:left="708"/>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東協秘書處</w:t>
      </w:r>
      <w:r w:rsidRPr="00C77E77">
        <w:rPr>
          <w:rFonts w:ascii="Times New Roman" w:eastAsia="標楷體" w:hAnsi="Times New Roman" w:cs="Times New Roman"/>
          <w:sz w:val="28"/>
          <w:szCs w:val="28"/>
        </w:rPr>
        <w:t>, ASEAN Economic Community Chartbook 2015</w:t>
      </w:r>
    </w:p>
    <w:p w:rsidR="005E0E7A" w:rsidRPr="00C77E77" w:rsidRDefault="005E0E7A" w:rsidP="007C2A4C">
      <w:pPr>
        <w:widowControl/>
        <w:spacing w:beforeLines="50" w:before="180" w:afterLines="50" w:after="180" w:line="500" w:lineRule="exact"/>
        <w:ind w:leftChars="295" w:left="708" w:firstLine="567"/>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整體來說，因為許多新興市場都已跳過用電腦上網的階段，</w:t>
      </w:r>
      <w:r w:rsidR="006C684A" w:rsidRPr="00C77E77">
        <w:rPr>
          <w:rFonts w:ascii="Times New Roman" w:eastAsia="標楷體" w:hAnsi="Times New Roman" w:cs="Times New Roman"/>
          <w:color w:val="000000" w:themeColor="text1"/>
          <w:sz w:val="28"/>
          <w:szCs w:val="28"/>
        </w:rPr>
        <w:t>因此，我國推動電子商務的方向，</w:t>
      </w:r>
      <w:r w:rsidR="006C684A" w:rsidRPr="00C77E77">
        <w:rPr>
          <w:rFonts w:ascii="Times New Roman" w:eastAsia="標楷體" w:hAnsi="Times New Roman" w:cs="Times New Roman"/>
          <w:b/>
          <w:color w:val="000000" w:themeColor="text1"/>
          <w:sz w:val="28"/>
          <w:szCs w:val="28"/>
        </w:rPr>
        <w:t>短期</w:t>
      </w:r>
      <w:r w:rsidR="006C684A" w:rsidRPr="00C77E77">
        <w:rPr>
          <w:rFonts w:ascii="Times New Roman" w:eastAsia="標楷體" w:hAnsi="Times New Roman" w:cs="Times New Roman"/>
          <w:color w:val="000000" w:themeColor="text1"/>
          <w:sz w:val="28"/>
          <w:szCs w:val="28"/>
        </w:rPr>
        <w:t>可</w:t>
      </w:r>
      <w:r w:rsidRPr="00C77E77">
        <w:rPr>
          <w:rFonts w:ascii="Times New Roman" w:eastAsia="標楷體" w:hAnsi="Times New Roman" w:cs="Times New Roman"/>
          <w:color w:val="000000" w:themeColor="text1"/>
          <w:sz w:val="28"/>
          <w:szCs w:val="28"/>
        </w:rPr>
        <w:t>發展有特色的商品，而不是和當地或中國大陸競爭低價產品</w:t>
      </w:r>
      <w:r w:rsidR="006C684A" w:rsidRPr="00C77E77">
        <w:rPr>
          <w:rFonts w:ascii="Times New Roman" w:eastAsia="標楷體" w:hAnsi="Times New Roman" w:cs="Times New Roman"/>
          <w:color w:val="000000" w:themeColor="text1"/>
          <w:sz w:val="28"/>
          <w:szCs w:val="28"/>
        </w:rPr>
        <w:t>，並主攻</w:t>
      </w:r>
      <w:r w:rsidR="001B02D4" w:rsidRPr="00C77E77">
        <w:rPr>
          <w:rFonts w:ascii="Times New Roman" w:eastAsia="標楷體" w:hAnsi="Times New Roman" w:cs="Times New Roman"/>
          <w:color w:val="000000" w:themeColor="text1"/>
          <w:sz w:val="28"/>
          <w:szCs w:val="28"/>
        </w:rPr>
        <w:t>經濟發展程度較高、網路覆蓋率、智慧型手機普及率高的國家。</w:t>
      </w:r>
      <w:r w:rsidR="00FA36E9" w:rsidRPr="00C77E77">
        <w:rPr>
          <w:rFonts w:ascii="Times New Roman" w:eastAsia="標楷體" w:hAnsi="Times New Roman" w:cs="Times New Roman"/>
          <w:color w:val="000000" w:themeColor="text1"/>
          <w:sz w:val="28"/>
          <w:szCs w:val="28"/>
        </w:rPr>
        <w:t>此外，電子商務產業迫切需要能夠運用網路平臺進行跨國銷售的人才，由於東協新興國家的線上消費行為是新中之新，市場本身和網路行為都一直在改變，建議政府提供市場情資、消費行為以及產業趨勢的變化，並多加培育行銷人才</w:t>
      </w:r>
      <w:r w:rsidR="0037154D" w:rsidRPr="00C77E77">
        <w:rPr>
          <w:rFonts w:ascii="Times New Roman" w:eastAsia="標楷體" w:hAnsi="Times New Roman" w:cs="Times New Roman"/>
          <w:color w:val="000000" w:themeColor="text1"/>
          <w:sz w:val="28"/>
          <w:szCs w:val="28"/>
        </w:rPr>
        <w:t>。</w:t>
      </w:r>
      <w:r w:rsidR="00705D5A" w:rsidRPr="00C77E77">
        <w:rPr>
          <w:rFonts w:ascii="Times New Roman" w:eastAsia="標楷體" w:hAnsi="Times New Roman" w:cs="Times New Roman"/>
          <w:color w:val="000000" w:themeColor="text1"/>
          <w:sz w:val="28"/>
          <w:szCs w:val="28"/>
        </w:rPr>
        <w:t>因為跨境電商沒有國界</w:t>
      </w:r>
      <w:r w:rsidR="009D2616" w:rsidRPr="00C77E77">
        <w:rPr>
          <w:rFonts w:ascii="Times New Roman" w:eastAsia="標楷體" w:hAnsi="Times New Roman" w:cs="Times New Roman"/>
          <w:color w:val="000000" w:themeColor="text1"/>
          <w:sz w:val="28"/>
          <w:szCs w:val="28"/>
        </w:rPr>
        <w:t>和</w:t>
      </w:r>
      <w:r w:rsidR="00705D5A" w:rsidRPr="00C77E77">
        <w:rPr>
          <w:rFonts w:ascii="Times New Roman" w:eastAsia="標楷體" w:hAnsi="Times New Roman" w:cs="Times New Roman"/>
          <w:color w:val="000000" w:themeColor="text1"/>
          <w:sz w:val="28"/>
          <w:szCs w:val="28"/>
        </w:rPr>
        <w:t>距離</w:t>
      </w:r>
      <w:r w:rsidR="009D2616" w:rsidRPr="00C77E77">
        <w:rPr>
          <w:rFonts w:ascii="Times New Roman" w:eastAsia="標楷體" w:hAnsi="Times New Roman" w:cs="Times New Roman"/>
          <w:color w:val="000000" w:themeColor="text1"/>
          <w:sz w:val="28"/>
          <w:szCs w:val="28"/>
        </w:rPr>
        <w:t>的</w:t>
      </w:r>
      <w:r w:rsidR="00705D5A" w:rsidRPr="00C77E77">
        <w:rPr>
          <w:rFonts w:ascii="Times New Roman" w:eastAsia="標楷體" w:hAnsi="Times New Roman" w:cs="Times New Roman"/>
          <w:color w:val="000000" w:themeColor="text1"/>
          <w:sz w:val="28"/>
          <w:szCs w:val="28"/>
        </w:rPr>
        <w:t>限制，消費者</w:t>
      </w:r>
      <w:r w:rsidR="00353406" w:rsidRPr="00C77E77">
        <w:rPr>
          <w:rFonts w:ascii="Times New Roman" w:eastAsia="標楷體" w:hAnsi="Times New Roman" w:cs="Times New Roman"/>
          <w:color w:val="000000" w:themeColor="text1"/>
          <w:sz w:val="28"/>
          <w:szCs w:val="28"/>
        </w:rPr>
        <w:t>的自主選擇性高</w:t>
      </w:r>
      <w:r w:rsidR="00705D5A" w:rsidRPr="00C77E77">
        <w:rPr>
          <w:rFonts w:ascii="Times New Roman" w:eastAsia="標楷體" w:hAnsi="Times New Roman" w:cs="Times New Roman"/>
          <w:color w:val="000000" w:themeColor="text1"/>
          <w:sz w:val="28"/>
          <w:szCs w:val="28"/>
        </w:rPr>
        <w:t>，因此電商終將回歸到品牌行銷</w:t>
      </w:r>
      <w:r w:rsidR="00353406" w:rsidRPr="00C77E77">
        <w:rPr>
          <w:rFonts w:ascii="Times New Roman" w:eastAsia="標楷體" w:hAnsi="Times New Roman" w:cs="Times New Roman"/>
          <w:color w:val="000000" w:themeColor="text1"/>
          <w:sz w:val="28"/>
          <w:szCs w:val="28"/>
        </w:rPr>
        <w:t>的</w:t>
      </w:r>
      <w:r w:rsidR="00705D5A" w:rsidRPr="00C77E77">
        <w:rPr>
          <w:rFonts w:ascii="Times New Roman" w:eastAsia="標楷體" w:hAnsi="Times New Roman" w:cs="Times New Roman"/>
          <w:color w:val="000000" w:themeColor="text1"/>
          <w:sz w:val="28"/>
          <w:szCs w:val="28"/>
        </w:rPr>
        <w:t>基礎，且需要</w:t>
      </w:r>
      <w:r w:rsidR="00353406" w:rsidRPr="00C77E77">
        <w:rPr>
          <w:rFonts w:ascii="Times New Roman" w:eastAsia="標楷體" w:hAnsi="Times New Roman" w:cs="Times New Roman"/>
          <w:color w:val="000000" w:themeColor="text1"/>
          <w:sz w:val="28"/>
          <w:szCs w:val="28"/>
        </w:rPr>
        <w:t>配合</w:t>
      </w:r>
      <w:r w:rsidR="007C2A4C" w:rsidRPr="00C77E77">
        <w:rPr>
          <w:rFonts w:ascii="Times New Roman" w:eastAsia="標楷體" w:hAnsi="Times New Roman" w:cs="Times New Roman"/>
          <w:color w:val="000000" w:themeColor="text1"/>
          <w:sz w:val="28"/>
          <w:szCs w:val="28"/>
        </w:rPr>
        <w:t>如直播、社群經營、跨界整合等新型態的網路行銷技術與模式</w:t>
      </w:r>
      <w:r w:rsidR="00705D5A" w:rsidRPr="00C77E77">
        <w:rPr>
          <w:rFonts w:ascii="Times New Roman" w:eastAsia="標楷體" w:hAnsi="Times New Roman" w:cs="Times New Roman"/>
          <w:color w:val="000000" w:themeColor="text1"/>
          <w:sz w:val="28"/>
          <w:szCs w:val="28"/>
        </w:rPr>
        <w:t>。</w:t>
      </w:r>
      <w:r w:rsidR="00705D5A" w:rsidRPr="00C77E77">
        <w:rPr>
          <w:rStyle w:val="a9"/>
          <w:rFonts w:ascii="Times New Roman" w:eastAsia="標楷體" w:hAnsi="Times New Roman" w:cs="Times New Roman"/>
          <w:color w:val="000000" w:themeColor="text1"/>
          <w:sz w:val="28"/>
          <w:szCs w:val="28"/>
        </w:rPr>
        <w:footnoteReference w:id="146"/>
      </w:r>
      <w:r w:rsidR="00705D5A" w:rsidRPr="00C77E77">
        <w:rPr>
          <w:rFonts w:ascii="Times New Roman" w:eastAsia="標楷體" w:hAnsi="Times New Roman" w:cs="Times New Roman"/>
          <w:color w:val="000000" w:themeColor="text1"/>
          <w:sz w:val="28"/>
          <w:szCs w:val="28"/>
        </w:rPr>
        <w:t>政府可舉辦電子商務說明暨媒合廠</w:t>
      </w:r>
      <w:r w:rsidR="00705D5A" w:rsidRPr="00C77E77">
        <w:rPr>
          <w:rFonts w:ascii="Times New Roman" w:eastAsia="標楷體" w:hAnsi="Times New Roman" w:cs="Times New Roman"/>
          <w:color w:val="000000" w:themeColor="text1"/>
          <w:sz w:val="28"/>
          <w:szCs w:val="28"/>
        </w:rPr>
        <w:lastRenderedPageBreak/>
        <w:t>商，了解企業與電商平臺合作之模式，輔助我商順利南向。</w:t>
      </w:r>
      <w:r w:rsidR="0011260F" w:rsidRPr="00C77E77">
        <w:rPr>
          <w:rFonts w:ascii="Times New Roman" w:eastAsia="標楷體" w:hAnsi="Times New Roman" w:cs="Times New Roman"/>
          <w:color w:val="000000" w:themeColor="text1"/>
          <w:sz w:val="28"/>
          <w:szCs w:val="28"/>
        </w:rPr>
        <w:t>但須注意新加坡、馬來西亞、泰國、汶萊擁有相對成熟的零售實體與便利的公共交通，電子商務的成長後勢較緩。</w:t>
      </w:r>
    </w:p>
    <w:p w:rsidR="001B02D4" w:rsidRPr="00C77E77" w:rsidRDefault="00877E00" w:rsidP="001B02D4">
      <w:pPr>
        <w:pStyle w:val="afe"/>
        <w:spacing w:beforeLines="50" w:before="180" w:afterLines="50" w:after="180" w:line="500" w:lineRule="exact"/>
        <w:ind w:leftChars="295" w:left="708" w:firstLine="561"/>
        <w:rPr>
          <w:color w:val="auto"/>
          <w:sz w:val="28"/>
          <w:szCs w:val="28"/>
        </w:rPr>
      </w:pPr>
      <w:r w:rsidRPr="00C77E77">
        <w:rPr>
          <w:b/>
          <w:sz w:val="28"/>
          <w:szCs w:val="28"/>
        </w:rPr>
        <w:t>中期</w:t>
      </w:r>
      <w:r w:rsidRPr="00C77E77">
        <w:rPr>
          <w:sz w:val="28"/>
          <w:szCs w:val="28"/>
        </w:rPr>
        <w:t>策略上，</w:t>
      </w:r>
      <w:r w:rsidR="00E524DA" w:rsidRPr="00C77E77">
        <w:rPr>
          <w:sz w:val="28"/>
          <w:szCs w:val="28"/>
        </w:rPr>
        <w:t>臺</w:t>
      </w:r>
      <w:r w:rsidR="00950374" w:rsidRPr="00C77E77">
        <w:rPr>
          <w:sz w:val="28"/>
          <w:szCs w:val="28"/>
        </w:rPr>
        <w:t>灣應該界定清楚電子商務的上、中、下游產業，找出</w:t>
      </w:r>
      <w:r w:rsidR="00E524DA" w:rsidRPr="00C77E77">
        <w:rPr>
          <w:sz w:val="28"/>
          <w:szCs w:val="28"/>
        </w:rPr>
        <w:t>臺</w:t>
      </w:r>
      <w:r w:rsidR="00950374" w:rsidRPr="00C77E77">
        <w:rPr>
          <w:sz w:val="28"/>
          <w:szCs w:val="28"/>
        </w:rPr>
        <w:t>灣在其中哪一塊具有競爭優勢，同時應該協助產業規範的國際協調，例如網路零售業是否歸屬零售業？究竟應用何種產業來規範此一灰色地帶？</w:t>
      </w:r>
      <w:r w:rsidR="00705D5A" w:rsidRPr="00C77E77">
        <w:rPr>
          <w:sz w:val="28"/>
          <w:szCs w:val="28"/>
        </w:rPr>
        <w:t>印度、印尼、越南、菲律賓是臺灣跨境電商較有機會開拓的市場，應選擇區域進行深耕研究。</w:t>
      </w:r>
      <w:r w:rsidR="001B02D4" w:rsidRPr="00C77E77">
        <w:rPr>
          <w:sz w:val="28"/>
          <w:szCs w:val="28"/>
        </w:rPr>
        <w:t>以</w:t>
      </w:r>
      <w:r w:rsidR="001B02D4" w:rsidRPr="00C77E77">
        <w:rPr>
          <w:color w:val="auto"/>
          <w:sz w:val="28"/>
          <w:szCs w:val="28"/>
        </w:rPr>
        <w:t>印度市場來說，每秒有三個印度人第一次上網，而且可能就是用手機，另外電子商務發達是因為馬路跟交通太差，民眾不想出門，加上城市越來越發達、交通更形擁擠，民眾等待的時間都在滑手機。印度人也不在乎交期很長，喜歡用</w:t>
      </w:r>
      <w:r w:rsidR="001B02D4" w:rsidRPr="00C77E77">
        <w:rPr>
          <w:color w:val="auto"/>
          <w:sz w:val="28"/>
          <w:szCs w:val="28"/>
        </w:rPr>
        <w:t>APP</w:t>
      </w:r>
      <w:r w:rsidR="001B02D4" w:rsidRPr="00C77E77">
        <w:rPr>
          <w:color w:val="auto"/>
          <w:sz w:val="28"/>
          <w:szCs w:val="28"/>
        </w:rPr>
        <w:t>訂購產品，然後再貨到付款。尤其每年</w:t>
      </w:r>
      <w:r w:rsidR="001B02D4" w:rsidRPr="00C77E77">
        <w:rPr>
          <w:color w:val="auto"/>
          <w:sz w:val="28"/>
          <w:szCs w:val="28"/>
        </w:rPr>
        <w:t>9</w:t>
      </w:r>
      <w:r w:rsidR="001B02D4" w:rsidRPr="00C77E77">
        <w:rPr>
          <w:color w:val="auto"/>
          <w:sz w:val="28"/>
          <w:szCs w:val="28"/>
        </w:rPr>
        <w:t>～</w:t>
      </w:r>
      <w:r w:rsidR="001B02D4" w:rsidRPr="00C77E77">
        <w:rPr>
          <w:color w:val="auto"/>
          <w:sz w:val="28"/>
          <w:szCs w:val="28"/>
        </w:rPr>
        <w:t>12</w:t>
      </w:r>
      <w:r w:rsidR="001B02D4" w:rsidRPr="00C77E77">
        <w:rPr>
          <w:color w:val="auto"/>
          <w:sz w:val="28"/>
          <w:szCs w:val="28"/>
        </w:rPr>
        <w:t>月印度燈節的時候，更是電商的黃金購物期。另外，像電子商務的第三方支付，雖然才剛起步，但印度的</w:t>
      </w:r>
      <w:r w:rsidR="001B02D4" w:rsidRPr="00C77E77">
        <w:rPr>
          <w:color w:val="auto"/>
          <w:sz w:val="28"/>
          <w:szCs w:val="28"/>
        </w:rPr>
        <w:t>Paytm</w:t>
      </w:r>
      <w:r w:rsidR="001B02D4" w:rsidRPr="00C77E77">
        <w:rPr>
          <w:color w:val="auto"/>
          <w:sz w:val="28"/>
          <w:szCs w:val="28"/>
        </w:rPr>
        <w:t>已經有一億多的使用者，比信用卡總人口數多。</w:t>
      </w:r>
      <w:r w:rsidR="001B02D4" w:rsidRPr="00C77E77">
        <w:rPr>
          <w:rStyle w:val="a9"/>
          <w:color w:val="auto"/>
          <w:sz w:val="28"/>
          <w:szCs w:val="28"/>
        </w:rPr>
        <w:footnoteReference w:id="147"/>
      </w:r>
      <w:r w:rsidR="001B02D4" w:rsidRPr="00C77E77">
        <w:rPr>
          <w:color w:val="auto"/>
          <w:sz w:val="28"/>
          <w:szCs w:val="28"/>
        </w:rPr>
        <w:t>目前還沒有</w:t>
      </w:r>
      <w:r w:rsidR="00FD0D5A" w:rsidRPr="00C77E77">
        <w:rPr>
          <w:color w:val="auto"/>
          <w:sz w:val="28"/>
          <w:szCs w:val="28"/>
        </w:rPr>
        <w:t>臺</w:t>
      </w:r>
      <w:r w:rsidR="001B02D4" w:rsidRPr="00C77E77">
        <w:rPr>
          <w:color w:val="auto"/>
          <w:sz w:val="28"/>
          <w:szCs w:val="28"/>
        </w:rPr>
        <w:t>灣電商進入印度，因為法律規定</w:t>
      </w:r>
      <w:r w:rsidR="001B02D4" w:rsidRPr="00C77E77">
        <w:rPr>
          <w:color w:val="auto"/>
          <w:sz w:val="28"/>
          <w:szCs w:val="28"/>
        </w:rPr>
        <w:t>B2C</w:t>
      </w:r>
      <w:r w:rsidR="001B02D4" w:rsidRPr="00C77E77">
        <w:rPr>
          <w:color w:val="auto"/>
          <w:sz w:val="28"/>
          <w:szCs w:val="28"/>
        </w:rPr>
        <w:t>必須用合作的方式，所以</w:t>
      </w:r>
      <w:r w:rsidR="001B02D4" w:rsidRPr="00C77E77">
        <w:rPr>
          <w:color w:val="auto"/>
          <w:sz w:val="28"/>
          <w:szCs w:val="28"/>
        </w:rPr>
        <w:t>B2B</w:t>
      </w:r>
      <w:r w:rsidR="001B02D4" w:rsidRPr="00C77E77">
        <w:rPr>
          <w:color w:val="auto"/>
          <w:sz w:val="28"/>
          <w:szCs w:val="28"/>
        </w:rPr>
        <w:t>應是可以切入的角度。建議</w:t>
      </w:r>
      <w:r w:rsidR="00FD0D5A" w:rsidRPr="00C77E77">
        <w:rPr>
          <w:color w:val="auto"/>
          <w:sz w:val="28"/>
          <w:szCs w:val="28"/>
        </w:rPr>
        <w:t>臺</w:t>
      </w:r>
      <w:r w:rsidR="001B02D4" w:rsidRPr="00C77E77">
        <w:rPr>
          <w:color w:val="auto"/>
          <w:sz w:val="28"/>
          <w:szCs w:val="28"/>
        </w:rPr>
        <w:t>灣的</w:t>
      </w:r>
      <w:r w:rsidR="001B02D4" w:rsidRPr="00C77E77">
        <w:rPr>
          <w:color w:val="auto"/>
          <w:sz w:val="28"/>
          <w:szCs w:val="28"/>
        </w:rPr>
        <w:t>PC Home</w:t>
      </w:r>
      <w:r w:rsidR="001B02D4" w:rsidRPr="00C77E77">
        <w:rPr>
          <w:color w:val="auto"/>
          <w:sz w:val="28"/>
          <w:szCs w:val="28"/>
        </w:rPr>
        <w:t>等電子商務平</w:t>
      </w:r>
      <w:r w:rsidR="00FD0D5A" w:rsidRPr="00C77E77">
        <w:rPr>
          <w:color w:val="auto"/>
          <w:sz w:val="28"/>
          <w:szCs w:val="28"/>
        </w:rPr>
        <w:t>臺</w:t>
      </w:r>
      <w:r w:rsidR="001B02D4" w:rsidRPr="00C77E77">
        <w:rPr>
          <w:color w:val="auto"/>
          <w:sz w:val="28"/>
          <w:szCs w:val="28"/>
        </w:rPr>
        <w:t>，可以設計一個獨立對外的</w:t>
      </w:r>
      <w:r w:rsidR="001B02D4" w:rsidRPr="00C77E77">
        <w:rPr>
          <w:color w:val="auto"/>
          <w:sz w:val="28"/>
          <w:szCs w:val="28"/>
        </w:rPr>
        <w:t>e commerce</w:t>
      </w:r>
      <w:r w:rsidR="00FD0D5A" w:rsidRPr="00C77E77">
        <w:rPr>
          <w:color w:val="auto"/>
          <w:sz w:val="28"/>
          <w:szCs w:val="28"/>
        </w:rPr>
        <w:t>臺</w:t>
      </w:r>
      <w:r w:rsidR="001B02D4" w:rsidRPr="00C77E77">
        <w:rPr>
          <w:color w:val="auto"/>
          <w:sz w:val="28"/>
          <w:szCs w:val="28"/>
        </w:rPr>
        <w:t>灣專區，讓外國人只要從那邊點下去，就可以買到各式各樣的</w:t>
      </w:r>
      <w:r w:rsidR="00FD0D5A" w:rsidRPr="00C77E77">
        <w:rPr>
          <w:color w:val="auto"/>
          <w:sz w:val="28"/>
          <w:szCs w:val="28"/>
        </w:rPr>
        <w:t>臺</w:t>
      </w:r>
      <w:r w:rsidR="001B02D4" w:rsidRPr="00C77E77">
        <w:rPr>
          <w:color w:val="auto"/>
          <w:sz w:val="28"/>
          <w:szCs w:val="28"/>
        </w:rPr>
        <w:t>灣產品，包括</w:t>
      </w:r>
      <w:r w:rsidR="001B02D4" w:rsidRPr="00C77E77">
        <w:rPr>
          <w:color w:val="auto"/>
          <w:sz w:val="28"/>
          <w:szCs w:val="28"/>
        </w:rPr>
        <w:t>3C</w:t>
      </w:r>
      <w:r w:rsidR="001B02D4" w:rsidRPr="00C77E77">
        <w:rPr>
          <w:color w:val="auto"/>
          <w:sz w:val="28"/>
          <w:szCs w:val="28"/>
        </w:rPr>
        <w:t>用品、紅茶、綠茶之類的。</w:t>
      </w:r>
      <w:r w:rsidR="001B02D4" w:rsidRPr="00C77E77">
        <w:rPr>
          <w:rStyle w:val="a9"/>
          <w:color w:val="auto"/>
          <w:sz w:val="28"/>
          <w:szCs w:val="28"/>
        </w:rPr>
        <w:footnoteReference w:id="148"/>
      </w:r>
      <w:r w:rsidR="001B02D4" w:rsidRPr="00C77E77">
        <w:rPr>
          <w:color w:val="auto"/>
          <w:sz w:val="28"/>
          <w:szCs w:val="28"/>
        </w:rPr>
        <w:t>電商一定要找</w:t>
      </w:r>
      <w:r w:rsidR="001B02D4" w:rsidRPr="00C77E77">
        <w:rPr>
          <w:color w:val="auto"/>
          <w:sz w:val="28"/>
          <w:szCs w:val="28"/>
        </w:rPr>
        <w:t>local partner</w:t>
      </w:r>
      <w:r w:rsidR="001B02D4" w:rsidRPr="00C77E77">
        <w:rPr>
          <w:color w:val="auto"/>
          <w:sz w:val="28"/>
          <w:szCs w:val="28"/>
        </w:rPr>
        <w:t>合作，才有辦法妥善配送。像</w:t>
      </w:r>
      <w:r w:rsidR="001B02D4" w:rsidRPr="00C77E77">
        <w:rPr>
          <w:color w:val="auto"/>
          <w:sz w:val="28"/>
          <w:szCs w:val="28"/>
        </w:rPr>
        <w:t>Amazon</w:t>
      </w:r>
      <w:r w:rsidR="001B02D4" w:rsidRPr="00C77E77">
        <w:rPr>
          <w:color w:val="auto"/>
          <w:sz w:val="28"/>
          <w:szCs w:val="28"/>
        </w:rPr>
        <w:t>進去的時候也是跟當地郵局結合。此外，電商也要處理稅的問題。</w:t>
      </w:r>
      <w:r w:rsidR="001B02D4" w:rsidRPr="00C77E77">
        <w:rPr>
          <w:rStyle w:val="a9"/>
          <w:color w:val="auto"/>
          <w:sz w:val="28"/>
          <w:szCs w:val="28"/>
        </w:rPr>
        <w:footnoteReference w:id="149"/>
      </w:r>
      <w:r w:rsidR="001B02D4" w:rsidRPr="00C77E77">
        <w:rPr>
          <w:color w:val="auto"/>
          <w:sz w:val="28"/>
          <w:szCs w:val="28"/>
        </w:rPr>
        <w:t>PC Home</w:t>
      </w:r>
      <w:r w:rsidR="001B02D4" w:rsidRPr="00C77E77">
        <w:rPr>
          <w:color w:val="auto"/>
          <w:sz w:val="28"/>
          <w:szCs w:val="28"/>
        </w:rPr>
        <w:t>可以做一個印度的銷售介面，然後跟印度當地的郵局和信差合作配送。</w:t>
      </w:r>
      <w:r w:rsidR="001B02D4" w:rsidRPr="00C77E77">
        <w:rPr>
          <w:rStyle w:val="a9"/>
          <w:color w:val="auto"/>
          <w:sz w:val="28"/>
          <w:szCs w:val="28"/>
        </w:rPr>
        <w:footnoteReference w:id="150"/>
      </w:r>
    </w:p>
    <w:p w:rsidR="001B02D4" w:rsidRPr="00C77E77" w:rsidRDefault="001B02D4" w:rsidP="001B02D4">
      <w:pPr>
        <w:widowControl/>
        <w:spacing w:beforeLines="50" w:before="180" w:afterLines="50" w:after="180"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越南市場方面，電商採取中國的模式，上網訂購、外送等服務已經很成熟，且當地很多商業大學的畢業生專門協助越南廠商建立電商</w:t>
      </w:r>
      <w:r w:rsidRPr="00C77E77">
        <w:rPr>
          <w:rFonts w:ascii="Times New Roman" w:eastAsia="標楷體" w:hAnsi="Times New Roman" w:cs="Times New Roman"/>
          <w:sz w:val="28"/>
          <w:szCs w:val="28"/>
        </w:rPr>
        <w:lastRenderedPageBreak/>
        <w:t>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。越南電商跟物流是採取半自動的方式，人力便宜、物流摩托車方便，但是很多人沒有開戶，也對銀行不信任。建議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灣發展跨境電商要結合虛擬跟實體店面、用一條龍的方式互相幫襯，讓消費者產生正面的印象才有效。此外，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灣的電商也可效法阿里巴巴併購</w:t>
      </w:r>
      <w:r w:rsidRPr="00C77E77">
        <w:rPr>
          <w:rFonts w:ascii="Times New Roman" w:eastAsia="標楷體" w:hAnsi="Times New Roman" w:cs="Times New Roman"/>
          <w:sz w:val="28"/>
          <w:szCs w:val="28"/>
        </w:rPr>
        <w:t>Lazarda</w:t>
      </w:r>
      <w:r w:rsidRPr="00C77E77">
        <w:rPr>
          <w:rFonts w:ascii="Times New Roman" w:eastAsia="標楷體" w:hAnsi="Times New Roman" w:cs="Times New Roman"/>
          <w:sz w:val="28"/>
          <w:szCs w:val="28"/>
        </w:rPr>
        <w:t>那樣掌握通路，用併購當地第二大、第三大地電商的方式，加速進來越南。不過，</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灣電商的中文、越文能力都不夠強，如何構思出切合當地市場的商業模式還需要加強。</w:t>
      </w:r>
    </w:p>
    <w:p w:rsidR="005E0E7A" w:rsidRPr="00C77E77" w:rsidRDefault="001B02D4" w:rsidP="001B02D4">
      <w:pPr>
        <w:widowControl/>
        <w:spacing w:beforeLines="50" w:before="180" w:afterLines="50" w:after="180"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印尼、馬來西亞兩國擁有電子商務爭取穆斯林齋戒月的龐大商機。不過目前印尼跨境電商佔零售業的比率仍只有</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％，要獲得發展還需要很長一段時間。</w:t>
      </w:r>
    </w:p>
    <w:p w:rsidR="00F73B49" w:rsidRPr="00C77E77" w:rsidRDefault="005E0E7A" w:rsidP="00533E09">
      <w:pPr>
        <w:pStyle w:val="afe"/>
        <w:spacing w:beforeLines="50" w:before="180" w:afterLines="50" w:after="180" w:line="500" w:lineRule="exact"/>
        <w:ind w:leftChars="295" w:left="708" w:firstLine="561"/>
        <w:rPr>
          <w:sz w:val="28"/>
          <w:szCs w:val="28"/>
        </w:rPr>
      </w:pPr>
      <w:r w:rsidRPr="00C77E77">
        <w:rPr>
          <w:b/>
          <w:sz w:val="28"/>
          <w:szCs w:val="28"/>
        </w:rPr>
        <w:t>長期</w:t>
      </w:r>
      <w:r w:rsidRPr="00C77E77">
        <w:rPr>
          <w:sz w:val="28"/>
          <w:szCs w:val="28"/>
        </w:rPr>
        <w:t>規劃</w:t>
      </w:r>
      <w:r w:rsidR="00533E09" w:rsidRPr="00C77E77">
        <w:rPr>
          <w:sz w:val="28"/>
          <w:szCs w:val="28"/>
        </w:rPr>
        <w:t>應及早構思如何因應未來電商衍生出的商業規範跟傳統規範的衝突之處。中小企業突破傳統製造業的思維，結合跨境電子商務的發展，必須要瞭解新興市場特殊的後發式創新，才能切入當地需求。另外，</w:t>
      </w:r>
      <w:r w:rsidRPr="00C77E77">
        <w:rPr>
          <w:sz w:val="28"/>
          <w:szCs w:val="28"/>
        </w:rPr>
        <w:t>寮國、柬埔寨、緬甸的經濟發展程度較低、網路覆蓋率、智慧型手機普及率低，臺灣可以協助寮國、柬埔寨、緬甸等國資通訊及網路、智慧手機的基礎建設，從建立臺灣品牌與優質服務做起。</w:t>
      </w:r>
    </w:p>
    <w:p w:rsidR="007D51FC" w:rsidRPr="00C77E77" w:rsidRDefault="007D51FC" w:rsidP="00533E09">
      <w:pPr>
        <w:pStyle w:val="afe"/>
        <w:spacing w:beforeLines="50" w:before="180" w:afterLines="50" w:after="180" w:line="500" w:lineRule="exact"/>
        <w:ind w:leftChars="295" w:left="708" w:firstLine="560"/>
        <w:rPr>
          <w:sz w:val="28"/>
          <w:szCs w:val="28"/>
        </w:rPr>
      </w:pPr>
    </w:p>
    <w:tbl>
      <w:tblPr>
        <w:tblW w:w="83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59"/>
        <w:gridCol w:w="4159"/>
      </w:tblGrid>
      <w:tr w:rsidR="001B02D4" w:rsidRPr="00C77E77" w:rsidTr="001A56A0">
        <w:trPr>
          <w:trHeight w:val="168"/>
          <w:jc w:val="center"/>
        </w:trPr>
        <w:tc>
          <w:tcPr>
            <w:tcW w:w="8318" w:type="dxa"/>
            <w:gridSpan w:val="2"/>
            <w:tcBorders>
              <w:top w:val="nil"/>
              <w:left w:val="nil"/>
              <w:bottom w:val="single" w:sz="4" w:space="0" w:color="auto"/>
              <w:right w:val="nil"/>
            </w:tcBorders>
          </w:tcPr>
          <w:p w:rsidR="001B02D4" w:rsidRPr="00C77E77" w:rsidRDefault="001B02D4" w:rsidP="009551A7">
            <w:pPr>
              <w:pStyle w:val="af9"/>
            </w:pPr>
            <w:bookmarkStart w:id="149" w:name="_Toc467163691"/>
            <w:bookmarkStart w:id="150" w:name="_Toc470676614"/>
            <w:r w:rsidRPr="00C77E77">
              <w:t>表</w:t>
            </w:r>
            <w:r w:rsidRPr="00C77E77">
              <w:t>5-</w:t>
            </w:r>
            <w:r w:rsidR="009551A7" w:rsidRPr="00C77E77">
              <w:t>2</w:t>
            </w:r>
            <w:r w:rsidRPr="00C77E77">
              <w:t xml:space="preserve">-4 </w:t>
            </w:r>
            <w:r w:rsidRPr="00C77E77">
              <w:t>我國電子商務產業南向發展之</w:t>
            </w:r>
            <w:r w:rsidRPr="00C77E77">
              <w:t>SWOT</w:t>
            </w:r>
            <w:r w:rsidRPr="00C77E77">
              <w:t>分析</w:t>
            </w:r>
            <w:bookmarkEnd w:id="149"/>
            <w:bookmarkEnd w:id="150"/>
          </w:p>
        </w:tc>
      </w:tr>
      <w:tr w:rsidR="001B02D4" w:rsidRPr="00C77E77" w:rsidTr="001A56A0">
        <w:trPr>
          <w:trHeight w:val="168"/>
          <w:jc w:val="center"/>
        </w:trPr>
        <w:tc>
          <w:tcPr>
            <w:tcW w:w="4159" w:type="dxa"/>
            <w:tcBorders>
              <w:top w:val="single" w:sz="4" w:space="0" w:color="auto"/>
              <w:bottom w:val="single" w:sz="4" w:space="0" w:color="auto"/>
            </w:tcBorders>
          </w:tcPr>
          <w:p w:rsidR="001B02D4" w:rsidRPr="00C77E77" w:rsidRDefault="001B02D4" w:rsidP="001A56A0">
            <w:pPr>
              <w:autoSpaceDE w:val="0"/>
              <w:autoSpaceDN w:val="0"/>
              <w:adjustRightInd w:val="0"/>
              <w:spacing w:beforeLines="50" w:before="180" w:afterLines="50" w:after="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優勢</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S</w:t>
            </w:r>
            <w:r w:rsidRPr="00C77E77">
              <w:rPr>
                <w:rFonts w:ascii="Times New Roman" w:eastAsia="標楷體" w:hAnsi="Times New Roman" w:cs="Times New Roman"/>
                <w:b/>
                <w:bCs/>
                <w:kern w:val="0"/>
                <w:szCs w:val="23"/>
              </w:rPr>
              <w:t>）</w:t>
            </w:r>
          </w:p>
        </w:tc>
        <w:tc>
          <w:tcPr>
            <w:tcW w:w="4159" w:type="dxa"/>
            <w:tcBorders>
              <w:top w:val="single" w:sz="4" w:space="0" w:color="auto"/>
              <w:bottom w:val="single" w:sz="4" w:space="0" w:color="auto"/>
            </w:tcBorders>
          </w:tcPr>
          <w:p w:rsidR="001B02D4" w:rsidRPr="00C77E77" w:rsidRDefault="001B02D4" w:rsidP="001A56A0">
            <w:pPr>
              <w:autoSpaceDE w:val="0"/>
              <w:autoSpaceDN w:val="0"/>
              <w:adjustRightInd w:val="0"/>
              <w:spacing w:beforeLines="50" w:before="180" w:afterLines="50" w:after="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劣勢</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W</w:t>
            </w:r>
            <w:r w:rsidRPr="00C77E77">
              <w:rPr>
                <w:rFonts w:ascii="Times New Roman" w:eastAsia="標楷體" w:hAnsi="Times New Roman" w:cs="Times New Roman"/>
                <w:b/>
                <w:bCs/>
                <w:kern w:val="0"/>
                <w:szCs w:val="23"/>
              </w:rPr>
              <w:t>）</w:t>
            </w:r>
          </w:p>
        </w:tc>
      </w:tr>
      <w:tr w:rsidR="001B02D4" w:rsidRPr="00C77E77" w:rsidTr="001A56A0">
        <w:trPr>
          <w:trHeight w:hRule="exact" w:val="3350"/>
          <w:jc w:val="center"/>
        </w:trPr>
        <w:tc>
          <w:tcPr>
            <w:tcW w:w="4159" w:type="dxa"/>
            <w:tcBorders>
              <w:top w:val="single" w:sz="4" w:space="0" w:color="auto"/>
              <w:left w:val="single" w:sz="4" w:space="0" w:color="auto"/>
              <w:bottom w:val="single" w:sz="4" w:space="0" w:color="auto"/>
              <w:right w:val="single" w:sz="4" w:space="0" w:color="auto"/>
            </w:tcBorders>
          </w:tcPr>
          <w:p w:rsidR="001B02D4" w:rsidRPr="00C77E77" w:rsidRDefault="001B02D4" w:rsidP="009551A7">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因實體店面租金不斷升高，導致網購電商業者增加外，手機等手持行動裝置佔有率持續提高。</w:t>
            </w:r>
          </w:p>
          <w:p w:rsidR="001B02D4" w:rsidRPr="00C77E77" w:rsidRDefault="001B02D4" w:rsidP="009551A7">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•2015</w:t>
            </w:r>
            <w:r w:rsidRPr="00C77E77">
              <w:rPr>
                <w:rFonts w:ascii="Times New Roman" w:eastAsia="標楷體" w:hAnsi="Times New Roman" w:cs="Times New Roman"/>
                <w:kern w:val="0"/>
                <w:szCs w:val="23"/>
              </w:rPr>
              <w:t>年臺灣電子商務市場產值約</w:t>
            </w:r>
            <w:r w:rsidRPr="00C77E77">
              <w:rPr>
                <w:rFonts w:ascii="Times New Roman" w:eastAsia="標楷體" w:hAnsi="Times New Roman" w:cs="Times New Roman"/>
                <w:kern w:val="0"/>
                <w:szCs w:val="23"/>
              </w:rPr>
              <w:t>1</w:t>
            </w:r>
            <w:r w:rsidRPr="00C77E77">
              <w:rPr>
                <w:rFonts w:ascii="Times New Roman" w:eastAsia="標楷體" w:hAnsi="Times New Roman" w:cs="Times New Roman"/>
                <w:kern w:val="0"/>
                <w:szCs w:val="23"/>
              </w:rPr>
              <w:t>兆零</w:t>
            </w:r>
            <w:r w:rsidRPr="00C77E77">
              <w:rPr>
                <w:rFonts w:ascii="Times New Roman" w:eastAsia="標楷體" w:hAnsi="Times New Roman" w:cs="Times New Roman"/>
                <w:kern w:val="0"/>
                <w:szCs w:val="23"/>
              </w:rPr>
              <w:t>69</w:t>
            </w:r>
            <w:r w:rsidRPr="00C77E77">
              <w:rPr>
                <w:rFonts w:ascii="Times New Roman" w:eastAsia="標楷體" w:hAnsi="Times New Roman" w:cs="Times New Roman"/>
                <w:kern w:val="0"/>
                <w:szCs w:val="23"/>
              </w:rPr>
              <w:t>億元，</w:t>
            </w:r>
            <w:r w:rsidRPr="00C77E77">
              <w:rPr>
                <w:rFonts w:ascii="Times New Roman" w:eastAsia="標楷體" w:hAnsi="Times New Roman" w:cs="Times New Roman"/>
                <w:kern w:val="0"/>
                <w:szCs w:val="23"/>
              </w:rPr>
              <w:t>2016</w:t>
            </w:r>
            <w:r w:rsidRPr="00C77E77">
              <w:rPr>
                <w:rFonts w:ascii="Times New Roman" w:eastAsia="標楷體" w:hAnsi="Times New Roman" w:cs="Times New Roman"/>
                <w:kern w:val="0"/>
                <w:szCs w:val="23"/>
              </w:rPr>
              <w:t>年臺灣電子商務市場規模將比</w:t>
            </w:r>
            <w:r w:rsidRPr="00C77E77">
              <w:rPr>
                <w:rFonts w:ascii="Times New Roman" w:eastAsia="標楷體" w:hAnsi="Times New Roman" w:cs="Times New Roman"/>
                <w:kern w:val="0"/>
                <w:szCs w:val="23"/>
              </w:rPr>
              <w:t>2015</w:t>
            </w:r>
            <w:r w:rsidRPr="00C77E77">
              <w:rPr>
                <w:rFonts w:ascii="Times New Roman" w:eastAsia="標楷體" w:hAnsi="Times New Roman" w:cs="Times New Roman"/>
                <w:kern w:val="0"/>
                <w:szCs w:val="23"/>
              </w:rPr>
              <w:t>年再成長</w:t>
            </w:r>
            <w:r w:rsidRPr="00C77E77">
              <w:rPr>
                <w:rFonts w:ascii="Times New Roman" w:eastAsia="標楷體" w:hAnsi="Times New Roman" w:cs="Times New Roman"/>
                <w:kern w:val="0"/>
                <w:szCs w:val="23"/>
              </w:rPr>
              <w:t>12</w:t>
            </w:r>
            <w:r w:rsidRPr="00C77E77">
              <w:rPr>
                <w:rFonts w:ascii="Times New Roman" w:eastAsia="標楷體" w:hAnsi="Times New Roman" w:cs="Times New Roman"/>
                <w:kern w:val="0"/>
                <w:szCs w:val="23"/>
              </w:rPr>
              <w:t>％</w:t>
            </w:r>
          </w:p>
          <w:p w:rsidR="001B02D4" w:rsidRPr="00C77E77" w:rsidRDefault="001B02D4" w:rsidP="001B02D4">
            <w:pPr>
              <w:autoSpaceDE w:val="0"/>
              <w:autoSpaceDN w:val="0"/>
              <w:adjustRightInd w:val="0"/>
              <w:ind w:leftChars="295" w:left="708"/>
              <w:jc w:val="both"/>
              <w:rPr>
                <w:rFonts w:ascii="Times New Roman" w:eastAsia="標楷體" w:hAnsi="Times New Roman" w:cs="Times New Roman"/>
                <w:kern w:val="0"/>
                <w:szCs w:val="23"/>
              </w:rPr>
            </w:pPr>
          </w:p>
        </w:tc>
        <w:tc>
          <w:tcPr>
            <w:tcW w:w="4159" w:type="dxa"/>
            <w:tcBorders>
              <w:top w:val="single" w:sz="4" w:space="0" w:color="auto"/>
              <w:left w:val="single" w:sz="4" w:space="0" w:color="auto"/>
              <w:bottom w:val="single" w:sz="4" w:space="0" w:color="auto"/>
              <w:right w:val="single" w:sz="4" w:space="0" w:color="auto"/>
            </w:tcBorders>
          </w:tcPr>
          <w:p w:rsidR="001B02D4" w:rsidRPr="00C77E77" w:rsidRDefault="001B02D4" w:rsidP="009551A7">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臺灣本土市場小、人口紅利有限，但對於能突破單一本土市場侷限的電子商務、跨境電商生意，臺灣多數企業才正開始摸索。</w:t>
            </w:r>
          </w:p>
          <w:p w:rsidR="001B02D4" w:rsidRPr="00C77E77" w:rsidRDefault="001B02D4" w:rsidP="009551A7">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臺灣製造業仍以生產為主，行銷、服務及客戶需求不被重視。同時政府對於最新的電子商務模式只是被動觀察，監管防弊的態度優先於創新經濟的冒險。</w:t>
            </w:r>
          </w:p>
          <w:p w:rsidR="007D51FC" w:rsidRPr="00C77E77" w:rsidRDefault="007D51FC" w:rsidP="009551A7">
            <w:pPr>
              <w:autoSpaceDE w:val="0"/>
              <w:autoSpaceDN w:val="0"/>
              <w:adjustRightInd w:val="0"/>
              <w:jc w:val="both"/>
              <w:rPr>
                <w:rFonts w:ascii="Times New Roman" w:eastAsia="標楷體" w:hAnsi="Times New Roman" w:cs="Times New Roman"/>
                <w:kern w:val="0"/>
                <w:szCs w:val="23"/>
              </w:rPr>
            </w:pPr>
          </w:p>
          <w:p w:rsidR="007D51FC" w:rsidRPr="00C77E77" w:rsidRDefault="007D51FC" w:rsidP="009551A7">
            <w:pPr>
              <w:autoSpaceDE w:val="0"/>
              <w:autoSpaceDN w:val="0"/>
              <w:adjustRightInd w:val="0"/>
              <w:jc w:val="both"/>
              <w:rPr>
                <w:rFonts w:ascii="Times New Roman" w:eastAsia="標楷體" w:hAnsi="Times New Roman" w:cs="Times New Roman"/>
                <w:kern w:val="0"/>
                <w:szCs w:val="23"/>
              </w:rPr>
            </w:pPr>
          </w:p>
          <w:p w:rsidR="00F73B49" w:rsidRPr="00C77E77" w:rsidRDefault="00F73B49" w:rsidP="009551A7">
            <w:pPr>
              <w:autoSpaceDE w:val="0"/>
              <w:autoSpaceDN w:val="0"/>
              <w:adjustRightInd w:val="0"/>
              <w:jc w:val="both"/>
              <w:rPr>
                <w:rFonts w:ascii="Times New Roman" w:eastAsia="標楷體" w:hAnsi="Times New Roman" w:cs="Times New Roman"/>
                <w:kern w:val="0"/>
                <w:szCs w:val="23"/>
              </w:rPr>
            </w:pPr>
          </w:p>
          <w:p w:rsidR="00F73B49" w:rsidRPr="00C77E77" w:rsidRDefault="00F73B49" w:rsidP="009551A7">
            <w:pPr>
              <w:autoSpaceDE w:val="0"/>
              <w:autoSpaceDN w:val="0"/>
              <w:adjustRightInd w:val="0"/>
              <w:jc w:val="both"/>
              <w:rPr>
                <w:rFonts w:ascii="Times New Roman" w:eastAsia="標楷體" w:hAnsi="Times New Roman" w:cs="Times New Roman"/>
                <w:kern w:val="0"/>
                <w:szCs w:val="23"/>
              </w:rPr>
            </w:pPr>
          </w:p>
          <w:p w:rsidR="00F73B49" w:rsidRPr="00C77E77" w:rsidRDefault="00F73B49" w:rsidP="009551A7">
            <w:pPr>
              <w:autoSpaceDE w:val="0"/>
              <w:autoSpaceDN w:val="0"/>
              <w:adjustRightInd w:val="0"/>
              <w:jc w:val="both"/>
              <w:rPr>
                <w:rFonts w:ascii="Times New Roman" w:eastAsia="標楷體" w:hAnsi="Times New Roman" w:cs="Times New Roman"/>
                <w:kern w:val="0"/>
                <w:szCs w:val="23"/>
              </w:rPr>
            </w:pPr>
          </w:p>
          <w:p w:rsidR="00F73B49" w:rsidRPr="00C77E77" w:rsidRDefault="00F73B49" w:rsidP="009551A7">
            <w:pPr>
              <w:autoSpaceDE w:val="0"/>
              <w:autoSpaceDN w:val="0"/>
              <w:adjustRightInd w:val="0"/>
              <w:jc w:val="both"/>
              <w:rPr>
                <w:rFonts w:ascii="Times New Roman" w:eastAsia="標楷體" w:hAnsi="Times New Roman" w:cs="Times New Roman"/>
                <w:kern w:val="0"/>
                <w:szCs w:val="23"/>
              </w:rPr>
            </w:pPr>
          </w:p>
          <w:p w:rsidR="00F73B49" w:rsidRPr="00C77E77" w:rsidRDefault="00F73B49" w:rsidP="009551A7">
            <w:pPr>
              <w:autoSpaceDE w:val="0"/>
              <w:autoSpaceDN w:val="0"/>
              <w:adjustRightInd w:val="0"/>
              <w:jc w:val="both"/>
              <w:rPr>
                <w:rFonts w:ascii="Times New Roman" w:eastAsia="標楷體" w:hAnsi="Times New Roman" w:cs="Times New Roman"/>
                <w:kern w:val="0"/>
                <w:szCs w:val="23"/>
              </w:rPr>
            </w:pPr>
          </w:p>
          <w:p w:rsidR="00F73B49" w:rsidRPr="00C77E77" w:rsidRDefault="00F73B49" w:rsidP="009551A7">
            <w:pPr>
              <w:autoSpaceDE w:val="0"/>
              <w:autoSpaceDN w:val="0"/>
              <w:adjustRightInd w:val="0"/>
              <w:jc w:val="both"/>
              <w:rPr>
                <w:rFonts w:ascii="Times New Roman" w:eastAsia="標楷體" w:hAnsi="Times New Roman" w:cs="Times New Roman"/>
                <w:kern w:val="0"/>
                <w:szCs w:val="23"/>
              </w:rPr>
            </w:pPr>
          </w:p>
          <w:p w:rsidR="001B02D4" w:rsidRPr="00C77E77" w:rsidRDefault="001B02D4" w:rsidP="001B02D4">
            <w:pPr>
              <w:autoSpaceDE w:val="0"/>
              <w:autoSpaceDN w:val="0"/>
              <w:adjustRightInd w:val="0"/>
              <w:ind w:leftChars="295" w:left="886" w:hangingChars="74" w:hanging="178"/>
              <w:jc w:val="both"/>
              <w:rPr>
                <w:rFonts w:ascii="Times New Roman" w:eastAsia="標楷體" w:hAnsi="Times New Roman" w:cs="Times New Roman"/>
                <w:kern w:val="0"/>
                <w:szCs w:val="23"/>
              </w:rPr>
            </w:pPr>
          </w:p>
        </w:tc>
      </w:tr>
      <w:tr w:rsidR="001B02D4" w:rsidRPr="00C77E77" w:rsidTr="009B022D">
        <w:trPr>
          <w:trHeight w:val="168"/>
          <w:jc w:val="center"/>
        </w:trPr>
        <w:tc>
          <w:tcPr>
            <w:tcW w:w="4159" w:type="dxa"/>
            <w:tcBorders>
              <w:top w:val="single" w:sz="4" w:space="0" w:color="auto"/>
              <w:left w:val="single" w:sz="4" w:space="0" w:color="auto"/>
              <w:bottom w:val="single" w:sz="4" w:space="0" w:color="auto"/>
              <w:right w:val="single" w:sz="4" w:space="0" w:color="auto"/>
            </w:tcBorders>
          </w:tcPr>
          <w:p w:rsidR="001B02D4" w:rsidRPr="00C77E77" w:rsidRDefault="001B02D4" w:rsidP="001B02D4">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lastRenderedPageBreak/>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4159" w:type="dxa"/>
            <w:tcBorders>
              <w:top w:val="single" w:sz="4" w:space="0" w:color="auto"/>
              <w:left w:val="single" w:sz="4" w:space="0" w:color="auto"/>
              <w:bottom w:val="single" w:sz="4" w:space="0" w:color="auto"/>
              <w:right w:val="single" w:sz="4" w:space="0" w:color="auto"/>
            </w:tcBorders>
          </w:tcPr>
          <w:p w:rsidR="001B02D4" w:rsidRPr="00C77E77" w:rsidRDefault="001B02D4" w:rsidP="001B02D4">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1B02D4" w:rsidRPr="00C77E77" w:rsidTr="0095129F">
        <w:trPr>
          <w:trHeight w:val="984"/>
          <w:jc w:val="center"/>
        </w:trPr>
        <w:tc>
          <w:tcPr>
            <w:tcW w:w="4159" w:type="dxa"/>
            <w:tcBorders>
              <w:top w:val="single" w:sz="4" w:space="0" w:color="auto"/>
              <w:bottom w:val="single" w:sz="4" w:space="0" w:color="auto"/>
            </w:tcBorders>
          </w:tcPr>
          <w:p w:rsidR="001B02D4" w:rsidRPr="00C77E77" w:rsidRDefault="001B02D4" w:rsidP="009551A7">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東協及南亞擁有龐大人口紅利，尤其中產階級興起、年輕消費人口上揚，隨著網路普及率提升，使用線上購物的人口逐年增加，是發展電子商務的潛力市場。透過電商平</w:t>
            </w:r>
            <w:r w:rsidR="00FD0D5A" w:rsidRPr="00C77E77">
              <w:rPr>
                <w:rFonts w:ascii="Times New Roman" w:eastAsia="標楷體" w:hAnsi="Times New Roman" w:cs="Times New Roman"/>
                <w:kern w:val="0"/>
                <w:szCs w:val="23"/>
              </w:rPr>
              <w:t>臺</w:t>
            </w:r>
            <w:r w:rsidRPr="00C77E77">
              <w:rPr>
                <w:rFonts w:ascii="Times New Roman" w:eastAsia="標楷體" w:hAnsi="Times New Roman" w:cs="Times New Roman"/>
                <w:kern w:val="0"/>
                <w:szCs w:val="23"/>
              </w:rPr>
              <w:t>，能以最有效率最節省成本的方式，輸出臺灣優質的產品。</w:t>
            </w:r>
          </w:p>
          <w:p w:rsidR="001B02D4" w:rsidRPr="00C77E77" w:rsidRDefault="001B02D4" w:rsidP="009551A7">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新加坡、馬來西亞、印尼、泰國，電子商務零售業將成長。其中增幅最明顯的為印尼及馬來西亞，這兩國還擁有電子商務爭取穆斯林齋戒月的龐大商機。</w:t>
            </w:r>
          </w:p>
        </w:tc>
        <w:tc>
          <w:tcPr>
            <w:tcW w:w="4159" w:type="dxa"/>
            <w:tcBorders>
              <w:top w:val="single" w:sz="4" w:space="0" w:color="auto"/>
              <w:bottom w:val="single" w:sz="4" w:space="0" w:color="auto"/>
            </w:tcBorders>
          </w:tcPr>
          <w:p w:rsidR="001B02D4" w:rsidRPr="00C77E77" w:rsidRDefault="001B02D4" w:rsidP="009551A7">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日、韓、馬、新各國在電子商務市場競爭激烈，更有多方聯手搶攻。</w:t>
            </w:r>
          </w:p>
          <w:p w:rsidR="001B02D4" w:rsidRPr="00C77E77" w:rsidRDefault="001B02D4" w:rsidP="009551A7">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由於電商平</w:t>
            </w:r>
            <w:r w:rsidR="00FD0D5A" w:rsidRPr="00C77E77">
              <w:rPr>
                <w:rFonts w:ascii="Times New Roman" w:eastAsia="標楷體" w:hAnsi="Times New Roman" w:cs="Times New Roman"/>
                <w:kern w:val="0"/>
                <w:szCs w:val="23"/>
              </w:rPr>
              <w:t>臺</w:t>
            </w:r>
            <w:r w:rsidRPr="00C77E77">
              <w:rPr>
                <w:rFonts w:ascii="Times New Roman" w:eastAsia="標楷體" w:hAnsi="Times New Roman" w:cs="Times New Roman"/>
                <w:kern w:val="0"/>
                <w:szCs w:val="23"/>
              </w:rPr>
              <w:t>消費者比價資訊充足，必須是具有特殊性的產品才能吸睛。若產品價格太便宜利潤低、產品回購頻次太長，或是產品網路的搜尋度太低，那麼做跨境電商的意義就不大。</w:t>
            </w:r>
          </w:p>
          <w:p w:rsidR="001B02D4" w:rsidRPr="00C77E77" w:rsidRDefault="001B02D4" w:rsidP="001B02D4">
            <w:pPr>
              <w:autoSpaceDE w:val="0"/>
              <w:autoSpaceDN w:val="0"/>
              <w:adjustRightInd w:val="0"/>
              <w:ind w:leftChars="295" w:left="708"/>
              <w:jc w:val="both"/>
              <w:rPr>
                <w:rFonts w:ascii="Times New Roman" w:eastAsia="標楷體" w:hAnsi="Times New Roman" w:cs="Times New Roman"/>
                <w:kern w:val="0"/>
                <w:szCs w:val="23"/>
              </w:rPr>
            </w:pPr>
          </w:p>
        </w:tc>
      </w:tr>
      <w:tr w:rsidR="001B02D4" w:rsidRPr="00C77E77" w:rsidTr="00E34F11">
        <w:trPr>
          <w:trHeight w:val="984"/>
          <w:jc w:val="center"/>
        </w:trPr>
        <w:tc>
          <w:tcPr>
            <w:tcW w:w="8318" w:type="dxa"/>
            <w:gridSpan w:val="2"/>
            <w:tcBorders>
              <w:top w:val="single" w:sz="4" w:space="0" w:color="auto"/>
              <w:left w:val="nil"/>
              <w:bottom w:val="single" w:sz="4" w:space="0" w:color="FFFFFF" w:themeColor="background1"/>
              <w:right w:val="nil"/>
            </w:tcBorders>
          </w:tcPr>
          <w:p w:rsidR="001B02D4" w:rsidRPr="00C77E77" w:rsidRDefault="001B02D4" w:rsidP="001B02D4">
            <w:pPr>
              <w:autoSpaceDE w:val="0"/>
              <w:autoSpaceDN w:val="0"/>
              <w:adjustRightInd w:val="0"/>
              <w:ind w:leftChars="295" w:left="708"/>
              <w:rPr>
                <w:rFonts w:ascii="Times New Roman" w:eastAsia="標楷體" w:hAnsi="Times New Roman" w:cs="Times New Roman"/>
                <w:kern w:val="0"/>
                <w:sz w:val="28"/>
                <w:szCs w:val="28"/>
              </w:rPr>
            </w:pPr>
            <w:r w:rsidRPr="00C77E77">
              <w:rPr>
                <w:rFonts w:ascii="Times New Roman" w:eastAsia="標楷體" w:hAnsi="Times New Roman" w:cs="Times New Roman"/>
                <w:kern w:val="0"/>
                <w:sz w:val="28"/>
                <w:szCs w:val="28"/>
              </w:rPr>
              <w:t>資料來源：</w:t>
            </w:r>
            <w:r w:rsidRPr="00C77E77">
              <w:rPr>
                <w:rFonts w:ascii="Times New Roman" w:eastAsia="標楷體" w:hAnsi="Times New Roman" w:cs="Times New Roman"/>
                <w:sz w:val="28"/>
                <w:szCs w:val="28"/>
              </w:rPr>
              <w:t>本研究整理。</w:t>
            </w:r>
          </w:p>
        </w:tc>
      </w:tr>
    </w:tbl>
    <w:p w:rsidR="009D7FB5" w:rsidRPr="00C77E77" w:rsidRDefault="009D7FB5" w:rsidP="00764ED7">
      <w:pPr>
        <w:pStyle w:val="ab"/>
        <w:numPr>
          <w:ilvl w:val="0"/>
          <w:numId w:val="31"/>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智慧物流</w:t>
      </w:r>
    </w:p>
    <w:p w:rsidR="0049558D" w:rsidRPr="00C77E77" w:rsidRDefault="001B02D4" w:rsidP="001B02D4">
      <w:pPr>
        <w:pStyle w:val="afe"/>
        <w:spacing w:line="500" w:lineRule="exact"/>
        <w:ind w:leftChars="295" w:left="708" w:firstLine="560"/>
        <w:rPr>
          <w:sz w:val="28"/>
          <w:szCs w:val="28"/>
        </w:rPr>
      </w:pPr>
      <w:r w:rsidRPr="00C77E77">
        <w:rPr>
          <w:color w:val="auto"/>
          <w:sz w:val="28"/>
          <w:szCs w:val="28"/>
        </w:rPr>
        <w:t>智慧物流主要的精神為銷售交易過程，必須先了解交易商業模式、貿易的本質及交易條件等細節，而非電商的流程及技術。成功經營有賴於累積貿易的基礎，並且整合商品設計、製造、品管、快速生產、倉儲運輸、行銷等，方能收最佳成效。</w:t>
      </w:r>
      <w:r w:rsidR="0049558D" w:rsidRPr="00C77E77">
        <w:rPr>
          <w:sz w:val="28"/>
          <w:szCs w:val="28"/>
        </w:rPr>
        <w:t>物流整合對臺灣在東南亞的發展很重要，臺灣的地理位置絕佳，我們可以把臺灣跟馬來西亞連結起來，把所有產業透過物流供應鏈，推廣到東協國家去。其中很重要的冷鏈物流也值得投入資源發展。</w:t>
      </w:r>
    </w:p>
    <w:p w:rsidR="0049558D" w:rsidRPr="00C77E77" w:rsidRDefault="0049558D" w:rsidP="0049558D">
      <w:pPr>
        <w:pStyle w:val="afe"/>
        <w:spacing w:beforeLines="50" w:before="180" w:afterLines="50" w:after="180" w:line="500" w:lineRule="exact"/>
        <w:ind w:leftChars="295" w:left="708" w:firstLine="560"/>
        <w:rPr>
          <w:color w:val="auto"/>
          <w:sz w:val="28"/>
          <w:szCs w:val="28"/>
        </w:rPr>
      </w:pPr>
      <w:r w:rsidRPr="00C77E77">
        <w:rPr>
          <w:sz w:val="28"/>
          <w:szCs w:val="28"/>
        </w:rPr>
        <w:t>研華股份有限公司蘇業務協理文彬於</w:t>
      </w:r>
      <w:r w:rsidRPr="00C77E77">
        <w:rPr>
          <w:sz w:val="28"/>
          <w:szCs w:val="28"/>
        </w:rPr>
        <w:t>2016</w:t>
      </w:r>
      <w:r w:rsidRPr="00C77E77">
        <w:rPr>
          <w:sz w:val="28"/>
          <w:szCs w:val="28"/>
        </w:rPr>
        <w:t>年</w:t>
      </w:r>
      <w:r w:rsidRPr="00C77E77">
        <w:rPr>
          <w:sz w:val="28"/>
          <w:szCs w:val="28"/>
        </w:rPr>
        <w:t>9</w:t>
      </w:r>
      <w:r w:rsidRPr="00C77E77">
        <w:rPr>
          <w:sz w:val="28"/>
          <w:szCs w:val="28"/>
        </w:rPr>
        <w:t>月</w:t>
      </w:r>
      <w:r w:rsidRPr="00C77E77">
        <w:rPr>
          <w:sz w:val="28"/>
          <w:szCs w:val="28"/>
        </w:rPr>
        <w:t>23</w:t>
      </w:r>
      <w:r w:rsidRPr="00C77E77">
        <w:rPr>
          <w:sz w:val="28"/>
          <w:szCs w:val="28"/>
        </w:rPr>
        <w:t>日座談會具體提出智慧物流的</w:t>
      </w:r>
      <w:r w:rsidRPr="00C77E77">
        <w:rPr>
          <w:b/>
          <w:sz w:val="28"/>
          <w:szCs w:val="28"/>
        </w:rPr>
        <w:t>短期</w:t>
      </w:r>
      <w:r w:rsidRPr="00C77E77">
        <w:rPr>
          <w:sz w:val="28"/>
          <w:szCs w:val="28"/>
        </w:rPr>
        <w:t>建議：由公單位先在臺灣建置一個</w:t>
      </w:r>
      <w:r w:rsidRPr="00C77E77">
        <w:rPr>
          <w:sz w:val="28"/>
          <w:szCs w:val="28"/>
        </w:rPr>
        <w:t>reference site</w:t>
      </w:r>
      <w:r w:rsidRPr="00C77E77">
        <w:rPr>
          <w:sz w:val="28"/>
          <w:szCs w:val="28"/>
        </w:rPr>
        <w:t>，有專責機構負責經費並讓臺灣廠商練兵，先在臺灣做完整個</w:t>
      </w:r>
      <w:r w:rsidRPr="00C77E77">
        <w:rPr>
          <w:sz w:val="28"/>
          <w:szCs w:val="28"/>
        </w:rPr>
        <w:t>solution</w:t>
      </w:r>
      <w:r w:rsidRPr="00C77E77">
        <w:rPr>
          <w:sz w:val="28"/>
          <w:szCs w:val="28"/>
        </w:rPr>
        <w:t>。像智慧物流從港口貨櫃裝卸的電子化控制跟記錄、貨櫃車進出無紙化、送到物流中心之後每批貨物或是每個棧板用</w:t>
      </w:r>
      <w:r w:rsidRPr="00C77E77">
        <w:rPr>
          <w:sz w:val="28"/>
          <w:szCs w:val="28"/>
        </w:rPr>
        <w:t>RFID</w:t>
      </w:r>
      <w:r w:rsidRPr="00C77E77">
        <w:rPr>
          <w:sz w:val="28"/>
          <w:szCs w:val="28"/>
        </w:rPr>
        <w:t>感應跟管控、物流中心本身的溫濕度監控，接下來卡車</w:t>
      </w:r>
      <w:r w:rsidRPr="00C77E77">
        <w:rPr>
          <w:color w:val="auto"/>
          <w:sz w:val="28"/>
          <w:szCs w:val="28"/>
        </w:rPr>
        <w:t>運輸用車載電腦來傳送訊息：車子在哪裡？貨物是否由客戶簽收，運送路線的最佳化，駕駛行為管控，</w:t>
      </w:r>
      <w:r w:rsidRPr="00C77E77">
        <w:rPr>
          <w:color w:val="auto"/>
          <w:sz w:val="28"/>
          <w:szCs w:val="28"/>
        </w:rPr>
        <w:lastRenderedPageBreak/>
        <w:t>有沒有打瞌睡或是超速、講手機</w:t>
      </w:r>
      <w:r w:rsidRPr="00C77E77">
        <w:rPr>
          <w:color w:val="auto"/>
          <w:sz w:val="28"/>
          <w:szCs w:val="28"/>
        </w:rPr>
        <w:t>…</w:t>
      </w:r>
      <w:r w:rsidRPr="00C77E77">
        <w:rPr>
          <w:color w:val="auto"/>
          <w:sz w:val="28"/>
          <w:szCs w:val="28"/>
        </w:rPr>
        <w:t>，再到車輛本身行為的監控，車速引擎轉速胎壓等。再把這些</w:t>
      </w:r>
      <w:r w:rsidRPr="00C77E77">
        <w:rPr>
          <w:color w:val="auto"/>
          <w:sz w:val="28"/>
          <w:szCs w:val="28"/>
        </w:rPr>
        <w:t>package</w:t>
      </w:r>
      <w:r w:rsidRPr="00C77E77">
        <w:rPr>
          <w:color w:val="auto"/>
          <w:sz w:val="28"/>
          <w:szCs w:val="28"/>
        </w:rPr>
        <w:t>透過各種方式來推廣銷售，這樣一套</w:t>
      </w:r>
      <w:r w:rsidRPr="00C77E77">
        <w:rPr>
          <w:color w:val="auto"/>
          <w:sz w:val="28"/>
          <w:szCs w:val="28"/>
        </w:rPr>
        <w:t>package</w:t>
      </w:r>
      <w:r w:rsidRPr="00C77E77">
        <w:rPr>
          <w:color w:val="auto"/>
          <w:sz w:val="28"/>
          <w:szCs w:val="28"/>
        </w:rPr>
        <w:t>要輸出就容易多了，而且</w:t>
      </w:r>
      <w:r w:rsidRPr="00C77E77">
        <w:rPr>
          <w:color w:val="auto"/>
          <w:sz w:val="28"/>
          <w:szCs w:val="28"/>
        </w:rPr>
        <w:t>know-how</w:t>
      </w:r>
      <w:r w:rsidRPr="00C77E77">
        <w:rPr>
          <w:color w:val="auto"/>
          <w:sz w:val="28"/>
          <w:szCs w:val="28"/>
        </w:rPr>
        <w:t>還是在臺灣手上。隨著東協與印度前往工業化的道路上，當地的政府都試著做一些有感的政策，譬如菲律賓要使港口現代化，泰國要提升觀光產業品質，馬來西亞促進物流，印度更大張旗鼓地搞</w:t>
      </w:r>
      <w:r w:rsidRPr="00C77E77">
        <w:rPr>
          <w:color w:val="auto"/>
          <w:sz w:val="28"/>
          <w:szCs w:val="28"/>
        </w:rPr>
        <w:t>Smart City</w:t>
      </w:r>
      <w:r w:rsidRPr="00C77E77">
        <w:rPr>
          <w:color w:val="auto"/>
          <w:sz w:val="28"/>
          <w:szCs w:val="28"/>
        </w:rPr>
        <w:t>，未來臺灣仍很有機會。</w:t>
      </w:r>
    </w:p>
    <w:p w:rsidR="00A93DC1" w:rsidRPr="00C77E77" w:rsidRDefault="00A93DC1" w:rsidP="0049558D">
      <w:pPr>
        <w:pStyle w:val="afe"/>
        <w:spacing w:beforeLines="50" w:before="180" w:afterLines="50" w:after="180" w:line="500" w:lineRule="exact"/>
        <w:ind w:leftChars="295" w:left="708" w:firstLine="560"/>
        <w:rPr>
          <w:color w:val="auto"/>
          <w:sz w:val="28"/>
          <w:szCs w:val="28"/>
        </w:rPr>
      </w:pPr>
      <w:r w:rsidRPr="00C77E77">
        <w:rPr>
          <w:sz w:val="28"/>
          <w:szCs w:val="28"/>
        </w:rPr>
        <w:t>新加坡發展智慧物流產業的模式是我國可效法對象。新加坡有亞洲最佳的物流配送與供應鏈系統，根據世界銀行物流表現指標（</w:t>
      </w:r>
      <w:r w:rsidRPr="00C77E77">
        <w:rPr>
          <w:sz w:val="28"/>
          <w:szCs w:val="28"/>
        </w:rPr>
        <w:t>World Bank’s Logistics Performance Index</w:t>
      </w:r>
      <w:r w:rsidRPr="00C77E77">
        <w:rPr>
          <w:sz w:val="28"/>
          <w:szCs w:val="28"/>
        </w:rPr>
        <w:t>），新加坡在全球貨物運輸以及快遞配送方面表現獨占鰲頭，在亞洲名列第一。其模式可以提供我國業者參考。</w:t>
      </w:r>
      <w:r w:rsidRPr="00C77E77">
        <w:rPr>
          <w:rStyle w:val="a9"/>
          <w:sz w:val="28"/>
          <w:szCs w:val="28"/>
        </w:rPr>
        <w:footnoteReference w:id="151"/>
      </w:r>
    </w:p>
    <w:p w:rsidR="00A93DC1" w:rsidRPr="00C77E77" w:rsidRDefault="00A93DC1" w:rsidP="001B02D4">
      <w:pPr>
        <w:pStyle w:val="afe"/>
        <w:spacing w:line="500" w:lineRule="exact"/>
        <w:ind w:leftChars="295" w:left="708" w:firstLine="560"/>
        <w:rPr>
          <w:color w:val="auto"/>
          <w:sz w:val="28"/>
          <w:szCs w:val="28"/>
        </w:rPr>
      </w:pPr>
      <w:r w:rsidRPr="00C77E77">
        <w:rPr>
          <w:sz w:val="28"/>
          <w:szCs w:val="28"/>
        </w:rPr>
        <w:t>我國智慧物流產業的</w:t>
      </w:r>
      <w:r w:rsidRPr="00C77E77">
        <w:rPr>
          <w:b/>
          <w:sz w:val="28"/>
          <w:szCs w:val="28"/>
        </w:rPr>
        <w:t>中期</w:t>
      </w:r>
      <w:r w:rsidRPr="00C77E77">
        <w:rPr>
          <w:sz w:val="28"/>
          <w:szCs w:val="28"/>
        </w:rPr>
        <w:t>策略應選擇有</w:t>
      </w:r>
      <w:r w:rsidR="00EB082E" w:rsidRPr="00C77E77">
        <w:rPr>
          <w:sz w:val="28"/>
          <w:szCs w:val="28"/>
        </w:rPr>
        <w:t>具</w:t>
      </w:r>
      <w:r w:rsidRPr="00C77E77">
        <w:rPr>
          <w:sz w:val="28"/>
          <w:szCs w:val="28"/>
        </w:rPr>
        <w:t>完善基礎設施及相關資訊及電子化整合平臺的國家</w:t>
      </w:r>
      <w:r w:rsidR="00770E4D" w:rsidRPr="00C77E77">
        <w:rPr>
          <w:sz w:val="28"/>
          <w:szCs w:val="28"/>
        </w:rPr>
        <w:t>，並針對個別地區或國家制定相關的行銷策略，</w:t>
      </w:r>
      <w:r w:rsidR="00EB082E" w:rsidRPr="00C77E77">
        <w:rPr>
          <w:sz w:val="28"/>
          <w:szCs w:val="28"/>
        </w:rPr>
        <w:t>深入</w:t>
      </w:r>
      <w:r w:rsidR="00770E4D" w:rsidRPr="00C77E77">
        <w:rPr>
          <w:sz w:val="28"/>
          <w:szCs w:val="28"/>
        </w:rPr>
        <w:t>熟悉當地文化進行宣傳，最後打入當地通路銷售，建立長期品牌銷售。目前</w:t>
      </w:r>
      <w:r w:rsidRPr="00C77E77">
        <w:rPr>
          <w:sz w:val="28"/>
          <w:szCs w:val="28"/>
        </w:rPr>
        <w:t>僅新加坡</w:t>
      </w:r>
      <w:r w:rsidRPr="00C77E77">
        <w:rPr>
          <w:color w:val="auto"/>
          <w:sz w:val="28"/>
          <w:szCs w:val="28"/>
        </w:rPr>
        <w:t>與汶萊道路鋪設程度趨近完整，以及馬來西亞</w:t>
      </w:r>
      <w:r w:rsidRPr="00C77E77">
        <w:rPr>
          <w:rFonts w:eastAsia="新細明體"/>
          <w:color w:val="auto"/>
          <w:sz w:val="28"/>
          <w:szCs w:val="28"/>
        </w:rPr>
        <w:t>、</w:t>
      </w:r>
      <w:r w:rsidRPr="00C77E77">
        <w:rPr>
          <w:color w:val="auto"/>
          <w:sz w:val="28"/>
          <w:szCs w:val="28"/>
        </w:rPr>
        <w:t>泰國與菲律賓鋪設近八成。</w:t>
      </w:r>
    </w:p>
    <w:p w:rsidR="00770E4D" w:rsidRPr="00C77E77" w:rsidRDefault="00770E4D" w:rsidP="00770E4D">
      <w:pPr>
        <w:pStyle w:val="afe"/>
        <w:spacing w:line="500" w:lineRule="exact"/>
        <w:ind w:leftChars="295" w:left="708" w:firstLine="560"/>
        <w:rPr>
          <w:color w:val="auto"/>
          <w:sz w:val="28"/>
          <w:szCs w:val="28"/>
        </w:rPr>
      </w:pPr>
    </w:p>
    <w:p w:rsidR="00770E4D" w:rsidRPr="00C77E77" w:rsidRDefault="00770E4D" w:rsidP="00770E4D">
      <w:pPr>
        <w:spacing w:line="276" w:lineRule="auto"/>
        <w:ind w:leftChars="295" w:left="710" w:hanging="2"/>
        <w:rPr>
          <w:rFonts w:ascii="Times New Roman" w:hAnsi="Times New Roman" w:cs="Times New Roman"/>
          <w:color w:val="002060"/>
        </w:rPr>
      </w:pPr>
      <w:r w:rsidRPr="00C77E77">
        <w:rPr>
          <w:rFonts w:ascii="Times New Roman" w:hAnsi="Times New Roman" w:cs="Times New Roman"/>
          <w:noProof/>
          <w:color w:val="002060"/>
        </w:rPr>
        <w:lastRenderedPageBreak/>
        <w:drawing>
          <wp:inline distT="0" distB="0" distL="0" distR="0" wp14:anchorId="45DAB287" wp14:editId="71FFC805">
            <wp:extent cx="5274310" cy="235839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358390"/>
                    </a:xfrm>
                    <a:prstGeom prst="rect">
                      <a:avLst/>
                    </a:prstGeom>
                  </pic:spPr>
                </pic:pic>
              </a:graphicData>
            </a:graphic>
          </wp:inline>
        </w:drawing>
      </w:r>
    </w:p>
    <w:p w:rsidR="00770E4D" w:rsidRPr="00C77E77" w:rsidRDefault="00770E4D" w:rsidP="00770E4D">
      <w:pPr>
        <w:pStyle w:val="af7"/>
      </w:pPr>
      <w:bookmarkStart w:id="151" w:name="_Toc464206784"/>
      <w:bookmarkStart w:id="152" w:name="_Toc470676651"/>
      <w:r w:rsidRPr="00C77E77">
        <w:t>圖</w:t>
      </w:r>
      <w:r w:rsidRPr="00C77E77">
        <w:t xml:space="preserve">5-2-2 </w:t>
      </w:r>
      <w:r w:rsidRPr="00C77E77">
        <w:t>東南亞十國道路建設完成比例</w:t>
      </w:r>
      <w:bookmarkEnd w:id="151"/>
      <w:bookmarkEnd w:id="152"/>
    </w:p>
    <w:p w:rsidR="00770E4D" w:rsidRPr="00C77E77" w:rsidRDefault="00770E4D" w:rsidP="00770E4D">
      <w:pPr>
        <w:spacing w:line="0" w:lineRule="atLeast"/>
        <w:ind w:leftChars="295" w:left="708"/>
        <w:jc w:val="center"/>
        <w:rPr>
          <w:rFonts w:ascii="Times New Roman" w:eastAsia="標楷體" w:hAnsi="Times New Roman" w:cs="Times New Roman"/>
          <w:szCs w:val="24"/>
        </w:rPr>
      </w:pPr>
      <w:r w:rsidRPr="00C77E77">
        <w:rPr>
          <w:rFonts w:ascii="Times New Roman" w:eastAsia="標楷體" w:hAnsi="Times New Roman" w:cs="Times New Roman"/>
          <w:szCs w:val="24"/>
        </w:rPr>
        <w:t>資料來源</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東協秘書處</w:t>
      </w:r>
      <w:r w:rsidRPr="00C77E77">
        <w:rPr>
          <w:rFonts w:ascii="Times New Roman" w:eastAsia="標楷體" w:hAnsi="Times New Roman" w:cs="Times New Roman"/>
          <w:szCs w:val="24"/>
        </w:rPr>
        <w:t>, ASEAN Economic Community Chartbook 2015</w:t>
      </w:r>
    </w:p>
    <w:p w:rsidR="00770E4D" w:rsidRPr="00C77E77" w:rsidRDefault="00770E4D" w:rsidP="00770E4D">
      <w:pPr>
        <w:spacing w:beforeLines="50" w:before="180" w:afterLines="50" w:after="180"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為東協和印度不同國家有不同的文化及民族、國情與發展環境差異，物流業者最常反映的就是進入市場的問題，包括語言還有通關法規障礙，因此對於當地市場及文化的研究是成功的重要關鍵因素。例如相關商品的宗教規範如東南亞商品須經過清真認證（</w:t>
      </w:r>
      <w:r w:rsidRPr="00C77E77">
        <w:rPr>
          <w:rFonts w:ascii="Times New Roman" w:eastAsia="標楷體" w:hAnsi="Times New Roman" w:cs="Times New Roman"/>
          <w:sz w:val="28"/>
          <w:szCs w:val="28"/>
        </w:rPr>
        <w:t>Halal Certification</w:t>
      </w:r>
      <w:r w:rsidRPr="00C77E77">
        <w:rPr>
          <w:rFonts w:ascii="Times New Roman" w:eastAsia="標楷體" w:hAnsi="Times New Roman" w:cs="Times New Roman"/>
          <w:sz w:val="28"/>
          <w:szCs w:val="28"/>
        </w:rPr>
        <w:t>），也是需要深入當地理解的內容。尤其傳統的貨運、進出口流程各國都有不同的規範及時程，搭配不同的當地關稅、清關結關等、法律規範等，都必須進行深度研究。一般出口都可以退稅，但電商量少併櫃，造成沒辦法退稅。</w:t>
      </w:r>
      <w:r w:rsidRPr="00C77E77">
        <w:rPr>
          <w:rStyle w:val="a9"/>
          <w:rFonts w:ascii="Times New Roman" w:eastAsia="標楷體" w:hAnsi="Times New Roman" w:cs="Times New Roman"/>
          <w:sz w:val="28"/>
          <w:szCs w:val="28"/>
        </w:rPr>
        <w:footnoteReference w:id="152"/>
      </w:r>
    </w:p>
    <w:p w:rsidR="00770E4D" w:rsidRPr="00C77E77" w:rsidRDefault="00770E4D" w:rsidP="00770E4D">
      <w:pPr>
        <w:spacing w:beforeLines="50" w:before="180" w:afterLines="50" w:after="180"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發展智慧物流必須選擇一個城市或國家深耕，先了解本身的競爭力強弱、如何切入市場能快速取得目標消費者的信任與購買。例如越南的物流要結合跨境電商來看，目前金流跟物流都有問題，銀行沒有連線，且習慣貨到付款；另外公路跟鐵路設施都很差。不過越南的地形狹長，整個國土都是海岸線，且政府正積極發展港口，未來仍具發展潛力。由於臺灣多數的中小企業資源極為有限，需與值得信賴的當地業者合作，不同的地方有不同的民俗風情，不同國家或城市的習性迥異。若能找到懂得當地熟悉物流運營的夥伴或網路行銷人員，將會</w:t>
      </w:r>
      <w:r w:rsidRPr="00C77E77">
        <w:rPr>
          <w:rFonts w:ascii="Times New Roman" w:eastAsia="標楷體" w:hAnsi="Times New Roman" w:cs="Times New Roman"/>
          <w:sz w:val="28"/>
          <w:szCs w:val="28"/>
        </w:rPr>
        <w:lastRenderedPageBreak/>
        <w:t>省下不少成本。例如印尼的臺商是找長榮跟華航的配合商進行冷鏈物流，不過印尼也有特殊的配送行業，最有名的是可以電話預約</w:t>
      </w:r>
      <w:r w:rsidRPr="00C77E77">
        <w:rPr>
          <w:rFonts w:ascii="Times New Roman" w:eastAsia="標楷體" w:hAnsi="Times New Roman" w:cs="Times New Roman"/>
          <w:sz w:val="28"/>
          <w:szCs w:val="28"/>
        </w:rPr>
        <w:t>Go-Jek</w:t>
      </w:r>
      <w:r w:rsidRPr="00C77E77">
        <w:rPr>
          <w:rFonts w:ascii="Times New Roman" w:eastAsia="標楷體" w:hAnsi="Times New Roman" w:cs="Times New Roman"/>
          <w:sz w:val="28"/>
          <w:szCs w:val="28"/>
        </w:rPr>
        <w:t>綠騎士軍團利用摩托車運送物品。</w:t>
      </w:r>
    </w:p>
    <w:p w:rsidR="00770E4D" w:rsidRPr="00C77E77" w:rsidRDefault="00770E4D" w:rsidP="00770E4D">
      <w:pPr>
        <w:spacing w:beforeLines="50" w:before="180" w:afterLines="50" w:after="180"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另以印度來說，物流預估在</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年會達到</w:t>
      </w:r>
      <w:r w:rsidRPr="00C77E77">
        <w:rPr>
          <w:rFonts w:ascii="Times New Roman" w:eastAsia="標楷體" w:hAnsi="Times New Roman" w:cs="Times New Roman"/>
          <w:sz w:val="28"/>
          <w:szCs w:val="28"/>
        </w:rPr>
        <w:t>300</w:t>
      </w:r>
      <w:r w:rsidRPr="00C77E77">
        <w:rPr>
          <w:rFonts w:ascii="Times New Roman" w:eastAsia="標楷體" w:hAnsi="Times New Roman" w:cs="Times New Roman"/>
          <w:sz w:val="28"/>
          <w:szCs w:val="28"/>
        </w:rPr>
        <w:t>億產值，冷凍運輸的物流在印度有需要，因為印度北方的農產和水果產量大，但因印度太大，據估計有六成的水果在在運送途中就變質壞掉了。因此水果、農產品、畜牧產品（肉類）的生鮮冷凍運輸是亟需發展的產業，或者作食品加工的產業。不過稅務、報關等問題比較複雜，加上運輸建設、倉儲等不夠完善，需要花時間長期投資。</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年聯強已取得印度當地</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通路商雷霆頓約三分之一的服務，是成功的案例。東立物流則針對印度位居世界第六大汽車生產國這點，計畫汽車物流的整備。</w:t>
      </w:r>
      <w:r w:rsidRPr="00C77E77">
        <w:rPr>
          <w:rStyle w:val="a9"/>
          <w:rFonts w:ascii="Times New Roman" w:eastAsia="標楷體" w:hAnsi="Times New Roman" w:cs="Times New Roman"/>
          <w:sz w:val="28"/>
          <w:szCs w:val="28"/>
        </w:rPr>
        <w:footnoteReference w:id="153"/>
      </w:r>
    </w:p>
    <w:p w:rsidR="0049558D" w:rsidRPr="00C77E77" w:rsidRDefault="00770E4D" w:rsidP="00770E4D">
      <w:pPr>
        <w:pStyle w:val="afe"/>
        <w:spacing w:beforeLines="50" w:before="180" w:afterLines="50" w:after="180" w:line="500" w:lineRule="exact"/>
        <w:ind w:leftChars="295" w:left="708" w:firstLine="561"/>
        <w:rPr>
          <w:sz w:val="28"/>
          <w:szCs w:val="28"/>
        </w:rPr>
      </w:pPr>
      <w:r w:rsidRPr="00C77E77">
        <w:rPr>
          <w:b/>
          <w:sz w:val="28"/>
          <w:szCs w:val="28"/>
        </w:rPr>
        <w:t>長期</w:t>
      </w:r>
      <w:r w:rsidR="00BA4068" w:rsidRPr="00C77E77">
        <w:rPr>
          <w:sz w:val="28"/>
          <w:szCs w:val="28"/>
        </w:rPr>
        <w:t>發展可著眼於</w:t>
      </w:r>
      <w:r w:rsidR="001B02D4" w:rsidRPr="00C77E77">
        <w:rPr>
          <w:sz w:val="28"/>
          <w:szCs w:val="28"/>
        </w:rPr>
        <w:t>越</w:t>
      </w:r>
      <w:r w:rsidR="001B02D4" w:rsidRPr="00C77E77">
        <w:rPr>
          <w:rFonts w:eastAsia="新細明體"/>
          <w:sz w:val="28"/>
          <w:szCs w:val="28"/>
        </w:rPr>
        <w:t>、</w:t>
      </w:r>
      <w:r w:rsidR="001B02D4" w:rsidRPr="00C77E77">
        <w:rPr>
          <w:sz w:val="28"/>
          <w:szCs w:val="28"/>
        </w:rPr>
        <w:t>柬</w:t>
      </w:r>
      <w:r w:rsidR="001B02D4" w:rsidRPr="00C77E77">
        <w:rPr>
          <w:rFonts w:eastAsia="新細明體"/>
          <w:sz w:val="28"/>
          <w:szCs w:val="28"/>
        </w:rPr>
        <w:t>、</w:t>
      </w:r>
      <w:r w:rsidR="001B02D4" w:rsidRPr="00C77E77">
        <w:rPr>
          <w:sz w:val="28"/>
          <w:szCs w:val="28"/>
        </w:rPr>
        <w:t>寮</w:t>
      </w:r>
      <w:r w:rsidR="001B02D4" w:rsidRPr="00C77E77">
        <w:rPr>
          <w:rFonts w:eastAsia="新細明體"/>
          <w:sz w:val="28"/>
          <w:szCs w:val="28"/>
        </w:rPr>
        <w:t>、</w:t>
      </w:r>
      <w:r w:rsidR="001B02D4" w:rsidRPr="00C77E77">
        <w:rPr>
          <w:sz w:val="28"/>
          <w:szCs w:val="28"/>
        </w:rPr>
        <w:t>緬四國之電力取得相對不便利，已影響其「世界銀行全</w:t>
      </w:r>
      <w:r w:rsidRPr="00C77E77">
        <w:rPr>
          <w:sz w:val="28"/>
          <w:szCs w:val="28"/>
        </w:rPr>
        <w:t>球經商環境評比」之排名，且</w:t>
      </w:r>
      <w:r w:rsidR="001B02D4" w:rsidRPr="00C77E77">
        <w:rPr>
          <w:sz w:val="28"/>
          <w:szCs w:val="28"/>
        </w:rPr>
        <w:t>越南</w:t>
      </w:r>
      <w:r w:rsidR="001B02D4" w:rsidRPr="00C77E77">
        <w:rPr>
          <w:rFonts w:eastAsia="新細明體"/>
          <w:sz w:val="28"/>
          <w:szCs w:val="28"/>
        </w:rPr>
        <w:t>、</w:t>
      </w:r>
      <w:r w:rsidR="001B02D4" w:rsidRPr="00C77E77">
        <w:rPr>
          <w:sz w:val="28"/>
          <w:szCs w:val="28"/>
        </w:rPr>
        <w:t>印度與緬甸仍有四成至五成道路未鋪設，遑論寮國與柬埔寨僅有不到兩成之道路鋪設。</w:t>
      </w:r>
      <w:r w:rsidRPr="00C77E77">
        <w:rPr>
          <w:sz w:val="28"/>
          <w:szCs w:val="28"/>
        </w:rPr>
        <w:t>我國可以協助</w:t>
      </w:r>
      <w:r w:rsidR="00F10B85" w:rsidRPr="00C77E77">
        <w:rPr>
          <w:sz w:val="28"/>
          <w:szCs w:val="28"/>
        </w:rPr>
        <w:t>這些國家</w:t>
      </w:r>
      <w:r w:rsidRPr="00C77E77">
        <w:rPr>
          <w:sz w:val="28"/>
          <w:szCs w:val="28"/>
        </w:rPr>
        <w:t>道路建設、電力設備、資通訊及網路等基礎建設。</w:t>
      </w:r>
    </w:p>
    <w:p w:rsidR="00CF013E" w:rsidRPr="00C77E77" w:rsidRDefault="00CF013E" w:rsidP="00770E4D">
      <w:pPr>
        <w:pStyle w:val="afe"/>
        <w:spacing w:beforeLines="50" w:before="180" w:afterLines="50" w:after="180" w:line="500" w:lineRule="exact"/>
        <w:ind w:leftChars="295" w:left="708" w:firstLine="560"/>
        <w:rPr>
          <w:sz w:val="28"/>
          <w:szCs w:val="28"/>
        </w:rPr>
      </w:pPr>
    </w:p>
    <w:p w:rsidR="00CF013E" w:rsidRPr="00C77E77" w:rsidRDefault="00CF013E" w:rsidP="00770E4D">
      <w:pPr>
        <w:pStyle w:val="afe"/>
        <w:spacing w:beforeLines="50" w:before="180" w:afterLines="50" w:after="180" w:line="500" w:lineRule="exact"/>
        <w:ind w:leftChars="295" w:left="708" w:firstLine="560"/>
        <w:rPr>
          <w:sz w:val="28"/>
          <w:szCs w:val="28"/>
        </w:rPr>
      </w:pPr>
    </w:p>
    <w:p w:rsidR="00CF013E" w:rsidRPr="00C77E77" w:rsidRDefault="00CF013E" w:rsidP="00770E4D">
      <w:pPr>
        <w:pStyle w:val="afe"/>
        <w:spacing w:beforeLines="50" w:before="180" w:afterLines="50" w:after="180" w:line="500" w:lineRule="exact"/>
        <w:ind w:leftChars="295" w:left="708" w:firstLine="560"/>
        <w:rPr>
          <w:sz w:val="28"/>
          <w:szCs w:val="28"/>
        </w:rPr>
      </w:pPr>
    </w:p>
    <w:p w:rsidR="00CF013E" w:rsidRPr="00C77E77" w:rsidRDefault="00CF013E" w:rsidP="00770E4D">
      <w:pPr>
        <w:pStyle w:val="afe"/>
        <w:spacing w:beforeLines="50" w:before="180" w:afterLines="50" w:after="180" w:line="500" w:lineRule="exact"/>
        <w:ind w:leftChars="295" w:left="708" w:firstLine="560"/>
        <w:rPr>
          <w:sz w:val="28"/>
          <w:szCs w:val="28"/>
        </w:rPr>
      </w:pPr>
    </w:p>
    <w:p w:rsidR="00CF013E" w:rsidRPr="00C77E77" w:rsidRDefault="00CF013E" w:rsidP="00770E4D">
      <w:pPr>
        <w:pStyle w:val="afe"/>
        <w:spacing w:beforeLines="50" w:before="180" w:afterLines="50" w:after="180" w:line="500" w:lineRule="exact"/>
        <w:ind w:leftChars="295" w:left="708" w:firstLine="560"/>
        <w:rPr>
          <w:sz w:val="28"/>
          <w:szCs w:val="28"/>
        </w:rPr>
      </w:pPr>
    </w:p>
    <w:p w:rsidR="00CF013E" w:rsidRPr="00C77E77" w:rsidRDefault="00CF013E" w:rsidP="00770E4D">
      <w:pPr>
        <w:pStyle w:val="afe"/>
        <w:spacing w:beforeLines="50" w:before="180" w:afterLines="50" w:after="180" w:line="500" w:lineRule="exact"/>
        <w:ind w:leftChars="295" w:left="708" w:firstLine="560"/>
        <w:rPr>
          <w:sz w:val="28"/>
          <w:szCs w:val="28"/>
        </w:rPr>
      </w:pPr>
    </w:p>
    <w:p w:rsidR="00CF013E" w:rsidRPr="00C77E77" w:rsidRDefault="00CF013E" w:rsidP="00770E4D">
      <w:pPr>
        <w:pStyle w:val="afe"/>
        <w:spacing w:beforeLines="50" w:before="180" w:afterLines="50" w:after="180" w:line="500" w:lineRule="exact"/>
        <w:ind w:leftChars="295" w:left="708" w:firstLine="560"/>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82"/>
        <w:gridCol w:w="4446"/>
      </w:tblGrid>
      <w:tr w:rsidR="001B02D4" w:rsidRPr="00C77E77" w:rsidTr="007B2796">
        <w:trPr>
          <w:trHeight w:val="168"/>
          <w:jc w:val="center"/>
        </w:trPr>
        <w:tc>
          <w:tcPr>
            <w:tcW w:w="5000" w:type="pct"/>
            <w:gridSpan w:val="2"/>
            <w:tcBorders>
              <w:top w:val="nil"/>
              <w:left w:val="nil"/>
              <w:bottom w:val="single" w:sz="4" w:space="0" w:color="auto"/>
              <w:right w:val="nil"/>
            </w:tcBorders>
          </w:tcPr>
          <w:p w:rsidR="001B02D4" w:rsidRPr="00C77E77" w:rsidRDefault="001B02D4" w:rsidP="00770E4D">
            <w:pPr>
              <w:pStyle w:val="af9"/>
              <w:spacing w:beforeLines="50" w:before="180"/>
            </w:pPr>
            <w:bookmarkStart w:id="153" w:name="_Toc467163692"/>
            <w:bookmarkStart w:id="154" w:name="_Toc470676615"/>
            <w:r w:rsidRPr="00C77E77">
              <w:lastRenderedPageBreak/>
              <w:t>表</w:t>
            </w:r>
            <w:r w:rsidRPr="00C77E77">
              <w:t>5-</w:t>
            </w:r>
            <w:r w:rsidR="009551A7" w:rsidRPr="00C77E77">
              <w:t>2</w:t>
            </w:r>
            <w:r w:rsidRPr="00C77E77">
              <w:t xml:space="preserve">-5 </w:t>
            </w:r>
            <w:r w:rsidRPr="00C77E77">
              <w:t>我國智慧物流產業南向發展之</w:t>
            </w:r>
            <w:r w:rsidRPr="00C77E77">
              <w:t>SWOT</w:t>
            </w:r>
            <w:r w:rsidRPr="00C77E77">
              <w:t>分析</w:t>
            </w:r>
            <w:bookmarkEnd w:id="153"/>
            <w:bookmarkEnd w:id="154"/>
          </w:p>
        </w:tc>
      </w:tr>
      <w:tr w:rsidR="009551A7" w:rsidRPr="00C77E77" w:rsidTr="007B2796">
        <w:trPr>
          <w:trHeight w:val="168"/>
          <w:jc w:val="center"/>
        </w:trPr>
        <w:tc>
          <w:tcPr>
            <w:tcW w:w="2642" w:type="pct"/>
            <w:tcBorders>
              <w:top w:val="single" w:sz="4" w:space="0" w:color="auto"/>
            </w:tcBorders>
          </w:tcPr>
          <w:p w:rsidR="001B02D4" w:rsidRPr="00C77E77" w:rsidRDefault="001B02D4" w:rsidP="00770E4D">
            <w:pPr>
              <w:autoSpaceDE w:val="0"/>
              <w:autoSpaceDN w:val="0"/>
              <w:adjustRightInd w:val="0"/>
              <w:spacing w:beforeLines="50" w:before="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優勢</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S</w:t>
            </w:r>
            <w:r w:rsidRPr="00C77E77">
              <w:rPr>
                <w:rFonts w:ascii="Times New Roman" w:eastAsia="標楷體" w:hAnsi="Times New Roman" w:cs="Times New Roman"/>
                <w:b/>
                <w:bCs/>
                <w:kern w:val="0"/>
                <w:szCs w:val="23"/>
              </w:rPr>
              <w:t>）</w:t>
            </w:r>
          </w:p>
        </w:tc>
        <w:tc>
          <w:tcPr>
            <w:tcW w:w="2358" w:type="pct"/>
            <w:tcBorders>
              <w:top w:val="single" w:sz="4" w:space="0" w:color="auto"/>
            </w:tcBorders>
          </w:tcPr>
          <w:p w:rsidR="001B02D4" w:rsidRPr="00C77E77" w:rsidRDefault="001B02D4" w:rsidP="00770E4D">
            <w:pPr>
              <w:autoSpaceDE w:val="0"/>
              <w:autoSpaceDN w:val="0"/>
              <w:adjustRightInd w:val="0"/>
              <w:spacing w:beforeLines="50" w:before="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劣勢</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W</w:t>
            </w:r>
            <w:r w:rsidRPr="00C77E77">
              <w:rPr>
                <w:rFonts w:ascii="Times New Roman" w:eastAsia="標楷體" w:hAnsi="Times New Roman" w:cs="Times New Roman"/>
                <w:b/>
                <w:bCs/>
                <w:kern w:val="0"/>
                <w:szCs w:val="23"/>
              </w:rPr>
              <w:t>）</w:t>
            </w:r>
          </w:p>
        </w:tc>
      </w:tr>
      <w:tr w:rsidR="009551A7" w:rsidRPr="00C77E77" w:rsidTr="007B2796">
        <w:trPr>
          <w:trHeight w:hRule="exact" w:val="4033"/>
          <w:jc w:val="center"/>
        </w:trPr>
        <w:tc>
          <w:tcPr>
            <w:tcW w:w="2642" w:type="pct"/>
          </w:tcPr>
          <w:p w:rsidR="001B02D4"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物流基礎建設為現今經濟規模大的國家成長的重要指標，臺灣物流業具有國際競爭力。</w:t>
            </w:r>
            <w:r w:rsidRPr="00C77E77">
              <w:rPr>
                <w:rFonts w:ascii="Times New Roman" w:eastAsia="標楷體" w:hAnsi="Times New Roman" w:cs="Times New Roman"/>
                <w:kern w:val="0"/>
                <w:szCs w:val="23"/>
              </w:rPr>
              <w:t>2014</w:t>
            </w:r>
            <w:r w:rsidRPr="00C77E77">
              <w:rPr>
                <w:rFonts w:ascii="Times New Roman" w:eastAsia="標楷體" w:hAnsi="Times New Roman" w:cs="Times New Roman"/>
                <w:kern w:val="0"/>
                <w:szCs w:val="23"/>
              </w:rPr>
              <w:t>年</w:t>
            </w:r>
            <w:r w:rsidRPr="00C77E77">
              <w:rPr>
                <w:rFonts w:ascii="Times New Roman" w:eastAsia="標楷體" w:hAnsi="Times New Roman" w:cs="Times New Roman"/>
                <w:kern w:val="0"/>
                <w:szCs w:val="23"/>
              </w:rPr>
              <w:t>World Bank</w:t>
            </w:r>
            <w:r w:rsidRPr="00C77E77">
              <w:rPr>
                <w:rFonts w:ascii="Times New Roman" w:eastAsia="標楷體" w:hAnsi="Times New Roman" w:cs="Times New Roman"/>
                <w:kern w:val="0"/>
                <w:szCs w:val="23"/>
              </w:rPr>
              <w:t>公布之</w:t>
            </w:r>
            <w:r w:rsidRPr="00C77E77">
              <w:rPr>
                <w:rFonts w:ascii="Times New Roman" w:eastAsia="標楷體" w:hAnsi="Times New Roman" w:cs="Times New Roman"/>
                <w:kern w:val="0"/>
                <w:szCs w:val="23"/>
              </w:rPr>
              <w:t>LPI</w:t>
            </w:r>
            <w:r w:rsidRPr="00C77E77">
              <w:rPr>
                <w:rFonts w:ascii="Times New Roman" w:eastAsia="標楷體" w:hAnsi="Times New Roman" w:cs="Times New Roman"/>
                <w:kern w:val="0"/>
                <w:szCs w:val="23"/>
              </w:rPr>
              <w:t>指數，臺灣排名第</w:t>
            </w:r>
            <w:r w:rsidRPr="00C77E77">
              <w:rPr>
                <w:rFonts w:ascii="Times New Roman" w:eastAsia="標楷體" w:hAnsi="Times New Roman" w:cs="Times New Roman"/>
                <w:kern w:val="0"/>
                <w:szCs w:val="23"/>
              </w:rPr>
              <w:t>19</w:t>
            </w:r>
            <w:r w:rsidRPr="00C77E77">
              <w:rPr>
                <w:rFonts w:ascii="Times New Roman" w:eastAsia="標楷體" w:hAnsi="Times New Roman" w:cs="Times New Roman"/>
                <w:kern w:val="0"/>
                <w:szCs w:val="23"/>
              </w:rPr>
              <w:t>名。</w:t>
            </w:r>
          </w:p>
          <w:p w:rsidR="001B02D4"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•2016</w:t>
            </w:r>
            <w:r w:rsidRPr="00C77E77">
              <w:rPr>
                <w:rFonts w:ascii="Times New Roman" w:eastAsia="標楷體" w:hAnsi="Times New Roman" w:cs="Times New Roman"/>
                <w:kern w:val="0"/>
                <w:szCs w:val="23"/>
              </w:rPr>
              <w:t>年中菲行為唯一名列</w:t>
            </w:r>
            <w:r w:rsidRPr="00C77E77">
              <w:rPr>
                <w:rFonts w:ascii="Times New Roman" w:eastAsia="標楷體" w:hAnsi="Times New Roman" w:cs="Times New Roman"/>
                <w:sz w:val="28"/>
                <w:szCs w:val="28"/>
              </w:rPr>
              <w:t>A&amp;A</w:t>
            </w:r>
            <w:r w:rsidRPr="00C77E77">
              <w:rPr>
                <w:rFonts w:ascii="Times New Roman" w:eastAsia="標楷體" w:hAnsi="Times New Roman" w:cs="Times New Roman"/>
                <w:kern w:val="0"/>
                <w:szCs w:val="23"/>
              </w:rPr>
              <w:t>「亞太第三方物流前十強」排行榜；另外嘉里大榮在東南亞有</w:t>
            </w:r>
            <w:r w:rsidRPr="00C77E77">
              <w:rPr>
                <w:rFonts w:ascii="Times New Roman" w:eastAsia="標楷體" w:hAnsi="Times New Roman" w:cs="Times New Roman"/>
                <w:kern w:val="0"/>
                <w:szCs w:val="23"/>
              </w:rPr>
              <w:t>9</w:t>
            </w:r>
            <w:r w:rsidRPr="00C77E77">
              <w:rPr>
                <w:rFonts w:ascii="Times New Roman" w:eastAsia="標楷體" w:hAnsi="Times New Roman" w:cs="Times New Roman"/>
                <w:kern w:val="0"/>
                <w:szCs w:val="23"/>
              </w:rPr>
              <w:t>處實體通路，都有低溫冷藏配送設施；</w:t>
            </w:r>
            <w:r w:rsidR="00FD0D5A" w:rsidRPr="00C77E77">
              <w:rPr>
                <w:rFonts w:ascii="Times New Roman" w:eastAsia="標楷體" w:hAnsi="Times New Roman" w:cs="Times New Roman"/>
                <w:kern w:val="0"/>
                <w:szCs w:val="23"/>
              </w:rPr>
              <w:t>臺</w:t>
            </w:r>
            <w:r w:rsidRPr="00C77E77">
              <w:rPr>
                <w:rFonts w:ascii="Times New Roman" w:eastAsia="標楷體" w:hAnsi="Times New Roman" w:cs="Times New Roman"/>
                <w:kern w:val="0"/>
                <w:szCs w:val="23"/>
              </w:rPr>
              <w:t>北港國際物流股份有限公司創立海運快遞業務，為臺灣第一家業者。</w:t>
            </w:r>
          </w:p>
        </w:tc>
        <w:tc>
          <w:tcPr>
            <w:tcW w:w="2358" w:type="pct"/>
          </w:tcPr>
          <w:p w:rsidR="001B02D4"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有鑑於電子商務的蓬勃發展，在跨境電商中，物流的繁瑣與極度不透明，往往被認為是最複雜的一環。甚至因為國際物流的環境複雜，還會涉及到越來越多的國家安全問題。</w:t>
            </w:r>
          </w:p>
          <w:p w:rsidR="001B02D4"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由於臺灣傳統物流企業的資訊化管理程度較低，無法實現物流組織效率和管理方法的提升。對利潤不高的物流產業而言，成本考量是業者導入智慧物流的另一障礙。</w:t>
            </w:r>
          </w:p>
        </w:tc>
      </w:tr>
      <w:tr w:rsidR="009551A7" w:rsidRPr="00C77E77" w:rsidTr="007B2796">
        <w:trPr>
          <w:trHeight w:val="168"/>
          <w:jc w:val="center"/>
        </w:trPr>
        <w:tc>
          <w:tcPr>
            <w:tcW w:w="2642" w:type="pct"/>
          </w:tcPr>
          <w:p w:rsidR="001B02D4" w:rsidRPr="00C77E77" w:rsidRDefault="001B02D4" w:rsidP="00770E4D">
            <w:pPr>
              <w:autoSpaceDE w:val="0"/>
              <w:autoSpaceDN w:val="0"/>
              <w:adjustRightInd w:val="0"/>
              <w:spacing w:beforeLines="50" w:before="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2358" w:type="pct"/>
          </w:tcPr>
          <w:p w:rsidR="001B02D4" w:rsidRPr="00C77E77" w:rsidRDefault="001B02D4" w:rsidP="00770E4D">
            <w:pPr>
              <w:autoSpaceDE w:val="0"/>
              <w:autoSpaceDN w:val="0"/>
              <w:adjustRightInd w:val="0"/>
              <w:spacing w:beforeLines="50" w:before="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9551A7" w:rsidRPr="00C77E77" w:rsidTr="007B2796">
        <w:trPr>
          <w:trHeight w:val="984"/>
          <w:jc w:val="center"/>
        </w:trPr>
        <w:tc>
          <w:tcPr>
            <w:tcW w:w="2642" w:type="pct"/>
            <w:tcBorders>
              <w:bottom w:val="single" w:sz="4" w:space="0" w:color="auto"/>
            </w:tcBorders>
          </w:tcPr>
          <w:p w:rsidR="001B02D4"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在東南亞電子商務市場快速崛起的環境下，第三方物流公司成為了最大受惠者。</w:t>
            </w:r>
          </w:p>
          <w:p w:rsidR="001B02D4"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最有發展潛力的是印尼：印尼受限於支離破碎的地理形勢，曾是物流市場的噩夢，但是因電商的崛起讓當地百姓可以足不出戶的購物，現在印尼成為各物流公司競相爭奪之地</w:t>
            </w:r>
          </w:p>
        </w:tc>
        <w:tc>
          <w:tcPr>
            <w:tcW w:w="2358" w:type="pct"/>
            <w:tcBorders>
              <w:bottom w:val="single" w:sz="4" w:space="0" w:color="auto"/>
            </w:tcBorders>
          </w:tcPr>
          <w:p w:rsidR="009551A7"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雲端平</w:t>
            </w:r>
            <w:r w:rsidR="00FD0D5A" w:rsidRPr="00C77E77">
              <w:rPr>
                <w:rFonts w:ascii="Times New Roman" w:eastAsia="標楷體" w:hAnsi="Times New Roman" w:cs="Times New Roman"/>
                <w:kern w:val="0"/>
                <w:szCs w:val="23"/>
              </w:rPr>
              <w:t>臺</w:t>
            </w:r>
            <w:r w:rsidRPr="00C77E77">
              <w:rPr>
                <w:rFonts w:ascii="Times New Roman" w:eastAsia="標楷體" w:hAnsi="Times New Roman" w:cs="Times New Roman"/>
                <w:kern w:val="0"/>
                <w:szCs w:val="23"/>
              </w:rPr>
              <w:t>雖然對於全球物流業有很大的幫助，但東南亞每個地區的網路發展並不一致。</w:t>
            </w:r>
          </w:p>
          <w:p w:rsidR="001B02D4"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東南亞人習慣的貨到付款，但是對於商家來說，風險太大。許多新興電商都把通過實體店面取件、付款和寄件視為解決之道。</w:t>
            </w:r>
          </w:p>
          <w:p w:rsidR="001B02D4" w:rsidRPr="00C77E77" w:rsidRDefault="001B02D4" w:rsidP="00770E4D">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印尼雖然市場潛力大，但各國在此競爭激烈，是兵家必爭之地，其中最強勢的對手是新加坡。</w:t>
            </w:r>
          </w:p>
        </w:tc>
      </w:tr>
    </w:tbl>
    <w:p w:rsidR="001B02D4" w:rsidRPr="00C77E77" w:rsidRDefault="009551A7" w:rsidP="001B02D4">
      <w:pPr>
        <w:pStyle w:val="ab"/>
        <w:spacing w:line="500" w:lineRule="exact"/>
        <w:ind w:leftChars="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p>
    <w:p w:rsidR="006B7011" w:rsidRPr="00C77E77" w:rsidRDefault="006B7011" w:rsidP="001B02D4">
      <w:pPr>
        <w:pStyle w:val="ab"/>
        <w:spacing w:line="500" w:lineRule="exact"/>
        <w:ind w:leftChars="0" w:left="720"/>
        <w:rPr>
          <w:rFonts w:ascii="Times New Roman" w:eastAsia="標楷體" w:hAnsi="Times New Roman" w:cs="Times New Roman"/>
          <w:b/>
          <w:sz w:val="28"/>
          <w:szCs w:val="28"/>
        </w:rPr>
      </w:pPr>
    </w:p>
    <w:p w:rsidR="001B02D4" w:rsidRPr="00C77E77" w:rsidRDefault="001B02D4" w:rsidP="001B02D4">
      <w:pPr>
        <w:pStyle w:val="ab"/>
        <w:numPr>
          <w:ilvl w:val="0"/>
          <w:numId w:val="31"/>
        </w:numPr>
        <w:spacing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雲端系統</w:t>
      </w:r>
    </w:p>
    <w:p w:rsidR="00920047" w:rsidRPr="00C77E77" w:rsidRDefault="00920047" w:rsidP="00920047">
      <w:pPr>
        <w:pStyle w:val="ab"/>
        <w:widowControl/>
        <w:spacing w:line="500" w:lineRule="exact"/>
        <w:ind w:leftChars="0" w:left="708" w:firstLine="480"/>
        <w:jc w:val="both"/>
        <w:rPr>
          <w:rFonts w:ascii="Times New Roman" w:eastAsia="標楷體" w:hAnsi="Times New Roman" w:cs="Times New Roman"/>
          <w:kern w:val="0"/>
          <w:sz w:val="28"/>
          <w:szCs w:val="28"/>
        </w:rPr>
      </w:pPr>
      <w:r w:rsidRPr="00C77E77">
        <w:rPr>
          <w:rFonts w:ascii="Times New Roman" w:eastAsia="標楷體" w:hAnsi="Times New Roman" w:cs="Times New Roman"/>
          <w:kern w:val="0"/>
          <w:sz w:val="28"/>
          <w:szCs w:val="28"/>
        </w:rPr>
        <w:t>相較於全球市場，臺灣雲端產值雖然不高，但卻已經發展出完整的產業供應鏈，投入</w:t>
      </w:r>
      <w:r w:rsidRPr="00C77E77">
        <w:rPr>
          <w:rFonts w:ascii="Times New Roman" w:eastAsia="標楷體" w:hAnsi="Times New Roman" w:cs="Times New Roman"/>
          <w:kern w:val="0"/>
          <w:sz w:val="28"/>
          <w:szCs w:val="28"/>
        </w:rPr>
        <w:t>IaaS</w:t>
      </w:r>
      <w:r w:rsidRPr="00C77E77">
        <w:rPr>
          <w:rFonts w:ascii="Times New Roman" w:eastAsia="標楷體" w:hAnsi="Times New Roman" w:cs="Times New Roman"/>
          <w:kern w:val="0"/>
          <w:sz w:val="28"/>
          <w:szCs w:val="28"/>
        </w:rPr>
        <w:t>、</w:t>
      </w:r>
      <w:r w:rsidRPr="00C77E77">
        <w:rPr>
          <w:rFonts w:ascii="Times New Roman" w:eastAsia="標楷體" w:hAnsi="Times New Roman" w:cs="Times New Roman"/>
          <w:kern w:val="0"/>
          <w:sz w:val="28"/>
          <w:szCs w:val="28"/>
        </w:rPr>
        <w:t>PaaS</w:t>
      </w:r>
      <w:r w:rsidRPr="00C77E77">
        <w:rPr>
          <w:rFonts w:ascii="Times New Roman" w:eastAsia="標楷體" w:hAnsi="Times New Roman" w:cs="Times New Roman"/>
          <w:kern w:val="0"/>
          <w:sz w:val="28"/>
          <w:szCs w:val="28"/>
        </w:rPr>
        <w:t>、</w:t>
      </w:r>
      <w:r w:rsidRPr="00C77E77">
        <w:rPr>
          <w:rFonts w:ascii="Times New Roman" w:eastAsia="標楷體" w:hAnsi="Times New Roman" w:cs="Times New Roman"/>
          <w:kern w:val="0"/>
          <w:sz w:val="28"/>
          <w:szCs w:val="28"/>
        </w:rPr>
        <w:t>SaaS</w:t>
      </w:r>
      <w:r w:rsidRPr="00C77E77">
        <w:rPr>
          <w:rFonts w:ascii="Times New Roman" w:eastAsia="標楷體" w:hAnsi="Times New Roman" w:cs="Times New Roman"/>
          <w:kern w:val="0"/>
          <w:sz w:val="28"/>
          <w:szCs w:val="28"/>
        </w:rPr>
        <w:t>或雲資訊安全的廠商都非常多。臺灣具備良好的雲端運算發展環境，在世界經濟論壇（</w:t>
      </w:r>
      <w:r w:rsidRPr="00C77E77">
        <w:rPr>
          <w:rFonts w:ascii="Times New Roman" w:eastAsia="標楷體" w:hAnsi="Times New Roman" w:cs="Times New Roman"/>
          <w:kern w:val="0"/>
          <w:sz w:val="28"/>
          <w:szCs w:val="28"/>
        </w:rPr>
        <w:t>WEF</w:t>
      </w:r>
      <w:r w:rsidRPr="00C77E77">
        <w:rPr>
          <w:rFonts w:ascii="Times New Roman" w:eastAsia="標楷體" w:hAnsi="Times New Roman" w:cs="Times New Roman"/>
          <w:kern w:val="0"/>
          <w:sz w:val="28"/>
          <w:szCs w:val="28"/>
        </w:rPr>
        <w:t>）寬頻網路整備度的國際評比中，位居全球前茅。然而，現階段雲端服務仍侷</w:t>
      </w:r>
      <w:r w:rsidRPr="00C77E77">
        <w:rPr>
          <w:rFonts w:ascii="Times New Roman" w:eastAsia="標楷體" w:hAnsi="Times New Roman" w:cs="Times New Roman"/>
          <w:kern w:val="0"/>
          <w:sz w:val="28"/>
          <w:szCs w:val="28"/>
        </w:rPr>
        <w:lastRenderedPageBreak/>
        <w:t>限在臺灣市場，但臺灣市場畢竟有限，有鑑於電信業者或軟體服務商應該積極尋找將雲端服務延伸到全球市場的機會。</w:t>
      </w:r>
    </w:p>
    <w:p w:rsidR="00920047" w:rsidRPr="00C77E77" w:rsidRDefault="001B02D4" w:rsidP="001B02D4">
      <w:pPr>
        <w:widowControl/>
        <w:spacing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雲端系統產業</w:t>
      </w:r>
      <w:r w:rsidR="008A3C59" w:rsidRPr="00C77E77">
        <w:rPr>
          <w:rFonts w:ascii="Times New Roman" w:eastAsia="標楷體" w:hAnsi="Times New Roman" w:cs="Times New Roman"/>
          <w:color w:val="000000" w:themeColor="text1"/>
          <w:sz w:val="28"/>
          <w:szCs w:val="28"/>
        </w:rPr>
        <w:t>的</w:t>
      </w:r>
      <w:r w:rsidR="008A3C59" w:rsidRPr="00C77E77">
        <w:rPr>
          <w:rFonts w:ascii="Times New Roman" w:eastAsia="標楷體" w:hAnsi="Times New Roman" w:cs="Times New Roman"/>
          <w:b/>
          <w:color w:val="000000" w:themeColor="text1"/>
          <w:sz w:val="28"/>
          <w:szCs w:val="28"/>
        </w:rPr>
        <w:t>短期</w:t>
      </w:r>
      <w:r w:rsidR="008A3C59" w:rsidRPr="00C77E77">
        <w:rPr>
          <w:rFonts w:ascii="Times New Roman" w:eastAsia="標楷體" w:hAnsi="Times New Roman" w:cs="Times New Roman"/>
          <w:color w:val="000000" w:themeColor="text1"/>
          <w:sz w:val="28"/>
          <w:szCs w:val="28"/>
        </w:rPr>
        <w:t>推動策略，應選擇</w:t>
      </w:r>
      <w:r w:rsidRPr="00C77E77">
        <w:rPr>
          <w:rFonts w:ascii="Times New Roman" w:eastAsia="標楷體" w:hAnsi="Times New Roman" w:cs="Times New Roman"/>
          <w:color w:val="000000" w:themeColor="text1"/>
          <w:sz w:val="28"/>
          <w:szCs w:val="28"/>
        </w:rPr>
        <w:t>電力供應</w:t>
      </w:r>
      <w:r w:rsidR="008A3C59" w:rsidRPr="00C77E77">
        <w:rPr>
          <w:rFonts w:ascii="Times New Roman" w:eastAsia="標楷體" w:hAnsi="Times New Roman" w:cs="Times New Roman"/>
          <w:color w:val="000000" w:themeColor="text1"/>
          <w:sz w:val="28"/>
          <w:szCs w:val="28"/>
        </w:rPr>
        <w:t>相對穩定、</w:t>
      </w:r>
      <w:r w:rsidRPr="00C77E77">
        <w:rPr>
          <w:rFonts w:ascii="Times New Roman" w:eastAsia="標楷體" w:hAnsi="Times New Roman" w:cs="Times New Roman"/>
          <w:color w:val="000000" w:themeColor="text1"/>
          <w:sz w:val="28"/>
          <w:szCs w:val="28"/>
        </w:rPr>
        <w:t>地區連網</w:t>
      </w:r>
      <w:r w:rsidR="008A3C59" w:rsidRPr="00C77E77">
        <w:rPr>
          <w:rFonts w:ascii="Times New Roman" w:eastAsia="標楷體" w:hAnsi="Times New Roman" w:cs="Times New Roman"/>
          <w:color w:val="000000" w:themeColor="text1"/>
          <w:sz w:val="28"/>
          <w:szCs w:val="28"/>
        </w:rPr>
        <w:t>品質及</w:t>
      </w:r>
      <w:r w:rsidRPr="00C77E77">
        <w:rPr>
          <w:rFonts w:ascii="Times New Roman" w:eastAsia="標楷體" w:hAnsi="Times New Roman" w:cs="Times New Roman"/>
          <w:color w:val="000000" w:themeColor="text1"/>
          <w:sz w:val="28"/>
          <w:szCs w:val="28"/>
        </w:rPr>
        <w:t>頻寬</w:t>
      </w:r>
      <w:r w:rsidR="008A3C59" w:rsidRPr="00C77E77">
        <w:rPr>
          <w:rFonts w:ascii="Times New Roman" w:eastAsia="標楷體" w:hAnsi="Times New Roman" w:cs="Times New Roman"/>
          <w:color w:val="000000" w:themeColor="text1"/>
          <w:sz w:val="28"/>
          <w:szCs w:val="28"/>
        </w:rPr>
        <w:t>較佳，同時</w:t>
      </w:r>
      <w:r w:rsidRPr="00C77E77">
        <w:rPr>
          <w:rFonts w:ascii="Times New Roman" w:eastAsia="標楷體" w:hAnsi="Times New Roman" w:cs="Times New Roman"/>
          <w:color w:val="000000" w:themeColor="text1"/>
          <w:sz w:val="28"/>
          <w:szCs w:val="28"/>
        </w:rPr>
        <w:t>電子化政府</w:t>
      </w:r>
      <w:r w:rsidR="008A3C59" w:rsidRPr="00C77E77">
        <w:rPr>
          <w:rFonts w:ascii="Times New Roman" w:eastAsia="標楷體" w:hAnsi="Times New Roman" w:cs="Times New Roman"/>
          <w:color w:val="000000" w:themeColor="text1"/>
          <w:sz w:val="28"/>
          <w:szCs w:val="28"/>
        </w:rPr>
        <w:t>發展程度較高之</w:t>
      </w:r>
      <w:r w:rsidR="00841510" w:rsidRPr="00C77E77">
        <w:rPr>
          <w:rFonts w:ascii="Times New Roman" w:eastAsia="標楷體" w:hAnsi="Times New Roman" w:cs="Times New Roman"/>
          <w:color w:val="000000" w:themeColor="text1"/>
          <w:sz w:val="28"/>
          <w:szCs w:val="28"/>
        </w:rPr>
        <w:t>新加坡、馬來西亞、泰國、菲</w:t>
      </w:r>
      <w:r w:rsidR="00841510" w:rsidRPr="00C77E77">
        <w:rPr>
          <w:rFonts w:ascii="Times New Roman" w:eastAsia="標楷體" w:hAnsi="Times New Roman" w:cs="Times New Roman"/>
          <w:sz w:val="28"/>
          <w:szCs w:val="28"/>
        </w:rPr>
        <w:t>律賓、印尼</w:t>
      </w:r>
      <w:r w:rsidR="00920047" w:rsidRPr="00C77E77">
        <w:rPr>
          <w:rFonts w:ascii="Times New Roman" w:eastAsia="標楷體" w:hAnsi="Times New Roman" w:cs="Times New Roman"/>
          <w:sz w:val="28"/>
          <w:szCs w:val="28"/>
        </w:rPr>
        <w:t>等國</w:t>
      </w:r>
      <w:r w:rsidR="00841510" w:rsidRPr="00C77E77">
        <w:rPr>
          <w:rFonts w:ascii="Times New Roman" w:eastAsia="標楷體" w:hAnsi="Times New Roman" w:cs="Times New Roman"/>
          <w:sz w:val="28"/>
          <w:szCs w:val="28"/>
        </w:rPr>
        <w:t>，這些國家</w:t>
      </w:r>
      <w:r w:rsidR="00920047" w:rsidRPr="00C77E77">
        <w:rPr>
          <w:rFonts w:ascii="Times New Roman" w:eastAsia="標楷體" w:hAnsi="Times New Roman" w:cs="Times New Roman"/>
          <w:sz w:val="28"/>
          <w:szCs w:val="28"/>
        </w:rPr>
        <w:t>在</w:t>
      </w:r>
      <w:r w:rsidRPr="00C77E77">
        <w:rPr>
          <w:rFonts w:ascii="Times New Roman" w:eastAsia="標楷體" w:hAnsi="Times New Roman" w:cs="Times New Roman"/>
          <w:sz w:val="28"/>
          <w:szCs w:val="28"/>
        </w:rPr>
        <w:t>世界銀行</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月發布之「</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年全球經商環境報告」</w:t>
      </w:r>
      <w:r w:rsidR="00920047" w:rsidRPr="00C77E77">
        <w:rPr>
          <w:rFonts w:ascii="Times New Roman" w:eastAsia="標楷體" w:hAnsi="Times New Roman" w:cs="Times New Roman"/>
          <w:sz w:val="28"/>
          <w:szCs w:val="28"/>
        </w:rPr>
        <w:t>中的「電力取得」方面便利度</w:t>
      </w:r>
      <w:r w:rsidR="00841510" w:rsidRPr="00C77E77">
        <w:rPr>
          <w:rFonts w:ascii="Times New Roman" w:eastAsia="標楷體" w:hAnsi="Times New Roman" w:cs="Times New Roman"/>
          <w:sz w:val="28"/>
          <w:szCs w:val="28"/>
        </w:rPr>
        <w:t>皆</w:t>
      </w:r>
      <w:r w:rsidR="00920047" w:rsidRPr="00C77E77">
        <w:rPr>
          <w:rFonts w:ascii="Times New Roman" w:eastAsia="標楷體" w:hAnsi="Times New Roman" w:cs="Times New Roman"/>
          <w:sz w:val="28"/>
          <w:szCs w:val="28"/>
        </w:rPr>
        <w:t>排名前</w:t>
      </w:r>
      <w:r w:rsidR="00920047" w:rsidRPr="00C77E77">
        <w:rPr>
          <w:rFonts w:ascii="Times New Roman" w:eastAsia="標楷體" w:hAnsi="Times New Roman" w:cs="Times New Roman"/>
          <w:sz w:val="28"/>
          <w:szCs w:val="28"/>
        </w:rPr>
        <w:t>25</w:t>
      </w:r>
      <w:r w:rsidR="00920047"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vertAlign w:val="superscript"/>
        </w:rPr>
        <w:footnoteReference w:id="154"/>
      </w:r>
      <w:r w:rsidR="00920047" w:rsidRPr="00C77E77">
        <w:rPr>
          <w:rFonts w:ascii="Times New Roman" w:eastAsia="標楷體" w:hAnsi="Times New Roman" w:cs="Times New Roman"/>
          <w:sz w:val="28"/>
          <w:szCs w:val="28"/>
        </w:rPr>
        <w:t>尤其新加坡的雲端系統和電子化政府發展</w:t>
      </w:r>
      <w:r w:rsidR="00841510" w:rsidRPr="00C77E77">
        <w:rPr>
          <w:rFonts w:ascii="Times New Roman" w:eastAsia="標楷體" w:hAnsi="Times New Roman" w:cs="Times New Roman"/>
          <w:sz w:val="28"/>
          <w:szCs w:val="28"/>
        </w:rPr>
        <w:t>俱</w:t>
      </w:r>
      <w:r w:rsidR="00920047" w:rsidRPr="00C77E77">
        <w:rPr>
          <w:rFonts w:ascii="Times New Roman" w:eastAsia="標楷體" w:hAnsi="Times New Roman" w:cs="Times New Roman"/>
          <w:sz w:val="28"/>
          <w:szCs w:val="28"/>
        </w:rPr>
        <w:t>已非常成熟。</w:t>
      </w:r>
      <w:r w:rsidR="00841510" w:rsidRPr="00C77E77">
        <w:rPr>
          <w:rFonts w:ascii="Times New Roman" w:eastAsia="標楷體" w:hAnsi="Times New Roman" w:cs="Times New Roman"/>
          <w:sz w:val="28"/>
          <w:szCs w:val="28"/>
        </w:rPr>
        <w:t>發展</w:t>
      </w:r>
      <w:r w:rsidR="00E025B9" w:rsidRPr="00C77E77">
        <w:rPr>
          <w:rFonts w:ascii="Times New Roman" w:eastAsia="標楷體" w:hAnsi="Times New Roman" w:cs="Times New Roman"/>
          <w:kern w:val="0"/>
          <w:sz w:val="28"/>
          <w:szCs w:val="28"/>
        </w:rPr>
        <w:t>廠商之間的異業結盟是佈局全球市場的關鍵，可</w:t>
      </w:r>
      <w:r w:rsidR="00E025B9" w:rsidRPr="00C77E77">
        <w:rPr>
          <w:rFonts w:ascii="Times New Roman" w:eastAsia="標楷體" w:hAnsi="Times New Roman" w:cs="Times New Roman"/>
          <w:sz w:val="28"/>
          <w:szCs w:val="28"/>
        </w:rPr>
        <w:t>藉由即時性資料加強對於顧客的了解，增進各領域的客製化服務。</w:t>
      </w:r>
    </w:p>
    <w:p w:rsidR="00E025B9" w:rsidRPr="00C77E77" w:rsidRDefault="00E025B9" w:rsidP="00D869BC">
      <w:pPr>
        <w:widowControl/>
        <w:spacing w:beforeLines="50" w:before="180" w:afterLines="50" w:after="180" w:line="500" w:lineRule="exact"/>
        <w:ind w:leftChars="295" w:left="708" w:firstLine="567"/>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泰國、菲律賓、印度、汶萊，其基礎建設不足是阻礙雲端市場發展的最大障礙，但是皆已開始推動電子化政府，因此存在</w:t>
      </w:r>
      <w:r w:rsidR="00841510" w:rsidRPr="00C77E77">
        <w:rPr>
          <w:rFonts w:ascii="Times New Roman" w:eastAsia="標楷體" w:hAnsi="Times New Roman" w:cs="Times New Roman"/>
          <w:b/>
          <w:color w:val="000000" w:themeColor="text1"/>
          <w:sz w:val="28"/>
          <w:szCs w:val="28"/>
        </w:rPr>
        <w:t>中期</w:t>
      </w:r>
      <w:r w:rsidR="00841510" w:rsidRPr="00C77E77">
        <w:rPr>
          <w:rFonts w:ascii="Times New Roman" w:eastAsia="標楷體" w:hAnsi="Times New Roman" w:cs="Times New Roman"/>
          <w:color w:val="000000" w:themeColor="text1"/>
          <w:sz w:val="28"/>
          <w:szCs w:val="28"/>
        </w:rPr>
        <w:t>的</w:t>
      </w:r>
      <w:r w:rsidRPr="00C77E77">
        <w:rPr>
          <w:rFonts w:ascii="Times New Roman" w:eastAsia="標楷體" w:hAnsi="Times New Roman" w:cs="Times New Roman"/>
          <w:color w:val="000000" w:themeColor="text1"/>
          <w:sz w:val="28"/>
          <w:szCs w:val="28"/>
        </w:rPr>
        <w:t>合作契機。</w:t>
      </w:r>
      <w:r w:rsidR="00AF4D76" w:rsidRPr="00C77E77">
        <w:rPr>
          <w:rFonts w:ascii="Times New Roman" w:eastAsia="標楷體" w:hAnsi="Times New Roman" w:cs="Times New Roman"/>
          <w:color w:val="000000" w:themeColor="text1"/>
          <w:kern w:val="0"/>
          <w:sz w:val="28"/>
          <w:szCs w:val="28"/>
        </w:rPr>
        <w:t>臺灣可</w:t>
      </w:r>
      <w:r w:rsidRPr="00C77E77">
        <w:rPr>
          <w:rFonts w:ascii="Times New Roman" w:eastAsia="標楷體" w:hAnsi="Times New Roman" w:cs="Times New Roman"/>
          <w:color w:val="000000" w:themeColor="text1"/>
          <w:kern w:val="0"/>
          <w:sz w:val="28"/>
          <w:szCs w:val="28"/>
        </w:rPr>
        <w:t>積極藉由</w:t>
      </w:r>
      <w:r w:rsidRPr="00C77E77">
        <w:rPr>
          <w:rFonts w:ascii="Times New Roman" w:eastAsia="標楷體" w:hAnsi="Times New Roman" w:cs="Times New Roman"/>
          <w:color w:val="000000" w:themeColor="text1"/>
          <w:kern w:val="0"/>
          <w:sz w:val="28"/>
          <w:szCs w:val="28"/>
        </w:rPr>
        <w:t>ICT</w:t>
      </w:r>
      <w:r w:rsidR="00AF4D76" w:rsidRPr="00C77E77">
        <w:rPr>
          <w:rFonts w:ascii="Times New Roman" w:eastAsia="標楷體" w:hAnsi="Times New Roman" w:cs="Times New Roman"/>
          <w:color w:val="000000" w:themeColor="text1"/>
          <w:kern w:val="0"/>
          <w:sz w:val="28"/>
          <w:szCs w:val="28"/>
        </w:rPr>
        <w:t>研發量能</w:t>
      </w:r>
      <w:r w:rsidRPr="00C77E77">
        <w:rPr>
          <w:rFonts w:ascii="Times New Roman" w:eastAsia="標楷體" w:hAnsi="Times New Roman" w:cs="Times New Roman"/>
          <w:color w:val="000000" w:themeColor="text1"/>
          <w:kern w:val="0"/>
          <w:sz w:val="28"/>
          <w:szCs w:val="28"/>
        </w:rPr>
        <w:t>及優異的軟體人才，將臺灣發展成全球</w:t>
      </w:r>
      <w:r w:rsidRPr="00C77E77">
        <w:rPr>
          <w:rFonts w:ascii="Times New Roman" w:eastAsia="標楷體" w:hAnsi="Times New Roman" w:cs="Times New Roman"/>
          <w:kern w:val="0"/>
          <w:sz w:val="28"/>
          <w:szCs w:val="28"/>
        </w:rPr>
        <w:t>重要的雲端運算創新基地。</w:t>
      </w:r>
      <w:r w:rsidRPr="00C77E77">
        <w:rPr>
          <w:rFonts w:ascii="Times New Roman" w:eastAsia="標楷體" w:hAnsi="Times New Roman" w:cs="Times New Roman"/>
          <w:sz w:val="28"/>
          <w:szCs w:val="28"/>
        </w:rPr>
        <w:t>同時，</w:t>
      </w:r>
      <w:r w:rsidR="00D869BC" w:rsidRPr="00C77E77">
        <w:rPr>
          <w:rFonts w:ascii="Times New Roman" w:eastAsia="標楷體" w:hAnsi="Times New Roman" w:cs="Times New Roman"/>
          <w:sz w:val="28"/>
          <w:szCs w:val="28"/>
        </w:rPr>
        <w:t>我國企業結構以中小企業為主（占</w:t>
      </w:r>
      <w:r w:rsidR="00D869BC" w:rsidRPr="00C77E77">
        <w:rPr>
          <w:rFonts w:ascii="Times New Roman" w:eastAsia="標楷體" w:hAnsi="Times New Roman" w:cs="Times New Roman"/>
          <w:sz w:val="28"/>
          <w:szCs w:val="28"/>
        </w:rPr>
        <w:t>97%</w:t>
      </w:r>
      <w:r w:rsidR="00D869BC" w:rsidRPr="00C77E77">
        <w:rPr>
          <w:rFonts w:ascii="Times New Roman" w:eastAsia="標楷體" w:hAnsi="Times New Roman" w:cs="Times New Roman"/>
          <w:sz w:val="28"/>
          <w:szCs w:val="28"/>
        </w:rPr>
        <w:t>），其中又以中堅企業為佼佼者，</w:t>
      </w:r>
      <w:r w:rsidR="00D869BC" w:rsidRPr="00C77E77">
        <w:rPr>
          <w:rStyle w:val="a9"/>
          <w:rFonts w:ascii="Times New Roman" w:eastAsia="標楷體" w:hAnsi="Times New Roman" w:cs="Times New Roman"/>
          <w:sz w:val="28"/>
          <w:szCs w:val="28"/>
        </w:rPr>
        <w:footnoteReference w:id="155"/>
      </w:r>
      <w:r w:rsidRPr="00C77E77">
        <w:rPr>
          <w:rFonts w:ascii="Times New Roman" w:eastAsia="標楷體" w:hAnsi="Times New Roman" w:cs="Times New Roman"/>
          <w:sz w:val="28"/>
          <w:szCs w:val="28"/>
        </w:rPr>
        <w:t>政府可政策引導中堅企業的資金投入到新興產業（例如與工業</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相關的物聯網產業等），或是投入到對創新創業者的支持，將對國家中長期經濟發展更有益處。</w:t>
      </w:r>
    </w:p>
    <w:p w:rsidR="001B02D4" w:rsidRPr="00C77E77" w:rsidRDefault="001B02D4" w:rsidP="00D869BC">
      <w:pPr>
        <w:widowControl/>
        <w:spacing w:beforeLines="50" w:before="180" w:afterLines="50" w:after="180" w:line="500" w:lineRule="exact"/>
        <w:ind w:leftChars="295" w:left="708" w:firstLine="567"/>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越南、印尼、緬甸、柬埔寨、寮國等國則普遍存在整備度與基礎建設不足、法規不健全、人才缺乏、教育認知落差等現象。</w:t>
      </w:r>
      <w:r w:rsidR="00E025B9" w:rsidRPr="00C77E77">
        <w:rPr>
          <w:rFonts w:ascii="Times New Roman" w:eastAsia="標楷體" w:hAnsi="Times New Roman" w:cs="Times New Roman"/>
          <w:sz w:val="28"/>
          <w:szCs w:val="28"/>
        </w:rPr>
        <w:t>世界銀行發布之「</w:t>
      </w:r>
      <w:r w:rsidR="00E025B9" w:rsidRPr="00C77E77">
        <w:rPr>
          <w:rFonts w:ascii="Times New Roman" w:eastAsia="標楷體" w:hAnsi="Times New Roman" w:cs="Times New Roman"/>
          <w:sz w:val="28"/>
          <w:szCs w:val="28"/>
        </w:rPr>
        <w:t>2016</w:t>
      </w:r>
      <w:r w:rsidR="00E025B9" w:rsidRPr="00C77E77">
        <w:rPr>
          <w:rFonts w:ascii="Times New Roman" w:eastAsia="標楷體" w:hAnsi="Times New Roman" w:cs="Times New Roman"/>
          <w:sz w:val="28"/>
          <w:szCs w:val="28"/>
        </w:rPr>
        <w:t>年全球經商環境報告」，將越南「電力取得」的便利度排名前</w:t>
      </w:r>
      <w:r w:rsidR="00E025B9" w:rsidRPr="00C77E77">
        <w:rPr>
          <w:rFonts w:ascii="Times New Roman" w:eastAsia="標楷體" w:hAnsi="Times New Roman" w:cs="Times New Roman"/>
          <w:sz w:val="28"/>
          <w:szCs w:val="28"/>
        </w:rPr>
        <w:t>75</w:t>
      </w:r>
      <w:r w:rsidR="00E025B9" w:rsidRPr="00C77E77">
        <w:rPr>
          <w:rFonts w:ascii="Times New Roman" w:eastAsia="標楷體" w:hAnsi="Times New Roman" w:cs="Times New Roman"/>
          <w:sz w:val="28"/>
          <w:szCs w:val="28"/>
        </w:rPr>
        <w:t>％，柬埔寨、寮國、緬甸便利度則排名在</w:t>
      </w:r>
      <w:r w:rsidR="00E025B9" w:rsidRPr="00C77E77">
        <w:rPr>
          <w:rFonts w:ascii="Times New Roman" w:eastAsia="標楷體" w:hAnsi="Times New Roman" w:cs="Times New Roman"/>
          <w:color w:val="000000" w:themeColor="text1"/>
          <w:sz w:val="28"/>
          <w:szCs w:val="28"/>
        </w:rPr>
        <w:t>後</w:t>
      </w:r>
      <w:r w:rsidR="00E025B9" w:rsidRPr="00C77E77">
        <w:rPr>
          <w:rFonts w:ascii="Times New Roman" w:eastAsia="標楷體" w:hAnsi="Times New Roman" w:cs="Times New Roman"/>
          <w:color w:val="000000" w:themeColor="text1"/>
          <w:sz w:val="28"/>
          <w:szCs w:val="28"/>
        </w:rPr>
        <w:t>25</w:t>
      </w:r>
      <w:r w:rsidR="00E025B9" w:rsidRPr="00C77E77">
        <w:rPr>
          <w:rFonts w:ascii="Times New Roman" w:eastAsia="標楷體" w:hAnsi="Times New Roman" w:cs="Times New Roman"/>
          <w:color w:val="000000" w:themeColor="text1"/>
          <w:sz w:val="28"/>
          <w:szCs w:val="28"/>
        </w:rPr>
        <w:t>％。</w:t>
      </w:r>
      <w:r w:rsidR="00E025B9" w:rsidRPr="00C77E77">
        <w:rPr>
          <w:rStyle w:val="a9"/>
          <w:rFonts w:ascii="Times New Roman" w:eastAsia="標楷體" w:hAnsi="Times New Roman" w:cs="Times New Roman"/>
          <w:color w:val="000000" w:themeColor="text1"/>
          <w:sz w:val="28"/>
          <w:szCs w:val="28"/>
        </w:rPr>
        <w:footnoteReference w:id="156"/>
      </w:r>
      <w:r w:rsidR="00E025B9" w:rsidRPr="00C77E77">
        <w:rPr>
          <w:rFonts w:ascii="Times New Roman" w:eastAsia="標楷體" w:hAnsi="Times New Roman" w:cs="Times New Roman"/>
          <w:color w:val="000000" w:themeColor="text1"/>
          <w:sz w:val="28"/>
          <w:szCs w:val="28"/>
        </w:rPr>
        <w:t>因此，</w:t>
      </w:r>
      <w:r w:rsidR="005C668A" w:rsidRPr="00C77E77">
        <w:rPr>
          <w:rFonts w:ascii="Times New Roman" w:eastAsia="標楷體" w:hAnsi="Times New Roman" w:cs="Times New Roman"/>
          <w:color w:val="000000" w:themeColor="text1"/>
          <w:sz w:val="28"/>
          <w:szCs w:val="28"/>
        </w:rPr>
        <w:t>建議我國</w:t>
      </w:r>
      <w:r w:rsidR="00E025B9" w:rsidRPr="00C77E77">
        <w:rPr>
          <w:rFonts w:ascii="Times New Roman" w:eastAsia="標楷體" w:hAnsi="Times New Roman" w:cs="Times New Roman"/>
          <w:color w:val="000000" w:themeColor="text1"/>
          <w:sz w:val="28"/>
          <w:szCs w:val="28"/>
        </w:rPr>
        <w:t>雲端系統產業</w:t>
      </w:r>
      <w:r w:rsidRPr="00C77E77">
        <w:rPr>
          <w:rFonts w:ascii="Times New Roman" w:eastAsia="標楷體" w:hAnsi="Times New Roman" w:cs="Times New Roman"/>
          <w:color w:val="000000" w:themeColor="text1"/>
          <w:sz w:val="28"/>
          <w:szCs w:val="28"/>
        </w:rPr>
        <w:t>南向</w:t>
      </w:r>
      <w:r w:rsidR="00E025B9" w:rsidRPr="00C77E77">
        <w:rPr>
          <w:rFonts w:ascii="Times New Roman" w:eastAsia="標楷體" w:hAnsi="Times New Roman" w:cs="Times New Roman"/>
          <w:color w:val="000000" w:themeColor="text1"/>
          <w:sz w:val="28"/>
          <w:szCs w:val="28"/>
        </w:rPr>
        <w:t>的</w:t>
      </w:r>
      <w:r w:rsidR="00E025B9" w:rsidRPr="00C77E77">
        <w:rPr>
          <w:rFonts w:ascii="Times New Roman" w:eastAsia="標楷體" w:hAnsi="Times New Roman" w:cs="Times New Roman"/>
          <w:b/>
          <w:color w:val="000000" w:themeColor="text1"/>
          <w:sz w:val="28"/>
          <w:szCs w:val="28"/>
        </w:rPr>
        <w:t>長期</w:t>
      </w:r>
      <w:r w:rsidR="00E025B9" w:rsidRPr="00C77E77">
        <w:rPr>
          <w:rFonts w:ascii="Times New Roman" w:eastAsia="標楷體" w:hAnsi="Times New Roman" w:cs="Times New Roman"/>
          <w:color w:val="000000" w:themeColor="text1"/>
          <w:sz w:val="28"/>
          <w:szCs w:val="28"/>
        </w:rPr>
        <w:t>策略</w:t>
      </w:r>
      <w:r w:rsidR="005C668A" w:rsidRPr="00C77E77">
        <w:rPr>
          <w:rFonts w:ascii="Times New Roman" w:eastAsia="標楷體" w:hAnsi="Times New Roman" w:cs="Times New Roman"/>
          <w:color w:val="000000" w:themeColor="text1"/>
          <w:sz w:val="28"/>
          <w:szCs w:val="28"/>
        </w:rPr>
        <w:t>可</w:t>
      </w:r>
      <w:r w:rsidRPr="00C77E77">
        <w:rPr>
          <w:rFonts w:ascii="Times New Roman" w:eastAsia="標楷體" w:hAnsi="Times New Roman" w:cs="Times New Roman"/>
          <w:color w:val="000000" w:themeColor="text1"/>
          <w:sz w:val="28"/>
          <w:szCs w:val="28"/>
        </w:rPr>
        <w:t>協助越南、印尼、緬甸、柬埔</w:t>
      </w:r>
      <w:r w:rsidRPr="00C77E77">
        <w:rPr>
          <w:rFonts w:ascii="Times New Roman" w:eastAsia="標楷體" w:hAnsi="Times New Roman" w:cs="Times New Roman"/>
          <w:color w:val="000000" w:themeColor="text1"/>
          <w:sz w:val="28"/>
          <w:szCs w:val="28"/>
        </w:rPr>
        <w:lastRenderedPageBreak/>
        <w:t>寨、寮國</w:t>
      </w:r>
      <w:r w:rsidR="005C668A" w:rsidRPr="00C77E77">
        <w:rPr>
          <w:rFonts w:ascii="Times New Roman" w:eastAsia="標楷體" w:hAnsi="Times New Roman" w:cs="Times New Roman"/>
          <w:color w:val="000000" w:themeColor="text1"/>
          <w:sz w:val="28"/>
          <w:szCs w:val="28"/>
        </w:rPr>
        <w:t>等培育</w:t>
      </w:r>
      <w:r w:rsidRPr="00C77E77">
        <w:rPr>
          <w:rFonts w:ascii="Times New Roman" w:eastAsia="標楷體" w:hAnsi="Times New Roman" w:cs="Times New Roman"/>
          <w:color w:val="000000" w:themeColor="text1"/>
          <w:sz w:val="28"/>
          <w:szCs w:val="28"/>
        </w:rPr>
        <w:t>資通運雲端運算人才</w:t>
      </w:r>
      <w:r w:rsidR="005C668A" w:rsidRPr="00C77E77">
        <w:rPr>
          <w:rFonts w:ascii="Times New Roman" w:eastAsia="標楷體" w:hAnsi="Times New Roman" w:cs="Times New Roman"/>
          <w:color w:val="000000" w:themeColor="text1"/>
          <w:sz w:val="28"/>
          <w:szCs w:val="28"/>
        </w:rPr>
        <w:t>與</w:t>
      </w:r>
      <w:r w:rsidRPr="00C77E77">
        <w:rPr>
          <w:rFonts w:ascii="Times New Roman" w:eastAsia="標楷體" w:hAnsi="Times New Roman" w:cs="Times New Roman"/>
          <w:color w:val="000000" w:themeColor="text1"/>
          <w:sz w:val="28"/>
          <w:szCs w:val="28"/>
        </w:rPr>
        <w:t>資源，透過能力建構、系統建立、</w:t>
      </w:r>
      <w:r w:rsidR="005C668A" w:rsidRPr="00C77E77">
        <w:rPr>
          <w:rFonts w:ascii="Times New Roman" w:eastAsia="標楷體" w:hAnsi="Times New Roman" w:cs="Times New Roman"/>
          <w:color w:val="000000" w:themeColor="text1"/>
          <w:sz w:val="28"/>
          <w:szCs w:val="28"/>
        </w:rPr>
        <w:t>建置</w:t>
      </w:r>
      <w:r w:rsidRPr="00C77E77">
        <w:rPr>
          <w:rFonts w:ascii="Times New Roman" w:eastAsia="標楷體" w:hAnsi="Times New Roman" w:cs="Times New Roman"/>
          <w:color w:val="000000" w:themeColor="text1"/>
          <w:sz w:val="28"/>
          <w:szCs w:val="28"/>
        </w:rPr>
        <w:t>法規</w:t>
      </w:r>
      <w:r w:rsidR="005C668A" w:rsidRPr="00C77E77">
        <w:rPr>
          <w:rFonts w:ascii="Times New Roman" w:eastAsia="標楷體" w:hAnsi="Times New Roman" w:cs="Times New Roman"/>
          <w:color w:val="000000" w:themeColor="text1"/>
          <w:sz w:val="28"/>
          <w:szCs w:val="28"/>
        </w:rPr>
        <w:t>及</w:t>
      </w:r>
      <w:r w:rsidRPr="00C77E77">
        <w:rPr>
          <w:rFonts w:ascii="Times New Roman" w:eastAsia="標楷體" w:hAnsi="Times New Roman" w:cs="Times New Roman"/>
          <w:color w:val="000000" w:themeColor="text1"/>
          <w:sz w:val="28"/>
          <w:szCs w:val="28"/>
        </w:rPr>
        <w:t>基礎架構等，</w:t>
      </w:r>
      <w:r w:rsidR="005C668A" w:rsidRPr="00C77E77">
        <w:rPr>
          <w:rFonts w:ascii="Times New Roman" w:eastAsia="標楷體" w:hAnsi="Times New Roman" w:cs="Times New Roman"/>
          <w:color w:val="000000" w:themeColor="text1"/>
          <w:sz w:val="28"/>
          <w:szCs w:val="28"/>
        </w:rPr>
        <w:t>打造未來合作</w:t>
      </w:r>
      <w:r w:rsidRPr="00C77E77">
        <w:rPr>
          <w:rFonts w:ascii="Times New Roman" w:eastAsia="標楷體" w:hAnsi="Times New Roman" w:cs="Times New Roman"/>
          <w:color w:val="000000" w:themeColor="text1"/>
          <w:sz w:val="28"/>
          <w:szCs w:val="28"/>
        </w:rPr>
        <w:t>之</w:t>
      </w:r>
      <w:r w:rsidR="005C668A" w:rsidRPr="00C77E77">
        <w:rPr>
          <w:rFonts w:ascii="Times New Roman" w:eastAsia="標楷體" w:hAnsi="Times New Roman" w:cs="Times New Roman"/>
          <w:color w:val="000000" w:themeColor="text1"/>
          <w:sz w:val="28"/>
          <w:szCs w:val="28"/>
        </w:rPr>
        <w:t>契機</w:t>
      </w:r>
      <w:r w:rsidRPr="00C77E77">
        <w:rPr>
          <w:rFonts w:ascii="Times New Roman" w:eastAsia="標楷體" w:hAnsi="Times New Roman" w:cs="Times New Roman"/>
          <w:color w:val="000000" w:themeColor="text1"/>
          <w:sz w:val="28"/>
          <w:szCs w:val="28"/>
        </w:rPr>
        <w:t>。</w:t>
      </w:r>
    </w:p>
    <w:tbl>
      <w:tblPr>
        <w:tblW w:w="51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22"/>
        <w:gridCol w:w="4498"/>
      </w:tblGrid>
      <w:tr w:rsidR="001B02D4" w:rsidRPr="00C77E77" w:rsidTr="00E34F11">
        <w:trPr>
          <w:trHeight w:val="168"/>
        </w:trPr>
        <w:tc>
          <w:tcPr>
            <w:tcW w:w="5000" w:type="pct"/>
            <w:gridSpan w:val="2"/>
            <w:tcBorders>
              <w:top w:val="nil"/>
              <w:left w:val="nil"/>
              <w:bottom w:val="single" w:sz="4" w:space="0" w:color="auto"/>
              <w:right w:val="nil"/>
            </w:tcBorders>
          </w:tcPr>
          <w:p w:rsidR="001B02D4" w:rsidRPr="00C77E77" w:rsidRDefault="001B02D4" w:rsidP="00D869BC">
            <w:pPr>
              <w:pStyle w:val="af9"/>
              <w:spacing w:beforeLines="50" w:before="180"/>
              <w:ind w:leftChars="295" w:left="708"/>
              <w:rPr>
                <w:color w:val="auto"/>
              </w:rPr>
            </w:pPr>
            <w:bookmarkStart w:id="155" w:name="_Toc467163693"/>
            <w:bookmarkStart w:id="156" w:name="_Toc470676616"/>
            <w:r w:rsidRPr="00C77E77">
              <w:rPr>
                <w:color w:val="auto"/>
              </w:rPr>
              <w:t>表</w:t>
            </w:r>
            <w:r w:rsidRPr="00C77E77">
              <w:rPr>
                <w:color w:val="auto"/>
              </w:rPr>
              <w:t>5-</w:t>
            </w:r>
            <w:r w:rsidR="009551A7" w:rsidRPr="00C77E77">
              <w:rPr>
                <w:color w:val="auto"/>
              </w:rPr>
              <w:t>2</w:t>
            </w:r>
            <w:r w:rsidRPr="00C77E77">
              <w:rPr>
                <w:color w:val="auto"/>
              </w:rPr>
              <w:t xml:space="preserve">-6 </w:t>
            </w:r>
            <w:r w:rsidRPr="00C77E77">
              <w:rPr>
                <w:color w:val="auto"/>
              </w:rPr>
              <w:t>我國雲端系統產業南向發展之</w:t>
            </w:r>
            <w:r w:rsidRPr="00C77E77">
              <w:rPr>
                <w:color w:val="auto"/>
              </w:rPr>
              <w:t>SWOT</w:t>
            </w:r>
            <w:r w:rsidRPr="00C77E77">
              <w:rPr>
                <w:color w:val="auto"/>
              </w:rPr>
              <w:t>分析</w:t>
            </w:r>
            <w:bookmarkEnd w:id="155"/>
            <w:bookmarkEnd w:id="156"/>
          </w:p>
        </w:tc>
      </w:tr>
      <w:tr w:rsidR="001B02D4" w:rsidRPr="00C77E77" w:rsidTr="00E34F11">
        <w:trPr>
          <w:trHeight w:val="168"/>
        </w:trPr>
        <w:tc>
          <w:tcPr>
            <w:tcW w:w="2686" w:type="pct"/>
            <w:tcBorders>
              <w:top w:val="single" w:sz="4" w:space="0" w:color="auto"/>
            </w:tcBorders>
          </w:tcPr>
          <w:p w:rsidR="001B02D4" w:rsidRPr="00C77E77" w:rsidRDefault="001B02D4" w:rsidP="00D869BC">
            <w:pPr>
              <w:autoSpaceDE w:val="0"/>
              <w:autoSpaceDN w:val="0"/>
              <w:adjustRightInd w:val="0"/>
              <w:spacing w:beforeLines="50" w:before="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優勢</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S</w:t>
            </w:r>
            <w:r w:rsidRPr="00C77E77">
              <w:rPr>
                <w:rFonts w:ascii="Times New Roman" w:eastAsia="標楷體" w:hAnsi="Times New Roman" w:cs="Times New Roman"/>
                <w:b/>
                <w:bCs/>
                <w:kern w:val="0"/>
                <w:szCs w:val="23"/>
              </w:rPr>
              <w:t>）</w:t>
            </w:r>
          </w:p>
        </w:tc>
        <w:tc>
          <w:tcPr>
            <w:tcW w:w="2314" w:type="pct"/>
            <w:tcBorders>
              <w:top w:val="single" w:sz="4" w:space="0" w:color="auto"/>
            </w:tcBorders>
          </w:tcPr>
          <w:p w:rsidR="001B02D4" w:rsidRPr="00C77E77" w:rsidRDefault="001B02D4" w:rsidP="00D869BC">
            <w:pPr>
              <w:autoSpaceDE w:val="0"/>
              <w:autoSpaceDN w:val="0"/>
              <w:adjustRightInd w:val="0"/>
              <w:spacing w:beforeLines="50" w:before="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劣勢</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W</w:t>
            </w:r>
            <w:r w:rsidRPr="00C77E77">
              <w:rPr>
                <w:rFonts w:ascii="Times New Roman" w:eastAsia="標楷體" w:hAnsi="Times New Roman" w:cs="Times New Roman"/>
                <w:b/>
                <w:bCs/>
                <w:kern w:val="0"/>
                <w:szCs w:val="23"/>
              </w:rPr>
              <w:t>）</w:t>
            </w:r>
          </w:p>
        </w:tc>
      </w:tr>
      <w:tr w:rsidR="001B02D4" w:rsidRPr="00C77E77" w:rsidTr="00E34F11">
        <w:trPr>
          <w:trHeight w:hRule="exact" w:val="1878"/>
        </w:trPr>
        <w:tc>
          <w:tcPr>
            <w:tcW w:w="2686" w:type="pct"/>
          </w:tcPr>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臺灣具有極具競爭力且已進入國際市場的工業電腦產業，在發展端、網、雲層級平</w:t>
            </w:r>
            <w:r w:rsidR="00FD0D5A" w:rsidRPr="00C77E77">
              <w:rPr>
                <w:rFonts w:ascii="Times New Roman" w:eastAsia="標楷體" w:hAnsi="Times New Roman" w:cs="Times New Roman"/>
                <w:kern w:val="0"/>
                <w:szCs w:val="23"/>
              </w:rPr>
              <w:t>臺</w:t>
            </w:r>
            <w:r w:rsidRPr="00C77E77">
              <w:rPr>
                <w:rFonts w:ascii="Times New Roman" w:eastAsia="標楷體" w:hAnsi="Times New Roman" w:cs="Times New Roman"/>
                <w:kern w:val="0"/>
                <w:szCs w:val="23"/>
              </w:rPr>
              <w:t>具有實績。</w:t>
            </w:r>
          </w:p>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臺灣具備良好的雲端運算發展環境，在世界經濟論壇（</w:t>
            </w:r>
            <w:r w:rsidRPr="00C77E77">
              <w:rPr>
                <w:rFonts w:ascii="Times New Roman" w:eastAsia="標楷體" w:hAnsi="Times New Roman" w:cs="Times New Roman"/>
                <w:kern w:val="0"/>
                <w:szCs w:val="23"/>
              </w:rPr>
              <w:t>WEF</w:t>
            </w:r>
            <w:r w:rsidRPr="00C77E77">
              <w:rPr>
                <w:rFonts w:ascii="Times New Roman" w:eastAsia="標楷體" w:hAnsi="Times New Roman" w:cs="Times New Roman"/>
                <w:kern w:val="0"/>
                <w:szCs w:val="23"/>
              </w:rPr>
              <w:t>）國際評比中位居全球前茅。</w:t>
            </w:r>
          </w:p>
        </w:tc>
        <w:tc>
          <w:tcPr>
            <w:tcW w:w="2314" w:type="pct"/>
          </w:tcPr>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國際大廠在物聯網應用平</w:t>
            </w:r>
            <w:r w:rsidR="00FD0D5A" w:rsidRPr="00C77E77">
              <w:rPr>
                <w:rFonts w:ascii="Times New Roman" w:eastAsia="標楷體" w:hAnsi="Times New Roman" w:cs="Times New Roman"/>
                <w:kern w:val="0"/>
                <w:szCs w:val="23"/>
              </w:rPr>
              <w:t>臺</w:t>
            </w:r>
            <w:r w:rsidRPr="00C77E77">
              <w:rPr>
                <w:rFonts w:ascii="Times New Roman" w:eastAsia="標楷體" w:hAnsi="Times New Roman" w:cs="Times New Roman"/>
                <w:kern w:val="0"/>
                <w:szCs w:val="23"/>
              </w:rPr>
              <w:t>發展已處與領先地位。</w:t>
            </w:r>
          </w:p>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與國際領導廠商相比，臺灣資通訊系統整合服務廠商規模小、營收值有限。</w:t>
            </w:r>
          </w:p>
        </w:tc>
      </w:tr>
      <w:tr w:rsidR="001B02D4" w:rsidRPr="00C77E77" w:rsidTr="00E34F11">
        <w:trPr>
          <w:trHeight w:val="168"/>
        </w:trPr>
        <w:tc>
          <w:tcPr>
            <w:tcW w:w="2686" w:type="pct"/>
          </w:tcPr>
          <w:p w:rsidR="001B02D4" w:rsidRPr="00C77E77" w:rsidRDefault="001B02D4" w:rsidP="00D869BC">
            <w:pPr>
              <w:autoSpaceDE w:val="0"/>
              <w:autoSpaceDN w:val="0"/>
              <w:adjustRightInd w:val="0"/>
              <w:spacing w:beforeLines="50" w:before="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2314" w:type="pct"/>
          </w:tcPr>
          <w:p w:rsidR="001B02D4" w:rsidRPr="00C77E77" w:rsidRDefault="001B02D4" w:rsidP="00D869BC">
            <w:pPr>
              <w:autoSpaceDE w:val="0"/>
              <w:autoSpaceDN w:val="0"/>
              <w:adjustRightInd w:val="0"/>
              <w:spacing w:beforeLines="50" w:before="18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1B02D4" w:rsidRPr="00C77E77" w:rsidTr="00E34F11">
        <w:trPr>
          <w:trHeight w:val="984"/>
        </w:trPr>
        <w:tc>
          <w:tcPr>
            <w:tcW w:w="2686" w:type="pct"/>
            <w:tcBorders>
              <w:bottom w:val="single" w:sz="4" w:space="0" w:color="auto"/>
            </w:tcBorders>
          </w:tcPr>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東協</w:t>
            </w:r>
            <w:r w:rsidRPr="00C77E77">
              <w:rPr>
                <w:rFonts w:ascii="Times New Roman" w:eastAsia="標楷體" w:hAnsi="Times New Roman" w:cs="Times New Roman"/>
                <w:kern w:val="0"/>
                <w:szCs w:val="23"/>
              </w:rPr>
              <w:t>10</w:t>
            </w:r>
            <w:r w:rsidRPr="00C77E77">
              <w:rPr>
                <w:rFonts w:ascii="Times New Roman" w:eastAsia="標楷體" w:hAnsi="Times New Roman" w:cs="Times New Roman"/>
                <w:kern w:val="0"/>
                <w:szCs w:val="23"/>
              </w:rPr>
              <w:t>國簽署電子化東協架構協定，期望建設</w:t>
            </w:r>
            <w:r w:rsidRPr="00C77E77">
              <w:rPr>
                <w:rFonts w:ascii="Times New Roman" w:eastAsia="標楷體" w:hAnsi="Times New Roman" w:cs="Times New Roman"/>
                <w:kern w:val="0"/>
                <w:szCs w:val="23"/>
              </w:rPr>
              <w:t>e-ASEAN</w:t>
            </w:r>
            <w:r w:rsidRPr="00C77E77">
              <w:rPr>
                <w:rFonts w:ascii="Times New Roman" w:eastAsia="標楷體" w:hAnsi="Times New Roman" w:cs="Times New Roman"/>
                <w:kern w:val="0"/>
                <w:szCs w:val="23"/>
              </w:rPr>
              <w:t>之電子商務任務，加速政府升級。</w:t>
            </w:r>
          </w:p>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我國東南亞臺商紡織業可進一步導入雲端應用，協助傳統製造紡織產業升級轉型，優化我國成衣委外代工流程，打造品牌行銷雲。</w:t>
            </w:r>
          </w:p>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運用「臺灣雲端協會」平</w:t>
            </w:r>
            <w:r w:rsidR="00FD0D5A" w:rsidRPr="00C77E77">
              <w:rPr>
                <w:rFonts w:ascii="Times New Roman" w:eastAsia="標楷體" w:hAnsi="Times New Roman" w:cs="Times New Roman"/>
                <w:kern w:val="0"/>
                <w:szCs w:val="23"/>
              </w:rPr>
              <w:t>臺</w:t>
            </w:r>
            <w:r w:rsidRPr="00C77E77">
              <w:rPr>
                <w:rFonts w:ascii="Times New Roman" w:eastAsia="標楷體" w:hAnsi="Times New Roman" w:cs="Times New Roman"/>
                <w:kern w:val="0"/>
                <w:szCs w:val="23"/>
              </w:rPr>
              <w:t>，整合臺灣的系統整合商（</w:t>
            </w:r>
            <w:r w:rsidRPr="00C77E77">
              <w:rPr>
                <w:rFonts w:ascii="Times New Roman" w:eastAsia="標楷體" w:hAnsi="Times New Roman" w:cs="Times New Roman"/>
                <w:kern w:val="0"/>
                <w:szCs w:val="23"/>
              </w:rPr>
              <w:t>SI</w:t>
            </w:r>
            <w:r w:rsidRPr="00C77E77">
              <w:rPr>
                <w:rFonts w:ascii="Times New Roman" w:eastAsia="標楷體" w:hAnsi="Times New Roman" w:cs="Times New Roman"/>
                <w:kern w:val="0"/>
                <w:szCs w:val="23"/>
              </w:rPr>
              <w:t>）、軟體開發商，發揮我國科技業垂直分工，並以團體作戰的方式到東協國家和印度共覓商機。</w:t>
            </w:r>
          </w:p>
        </w:tc>
        <w:tc>
          <w:tcPr>
            <w:tcW w:w="2314" w:type="pct"/>
            <w:tcBorders>
              <w:bottom w:val="single" w:sz="4" w:space="0" w:color="auto"/>
            </w:tcBorders>
          </w:tcPr>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雲端系統產業與電子化政府息息相關，泰國、菲律賓、印度，皆已開始推動電子化政府。其他國家則普遍整備度與基礎建設不足，急需他國資通運雲端運算人才資源。</w:t>
            </w:r>
          </w:p>
          <w:p w:rsidR="001B02D4" w:rsidRPr="00C77E77" w:rsidRDefault="001B02D4" w:rsidP="00D869BC">
            <w:pPr>
              <w:autoSpaceDE w:val="0"/>
              <w:autoSpaceDN w:val="0"/>
              <w:adjustRightInd w:val="0"/>
              <w:spacing w:beforeLines="50" w:before="18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臺灣資通訊系統整合服務企業核心能力不足，大多數企業不同時具備跨越現場設備、資通網路、數位軟體、雲端平</w:t>
            </w:r>
            <w:r w:rsidR="00FD0D5A" w:rsidRPr="00C77E77">
              <w:rPr>
                <w:rFonts w:ascii="Times New Roman" w:eastAsia="標楷體" w:hAnsi="Times New Roman" w:cs="Times New Roman"/>
                <w:kern w:val="0"/>
                <w:szCs w:val="23"/>
              </w:rPr>
              <w:t>臺</w:t>
            </w:r>
            <w:r w:rsidRPr="00C77E77">
              <w:rPr>
                <w:rFonts w:ascii="Times New Roman" w:eastAsia="標楷體" w:hAnsi="Times New Roman" w:cs="Times New Roman"/>
                <w:kern w:val="0"/>
                <w:szCs w:val="23"/>
              </w:rPr>
              <w:t>的整合能力；臺灣在資料分析</w:t>
            </w:r>
            <w:r w:rsidR="00704240"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例如巨量資料</w:t>
            </w:r>
            <w:r w:rsidR="00704240"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領域缺乏充裕的商業系統開發與產業應用支援人力。</w:t>
            </w:r>
          </w:p>
        </w:tc>
      </w:tr>
      <w:tr w:rsidR="001B02D4" w:rsidRPr="00C77E77" w:rsidTr="00E34F11">
        <w:trPr>
          <w:trHeight w:val="557"/>
        </w:trPr>
        <w:tc>
          <w:tcPr>
            <w:tcW w:w="5000" w:type="pct"/>
            <w:gridSpan w:val="2"/>
            <w:tcBorders>
              <w:top w:val="single" w:sz="4" w:space="0" w:color="auto"/>
              <w:left w:val="nil"/>
              <w:bottom w:val="single" w:sz="4" w:space="0" w:color="FFFFFF" w:themeColor="background1"/>
              <w:right w:val="nil"/>
            </w:tcBorders>
          </w:tcPr>
          <w:p w:rsidR="001B02D4" w:rsidRPr="00C77E77" w:rsidRDefault="001B02D4" w:rsidP="00D869BC">
            <w:pPr>
              <w:autoSpaceDE w:val="0"/>
              <w:autoSpaceDN w:val="0"/>
              <w:adjustRightInd w:val="0"/>
              <w:spacing w:beforeLines="50" w:before="180"/>
              <w:ind w:leftChars="295" w:left="708"/>
              <w:rPr>
                <w:rFonts w:ascii="Times New Roman" w:eastAsia="標楷體" w:hAnsi="Times New Roman" w:cs="Times New Roman"/>
                <w:sz w:val="28"/>
                <w:szCs w:val="28"/>
              </w:rPr>
            </w:pPr>
            <w:r w:rsidRPr="00C77E77">
              <w:rPr>
                <w:rFonts w:ascii="Times New Roman" w:eastAsia="標楷體" w:hAnsi="Times New Roman" w:cs="Times New Roman"/>
                <w:kern w:val="0"/>
                <w:sz w:val="28"/>
                <w:szCs w:val="28"/>
              </w:rPr>
              <w:t>資料來源：</w:t>
            </w:r>
            <w:r w:rsidRPr="00C77E77">
              <w:rPr>
                <w:rFonts w:ascii="Times New Roman" w:eastAsia="標楷體" w:hAnsi="Times New Roman" w:cs="Times New Roman"/>
                <w:sz w:val="28"/>
                <w:szCs w:val="28"/>
              </w:rPr>
              <w:t>本研究整理。</w:t>
            </w:r>
          </w:p>
        </w:tc>
      </w:tr>
    </w:tbl>
    <w:p w:rsidR="009D7FB5" w:rsidRPr="00C77E77" w:rsidRDefault="009D7FB5" w:rsidP="00764ED7">
      <w:pPr>
        <w:pStyle w:val="ab"/>
        <w:numPr>
          <w:ilvl w:val="0"/>
          <w:numId w:val="31"/>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太陽能</w:t>
      </w:r>
      <w:r w:rsidR="00B15079" w:rsidRPr="00C77E77">
        <w:rPr>
          <w:rFonts w:ascii="Times New Roman" w:eastAsia="標楷體" w:hAnsi="Times New Roman" w:cs="Times New Roman"/>
          <w:b/>
          <w:sz w:val="28"/>
          <w:szCs w:val="28"/>
        </w:rPr>
        <w:t>產業</w:t>
      </w:r>
    </w:p>
    <w:p w:rsidR="00D06CB7" w:rsidRPr="00C77E77" w:rsidRDefault="00B15079" w:rsidP="00B15079">
      <w:pPr>
        <w:pStyle w:val="ab"/>
        <w:widowControl/>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我國太陽能電池具有全球競爭力，</w:t>
      </w:r>
      <w:r w:rsidR="00D06CB7" w:rsidRPr="00C77E77">
        <w:rPr>
          <w:rFonts w:ascii="Times New Roman" w:eastAsia="標楷體" w:hAnsi="Times New Roman" w:cs="Times New Roman"/>
          <w:sz w:val="28"/>
          <w:szCs w:val="28"/>
        </w:rPr>
        <w:t>中游的太陽能電池與模組，近年來也開始慢慢往泰國、馬來西亞、越南等地移動，顯示太陽能產業之發展趨勢與政府的新南向政策不謀而合</w:t>
      </w:r>
      <w:r w:rsidR="00D06CB7" w:rsidRPr="00C77E77">
        <w:rPr>
          <w:rFonts w:ascii="Times New Roman" w:eastAsia="標楷體" w:hAnsi="Times New Roman" w:cs="Times New Roman"/>
          <w:color w:val="000000" w:themeColor="text1"/>
          <w:sz w:val="28"/>
          <w:szCs w:val="28"/>
        </w:rPr>
        <w:t>。建議</w:t>
      </w:r>
      <w:r w:rsidR="00D06CB7" w:rsidRPr="00C77E77">
        <w:rPr>
          <w:rFonts w:ascii="Times New Roman" w:eastAsia="標楷體" w:hAnsi="Times New Roman" w:cs="Times New Roman"/>
          <w:b/>
          <w:color w:val="000000" w:themeColor="text1"/>
          <w:sz w:val="28"/>
          <w:szCs w:val="28"/>
        </w:rPr>
        <w:t>短期</w:t>
      </w:r>
      <w:r w:rsidR="00D06CB7" w:rsidRPr="00C77E77">
        <w:rPr>
          <w:rFonts w:ascii="Times New Roman" w:eastAsia="標楷體" w:hAnsi="Times New Roman" w:cs="Times New Roman"/>
          <w:color w:val="000000" w:themeColor="text1"/>
          <w:sz w:val="28"/>
          <w:szCs w:val="28"/>
        </w:rPr>
        <w:t>應配合協助</w:t>
      </w:r>
      <w:r w:rsidR="00E524DA" w:rsidRPr="00C77E77">
        <w:rPr>
          <w:rFonts w:ascii="Times New Roman" w:eastAsia="標楷體" w:hAnsi="Times New Roman" w:cs="Times New Roman"/>
          <w:color w:val="000000" w:themeColor="text1"/>
          <w:sz w:val="28"/>
          <w:szCs w:val="28"/>
        </w:rPr>
        <w:t>臺</w:t>
      </w:r>
      <w:r w:rsidR="00D06CB7" w:rsidRPr="00C77E77">
        <w:rPr>
          <w:rFonts w:ascii="Times New Roman" w:eastAsia="標楷體" w:hAnsi="Times New Roman" w:cs="Times New Roman"/>
          <w:color w:val="000000" w:themeColor="text1"/>
          <w:sz w:val="28"/>
          <w:szCs w:val="28"/>
        </w:rPr>
        <w:t>商近年來積極開發東南亞市場並在當地投資設廠的趨勢，政府宜提供相關資訊，並協助</w:t>
      </w:r>
      <w:r w:rsidR="00E524DA" w:rsidRPr="00C77E77">
        <w:rPr>
          <w:rFonts w:ascii="Times New Roman" w:eastAsia="標楷體" w:hAnsi="Times New Roman" w:cs="Times New Roman"/>
          <w:color w:val="000000" w:themeColor="text1"/>
          <w:sz w:val="28"/>
          <w:szCs w:val="28"/>
        </w:rPr>
        <w:t>臺</w:t>
      </w:r>
      <w:r w:rsidR="00D06CB7" w:rsidRPr="00C77E77">
        <w:rPr>
          <w:rFonts w:ascii="Times New Roman" w:eastAsia="標楷體" w:hAnsi="Times New Roman" w:cs="Times New Roman"/>
          <w:color w:val="000000" w:themeColor="text1"/>
          <w:sz w:val="28"/>
          <w:szCs w:val="28"/>
        </w:rPr>
        <w:t>商取得金融服務。印度與泰國是太陽能大國，有高度的市場需求，適合我國臺商貿易出口與投資設廠，馬來西亞、新加</w:t>
      </w:r>
      <w:r w:rsidR="00D06CB7" w:rsidRPr="00C77E77">
        <w:rPr>
          <w:rFonts w:ascii="Times New Roman" w:eastAsia="標楷體" w:hAnsi="Times New Roman" w:cs="Times New Roman"/>
          <w:color w:val="000000" w:themeColor="text1"/>
          <w:sz w:val="28"/>
          <w:szCs w:val="28"/>
        </w:rPr>
        <w:lastRenderedPageBreak/>
        <w:t>坡、菲律賓、越南四國也積極發展太陽能。</w:t>
      </w:r>
      <w:r w:rsidR="00D06CB7" w:rsidRPr="00C77E77">
        <w:rPr>
          <w:rFonts w:ascii="Times New Roman" w:eastAsia="標楷體" w:hAnsi="Times New Roman" w:cs="Times New Roman"/>
          <w:sz w:val="28"/>
          <w:szCs w:val="28"/>
        </w:rPr>
        <w:t>在美國「雙反」政策的影響下，許多廠商已經積極開發東南亞市場，甚至前往東南亞市場投資設廠，以規避美國的反傾銷稅。政府應搭配此一市場需求，提供臺商更多的資訊以及金融服務。</w:t>
      </w:r>
    </w:p>
    <w:p w:rsidR="00B15079" w:rsidRPr="00C77E77" w:rsidRDefault="00D06CB7" w:rsidP="00D06CB7">
      <w:pPr>
        <w:pStyle w:val="ab"/>
        <w:widowControl/>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中期</w:t>
      </w:r>
      <w:r w:rsidR="00F13BC4" w:rsidRPr="00C77E77">
        <w:rPr>
          <w:rFonts w:ascii="Times New Roman" w:eastAsia="標楷體" w:hAnsi="Times New Roman" w:cs="Times New Roman"/>
          <w:color w:val="000000" w:themeColor="text1"/>
          <w:sz w:val="28"/>
          <w:szCs w:val="28"/>
        </w:rPr>
        <w:t>的規劃應重視</w:t>
      </w:r>
      <w:r w:rsidR="00B15079" w:rsidRPr="00C77E77">
        <w:rPr>
          <w:rFonts w:ascii="Times New Roman" w:eastAsia="標楷體" w:hAnsi="Times New Roman" w:cs="Times New Roman"/>
          <w:color w:val="000000" w:themeColor="text1"/>
          <w:sz w:val="28"/>
          <w:szCs w:val="28"/>
        </w:rPr>
        <w:t>全球太陽能產業供過於求的情況，</w:t>
      </w:r>
      <w:r w:rsidRPr="00C77E77">
        <w:rPr>
          <w:rFonts w:ascii="Times New Roman" w:eastAsia="標楷體" w:hAnsi="Times New Roman" w:cs="Times New Roman"/>
          <w:color w:val="000000" w:themeColor="text1"/>
          <w:sz w:val="28"/>
          <w:szCs w:val="28"/>
        </w:rPr>
        <w:t>太陽能</w:t>
      </w:r>
      <w:r w:rsidR="0009532A" w:rsidRPr="00C77E77">
        <w:rPr>
          <w:rFonts w:ascii="Times New Roman" w:eastAsia="標楷體" w:hAnsi="Times New Roman" w:cs="Times New Roman"/>
          <w:color w:val="000000" w:themeColor="text1"/>
          <w:sz w:val="28"/>
          <w:szCs w:val="28"/>
        </w:rPr>
        <w:t>製造業的毛利逐漸降低，</w:t>
      </w:r>
      <w:r w:rsidRPr="00C77E77">
        <w:rPr>
          <w:rFonts w:ascii="Times New Roman" w:eastAsia="標楷體" w:hAnsi="Times New Roman" w:cs="Times New Roman"/>
          <w:color w:val="000000" w:themeColor="text1"/>
          <w:sz w:val="28"/>
          <w:szCs w:val="28"/>
        </w:rPr>
        <w:t>政府宜輔導國內業者積極投入發展下游的系統設置整合服務業，以掌握整體產業獲利逐漸向終端市場移動之產業脈動。</w:t>
      </w:r>
    </w:p>
    <w:p w:rsidR="00D06CB7" w:rsidRPr="00C77E77" w:rsidRDefault="00D06CB7" w:rsidP="00D06CB7">
      <w:pPr>
        <w:pStyle w:val="ab"/>
        <w:widowControl/>
        <w:spacing w:beforeLines="50" w:before="180" w:afterLines="50" w:after="180" w:line="500" w:lineRule="exact"/>
        <w:ind w:leftChars="0" w:left="720" w:firstLineChars="198" w:firstLine="555"/>
        <w:jc w:val="both"/>
        <w:rPr>
          <w:rFonts w:ascii="Times New Roman" w:eastAsia="標楷體" w:hAnsi="Times New Roman" w:cs="Times New Roman"/>
          <w:sz w:val="28"/>
          <w:szCs w:val="28"/>
        </w:rPr>
      </w:pPr>
      <w:r w:rsidRPr="00C77E77">
        <w:rPr>
          <w:rFonts w:ascii="Times New Roman" w:eastAsia="標楷體" w:hAnsi="Times New Roman" w:cs="Times New Roman"/>
          <w:b/>
          <w:color w:val="000000" w:themeColor="text1"/>
          <w:sz w:val="28"/>
          <w:szCs w:val="28"/>
        </w:rPr>
        <w:t>長期</w:t>
      </w:r>
      <w:r w:rsidR="00F02A55" w:rsidRPr="00C77E77">
        <w:rPr>
          <w:rFonts w:ascii="Times New Roman" w:eastAsia="標楷體" w:hAnsi="Times New Roman" w:cs="Times New Roman"/>
          <w:color w:val="000000" w:themeColor="text1"/>
          <w:sz w:val="28"/>
          <w:szCs w:val="28"/>
        </w:rPr>
        <w:t>需針對新興市場的保護主義與本地條款，</w:t>
      </w:r>
      <w:r w:rsidRPr="00C77E77">
        <w:rPr>
          <w:rFonts w:ascii="Times New Roman" w:eastAsia="標楷體" w:hAnsi="Times New Roman" w:cs="Times New Roman"/>
          <w:color w:val="000000" w:themeColor="text1"/>
          <w:sz w:val="28"/>
          <w:szCs w:val="28"/>
        </w:rPr>
        <w:t>宜積極與東南亞及印度洽簽</w:t>
      </w:r>
      <w:r w:rsidRPr="00C77E77">
        <w:rPr>
          <w:rFonts w:ascii="Times New Roman" w:eastAsia="標楷體" w:hAnsi="Times New Roman" w:cs="Times New Roman"/>
          <w:color w:val="000000" w:themeColor="text1"/>
          <w:sz w:val="28"/>
          <w:szCs w:val="28"/>
        </w:rPr>
        <w:t>FTA</w:t>
      </w:r>
      <w:r w:rsidRPr="00C77E77">
        <w:rPr>
          <w:rFonts w:ascii="Times New Roman" w:eastAsia="標楷體" w:hAnsi="Times New Roman" w:cs="Times New Roman"/>
          <w:color w:val="000000" w:themeColor="text1"/>
          <w:sz w:val="28"/>
          <w:szCs w:val="28"/>
        </w:rPr>
        <w:t>，強化雙方的合作。如印度等國往往有本地條款的限制，針對太陽光電購電要求採用在地化產品，規定太陽光電系統內組件必須達到一定比例屬當地製造，壓縮</w:t>
      </w:r>
      <w:r w:rsidRPr="00C77E77">
        <w:rPr>
          <w:rFonts w:ascii="Times New Roman" w:eastAsia="標楷體" w:hAnsi="Times New Roman" w:cs="Times New Roman"/>
          <w:sz w:val="28"/>
          <w:szCs w:val="28"/>
        </w:rPr>
        <w:t>廠商獲利和提高外商進入門檻。在這方面，我國可以考慮鼓勵臺商前往投資，而非單向的貿易出口，進行與新興市場的雙向互動。</w:t>
      </w:r>
    </w:p>
    <w:p w:rsidR="00F73B49" w:rsidRPr="00C77E77" w:rsidRDefault="00D06CB7" w:rsidP="00067D46">
      <w:pPr>
        <w:pStyle w:val="ab"/>
        <w:widowControl/>
        <w:spacing w:beforeLines="50" w:before="180" w:afterLines="50" w:after="180" w:line="500" w:lineRule="exact"/>
        <w:ind w:leftChars="0" w:left="720" w:firstLineChars="198" w:firstLine="554"/>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在貿易上，關稅問題仍然是我國廠商出口東南亞及南亞的首要障礙，雖然可以透過直接在當地投資設廠迴避關稅問題，但終究是治標不治本，關鍵仍在於是否能與東協及印度市場洽簽</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，此應為我國新南向政策的主要目標。</w:t>
      </w:r>
    </w:p>
    <w:p w:rsidR="004E1F92" w:rsidRPr="00C77E77" w:rsidRDefault="004E1F92" w:rsidP="004E1F92">
      <w:pPr>
        <w:pStyle w:val="af9"/>
      </w:pPr>
      <w:bookmarkStart w:id="157" w:name="_Toc470676617"/>
      <w:r w:rsidRPr="00C77E77">
        <w:t>表</w:t>
      </w:r>
      <w:r w:rsidRPr="00C77E77">
        <w:t>5-</w:t>
      </w:r>
      <w:r w:rsidR="009551A7" w:rsidRPr="00C77E77">
        <w:t>2</w:t>
      </w:r>
      <w:r w:rsidRPr="00C77E77">
        <w:t>-7</w:t>
      </w:r>
      <w:r w:rsidR="00AA7E7B" w:rsidRPr="00C77E77">
        <w:t xml:space="preserve"> </w:t>
      </w:r>
      <w:r w:rsidRPr="00C77E77">
        <w:t>我國太陽光電產業之</w:t>
      </w:r>
      <w:r w:rsidRPr="00C77E77">
        <w:t>SWOT</w:t>
      </w:r>
      <w:r w:rsidRPr="00C77E77">
        <w:t>分析</w:t>
      </w:r>
      <w:bookmarkEnd w:id="1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14"/>
        <w:gridCol w:w="4714"/>
      </w:tblGrid>
      <w:tr w:rsidR="00C43C65" w:rsidRPr="00C77E77" w:rsidTr="00F73B49">
        <w:trPr>
          <w:trHeight w:val="168"/>
          <w:jc w:val="center"/>
        </w:trPr>
        <w:tc>
          <w:tcPr>
            <w:tcW w:w="2500" w:type="pct"/>
          </w:tcPr>
          <w:p w:rsidR="00C43C65" w:rsidRPr="00C77E77" w:rsidRDefault="00C43C65" w:rsidP="00E72D12">
            <w:pPr>
              <w:autoSpaceDE w:val="0"/>
              <w:autoSpaceDN w:val="0"/>
              <w:adjustRightInd w:val="0"/>
              <w:spacing w:beforeLines="50" w:before="180" w:afterLines="50" w:after="18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Pr="00C77E77">
              <w:rPr>
                <w:rFonts w:ascii="Times New Roman" w:eastAsia="標楷體" w:hAnsi="Times New Roman" w:cs="Times New Roman"/>
                <w:b/>
                <w:bCs/>
                <w:color w:val="000000"/>
                <w:kern w:val="0"/>
                <w:szCs w:val="24"/>
              </w:rPr>
              <w:t>S</w:t>
            </w:r>
            <w:r w:rsidRPr="00C77E77">
              <w:rPr>
                <w:rFonts w:ascii="Times New Roman" w:eastAsia="標楷體" w:hAnsi="Times New Roman" w:cs="Times New Roman"/>
                <w:b/>
                <w:bCs/>
                <w:color w:val="000000"/>
                <w:kern w:val="0"/>
                <w:szCs w:val="24"/>
              </w:rPr>
              <w:t>）</w:t>
            </w:r>
          </w:p>
        </w:tc>
        <w:tc>
          <w:tcPr>
            <w:tcW w:w="2500" w:type="pct"/>
          </w:tcPr>
          <w:p w:rsidR="00C43C65" w:rsidRPr="00C77E77" w:rsidRDefault="00C43C65" w:rsidP="00E72D12">
            <w:pPr>
              <w:autoSpaceDE w:val="0"/>
              <w:autoSpaceDN w:val="0"/>
              <w:adjustRightInd w:val="0"/>
              <w:spacing w:beforeLines="50" w:before="180" w:afterLines="50" w:after="18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Pr="00C77E77">
              <w:rPr>
                <w:rFonts w:ascii="Times New Roman" w:eastAsia="標楷體" w:hAnsi="Times New Roman" w:cs="Times New Roman"/>
                <w:b/>
                <w:bCs/>
                <w:color w:val="000000"/>
                <w:kern w:val="0"/>
                <w:szCs w:val="24"/>
              </w:rPr>
              <w:t>（</w:t>
            </w:r>
            <w:r w:rsidRPr="00C77E77">
              <w:rPr>
                <w:rFonts w:ascii="Times New Roman" w:eastAsia="標楷體" w:hAnsi="Times New Roman" w:cs="Times New Roman"/>
                <w:b/>
                <w:bCs/>
                <w:color w:val="000000"/>
                <w:kern w:val="0"/>
                <w:szCs w:val="24"/>
              </w:rPr>
              <w:t>W</w:t>
            </w:r>
            <w:r w:rsidRPr="00C77E77">
              <w:rPr>
                <w:rFonts w:ascii="Times New Roman" w:eastAsia="標楷體" w:hAnsi="Times New Roman" w:cs="Times New Roman"/>
                <w:b/>
                <w:bCs/>
                <w:color w:val="000000"/>
                <w:kern w:val="0"/>
                <w:szCs w:val="24"/>
              </w:rPr>
              <w:t>）</w:t>
            </w:r>
          </w:p>
        </w:tc>
      </w:tr>
      <w:tr w:rsidR="004E1F92" w:rsidRPr="00C77E77" w:rsidTr="00F73B49">
        <w:trPr>
          <w:trHeight w:val="1136"/>
          <w:jc w:val="center"/>
        </w:trPr>
        <w:tc>
          <w:tcPr>
            <w:tcW w:w="2500" w:type="pct"/>
          </w:tcPr>
          <w:p w:rsidR="004E1F92" w:rsidRPr="00C77E77" w:rsidRDefault="004E1F92" w:rsidP="00E72D12">
            <w:pPr>
              <w:autoSpaceDE w:val="0"/>
              <w:autoSpaceDN w:val="0"/>
              <w:adjustRightInd w:val="0"/>
              <w:spacing w:beforeLines="50" w:before="18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我國半導體具備充沛之產業技術人才，研發能力強，且優異之成本與品質管控能力。</w:t>
            </w:r>
          </w:p>
          <w:p w:rsidR="004E1F92" w:rsidRPr="00C77E77" w:rsidRDefault="004E1F92" w:rsidP="00E72D12">
            <w:pPr>
              <w:autoSpaceDE w:val="0"/>
              <w:autoSpaceDN w:val="0"/>
              <w:adjustRightInd w:val="0"/>
              <w:spacing w:beforeLines="50" w:before="18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我國矽晶太陽電池產業已達世界第二大，具備高效率產品量產能量但仍可保持低成本。</w:t>
            </w:r>
          </w:p>
          <w:p w:rsidR="00F73B49" w:rsidRPr="00C77E77" w:rsidRDefault="004E1F92" w:rsidP="00E72D12">
            <w:pPr>
              <w:autoSpaceDE w:val="0"/>
              <w:autoSpaceDN w:val="0"/>
              <w:adjustRightInd w:val="0"/>
              <w:spacing w:beforeLines="50" w:before="18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我國推動太陽光電系統設置，國內</w:t>
            </w:r>
            <w:r w:rsidRPr="00C77E77">
              <w:rPr>
                <w:rFonts w:ascii="Times New Roman" w:eastAsia="標楷體" w:hAnsi="Times New Roman" w:cs="Times New Roman"/>
                <w:color w:val="000000"/>
                <w:kern w:val="0"/>
                <w:szCs w:val="24"/>
              </w:rPr>
              <w:t>MW</w:t>
            </w:r>
            <w:r w:rsidRPr="00C77E77">
              <w:rPr>
                <w:rFonts w:ascii="Times New Roman" w:eastAsia="標楷體" w:hAnsi="Times New Roman" w:cs="Times New Roman"/>
                <w:color w:val="000000"/>
                <w:kern w:val="0"/>
                <w:szCs w:val="24"/>
              </w:rPr>
              <w:t>級系統設置能量已初步建立。</w:t>
            </w:r>
          </w:p>
        </w:tc>
        <w:tc>
          <w:tcPr>
            <w:tcW w:w="2500" w:type="pct"/>
          </w:tcPr>
          <w:p w:rsidR="004E1F92" w:rsidRPr="00C77E77" w:rsidRDefault="004E1F92" w:rsidP="00E72D12">
            <w:pPr>
              <w:autoSpaceDE w:val="0"/>
              <w:autoSpaceDN w:val="0"/>
              <w:adjustRightInd w:val="0"/>
              <w:spacing w:beforeLines="50" w:before="18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全球產業供過於求，產品毛利低，我國廠商因而降低研發投入。</w:t>
            </w:r>
          </w:p>
          <w:p w:rsidR="004E1F92" w:rsidRPr="00C77E77" w:rsidRDefault="004E1F92" w:rsidP="00E72D12">
            <w:pPr>
              <w:autoSpaceDE w:val="0"/>
              <w:autoSpaceDN w:val="0"/>
              <w:adjustRightInd w:val="0"/>
              <w:spacing w:beforeLines="50" w:before="18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我國系統內需市場規模小，產業不景氣時無法透過內需來提振國內業者競爭力。</w:t>
            </w:r>
          </w:p>
          <w:p w:rsidR="004E1F92" w:rsidRPr="00C77E77" w:rsidRDefault="004E1F92" w:rsidP="00E72D12">
            <w:pPr>
              <w:autoSpaceDE w:val="0"/>
              <w:autoSpaceDN w:val="0"/>
              <w:adjustRightInd w:val="0"/>
              <w:spacing w:beforeLines="50" w:before="18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我國系統與服務發展落後，金流操作不易，不利爭取大型國際案源。</w:t>
            </w:r>
          </w:p>
        </w:tc>
      </w:tr>
      <w:tr w:rsidR="008B0B95" w:rsidRPr="00C77E77" w:rsidTr="00F73B49">
        <w:trPr>
          <w:trHeight w:val="168"/>
          <w:jc w:val="center"/>
        </w:trPr>
        <w:tc>
          <w:tcPr>
            <w:tcW w:w="2500" w:type="pct"/>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lastRenderedPageBreak/>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2500" w:type="pct"/>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4E1F92" w:rsidRPr="00C77E77" w:rsidTr="00F73B49">
        <w:trPr>
          <w:trHeight w:val="984"/>
          <w:jc w:val="center"/>
        </w:trPr>
        <w:tc>
          <w:tcPr>
            <w:tcW w:w="2500" w:type="pct"/>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人民幣貶值，加上美國對大陸進行雙反政策，有利我國前進東南亞規避美國的反傾銷稅</w:t>
            </w:r>
          </w:p>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東協多國及印度皆大力發展太陽能產業，具有龐大的市場。</w:t>
            </w:r>
          </w:p>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全球太陽能終端系統市場仍在成長。</w:t>
            </w:r>
          </w:p>
        </w:tc>
        <w:tc>
          <w:tcPr>
            <w:tcW w:w="2500" w:type="pct"/>
          </w:tcPr>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中國大陸政府的太陽能產業也同樣開始布局東南亞及印度。</w:t>
            </w:r>
          </w:p>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新興市場國家藉由設置貿易障礙保護該國業者，不利於我國進入市場。</w:t>
            </w:r>
          </w:p>
          <w:p w:rsidR="004E1F92" w:rsidRPr="00C77E77" w:rsidRDefault="004E1F92" w:rsidP="00315772">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各國政府降低補助，太陽光電發電成本需再降低，才有發展潛力。</w:t>
            </w:r>
          </w:p>
        </w:tc>
      </w:tr>
    </w:tbl>
    <w:p w:rsidR="002979CA" w:rsidRPr="00C77E77" w:rsidRDefault="004E1F92" w:rsidP="002979CA">
      <w:pPr>
        <w:pStyle w:val="ab"/>
        <w:spacing w:line="240" w:lineRule="atLeast"/>
        <w:ind w:leftChars="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002979CA" w:rsidRPr="00C77E77">
        <w:rPr>
          <w:rFonts w:ascii="Times New Roman" w:eastAsia="標楷體" w:hAnsi="Times New Roman" w:cs="Times New Roman"/>
          <w:sz w:val="28"/>
          <w:szCs w:val="28"/>
        </w:rPr>
        <w:t>整理自</w:t>
      </w:r>
      <w:r w:rsidRPr="00C77E77">
        <w:rPr>
          <w:rFonts w:ascii="Times New Roman" w:eastAsia="標楷體" w:hAnsi="Times New Roman" w:cs="Times New Roman"/>
          <w:sz w:val="28"/>
          <w:szCs w:val="28"/>
        </w:rPr>
        <w:t>行政院綠色能源產業躍升計畫</w:t>
      </w:r>
    </w:p>
    <w:p w:rsidR="009D7FB5" w:rsidRPr="00C77E77" w:rsidRDefault="009D7FB5" w:rsidP="00764ED7">
      <w:pPr>
        <w:pStyle w:val="ab"/>
        <w:numPr>
          <w:ilvl w:val="0"/>
          <w:numId w:val="31"/>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LED</w:t>
      </w:r>
      <w:r w:rsidR="00B15079" w:rsidRPr="00C77E77">
        <w:rPr>
          <w:rFonts w:ascii="Times New Roman" w:eastAsia="標楷體" w:hAnsi="Times New Roman" w:cs="Times New Roman"/>
          <w:b/>
          <w:sz w:val="28"/>
          <w:szCs w:val="28"/>
        </w:rPr>
        <w:t>照明產業</w:t>
      </w:r>
    </w:p>
    <w:p w:rsidR="00B15079" w:rsidRPr="00C77E77" w:rsidRDefault="00B15079" w:rsidP="00B15079">
      <w:pPr>
        <w:pStyle w:val="ab"/>
        <w:spacing w:beforeLines="50" w:before="180" w:afterLines="50" w:after="180" w:line="500" w:lineRule="exact"/>
        <w:ind w:leftChars="295" w:left="708"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照明產業上、中、下游產業鏈完整，上游與中游具有相當的品牌競爭力。由於東南亞整體電價偏高，高昂的電費也就帶來節能之</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燈具的市場需求。近年來，隨著工廠生產線的照明需求，以及東南亞幾個主要國家經濟水準的提高，照明需求也相應提升，因此成為國內廠商關注的新興市場。</w:t>
      </w:r>
    </w:p>
    <w:p w:rsidR="00B15079" w:rsidRPr="00C77E77" w:rsidRDefault="008C2CEF" w:rsidP="00B15079">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短期</w:t>
      </w:r>
      <w:r w:rsidRPr="00C77E77">
        <w:rPr>
          <w:rFonts w:ascii="Times New Roman" w:eastAsia="標楷體" w:hAnsi="Times New Roman" w:cs="Times New Roman"/>
          <w:color w:val="000000" w:themeColor="text1"/>
          <w:sz w:val="28"/>
          <w:szCs w:val="28"/>
        </w:rPr>
        <w:t>來說，我國</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照明產業在</w:t>
      </w:r>
      <w:r w:rsidR="00B15079" w:rsidRPr="00C77E77">
        <w:rPr>
          <w:rFonts w:ascii="Times New Roman" w:eastAsia="標楷體" w:hAnsi="Times New Roman" w:cs="Times New Roman"/>
          <w:color w:val="000000" w:themeColor="text1"/>
          <w:sz w:val="28"/>
          <w:szCs w:val="28"/>
        </w:rPr>
        <w:t>東南亞及印度</w:t>
      </w:r>
      <w:r w:rsidRPr="00C77E77">
        <w:rPr>
          <w:rFonts w:ascii="Times New Roman" w:eastAsia="標楷體" w:hAnsi="Times New Roman" w:cs="Times New Roman"/>
          <w:color w:val="000000" w:themeColor="text1"/>
          <w:sz w:val="28"/>
          <w:szCs w:val="28"/>
        </w:rPr>
        <w:t>在兩個部分具</w:t>
      </w:r>
      <w:r w:rsidR="00B15079" w:rsidRPr="00C77E77">
        <w:rPr>
          <w:rFonts w:ascii="Times New Roman" w:eastAsia="標楷體" w:hAnsi="Times New Roman" w:cs="Times New Roman"/>
          <w:color w:val="000000" w:themeColor="text1"/>
          <w:sz w:val="28"/>
          <w:szCs w:val="28"/>
        </w:rPr>
        <w:t>有相當大的市場潛力，一是</w:t>
      </w:r>
      <w:r w:rsidR="00B15079" w:rsidRPr="00C77E77">
        <w:rPr>
          <w:rFonts w:ascii="Times New Roman" w:eastAsia="標楷體" w:hAnsi="Times New Roman" w:cs="Times New Roman"/>
          <w:color w:val="000000" w:themeColor="text1"/>
          <w:sz w:val="28"/>
          <w:szCs w:val="28"/>
        </w:rPr>
        <w:t>LED</w:t>
      </w:r>
      <w:r w:rsidR="00B15079" w:rsidRPr="00C77E77">
        <w:rPr>
          <w:rFonts w:ascii="Times New Roman" w:eastAsia="標楷體" w:hAnsi="Times New Roman" w:cs="Times New Roman"/>
          <w:color w:val="000000" w:themeColor="text1"/>
          <w:sz w:val="28"/>
          <w:szCs w:val="28"/>
        </w:rPr>
        <w:t>路燈，另一個是</w:t>
      </w:r>
      <w:r w:rsidR="00B15079" w:rsidRPr="00C77E77">
        <w:rPr>
          <w:rFonts w:ascii="Times New Roman" w:eastAsia="標楷體" w:hAnsi="Times New Roman" w:cs="Times New Roman"/>
          <w:color w:val="000000" w:themeColor="text1"/>
          <w:sz w:val="28"/>
          <w:szCs w:val="28"/>
        </w:rPr>
        <w:t>LED</w:t>
      </w:r>
      <w:r w:rsidR="00B15079" w:rsidRPr="00C77E77">
        <w:rPr>
          <w:rFonts w:ascii="Times New Roman" w:eastAsia="標楷體" w:hAnsi="Times New Roman" w:cs="Times New Roman"/>
          <w:color w:val="000000" w:themeColor="text1"/>
          <w:sz w:val="28"/>
          <w:szCs w:val="28"/>
        </w:rPr>
        <w:t>車用照明，在這兩方面，印度有相當大的市場需求，新加坡、馬來西亞、泰國、印尼、菲律賓、越南等國也是新南向政策可以積極開拓的市場。</w:t>
      </w:r>
      <w:r w:rsidR="000D730A" w:rsidRPr="00C77E77">
        <w:rPr>
          <w:rFonts w:ascii="Times New Roman" w:eastAsia="標楷體" w:hAnsi="Times New Roman" w:cs="Times New Roman"/>
          <w:color w:val="000000" w:themeColor="text1"/>
          <w:sz w:val="28"/>
          <w:szCs w:val="28"/>
        </w:rPr>
        <w:t>東南亞及印度的路燈與交通運輸照明皆有十分龐大的</w:t>
      </w:r>
      <w:r w:rsidR="000D730A" w:rsidRPr="00C77E77">
        <w:rPr>
          <w:rFonts w:ascii="Times New Roman" w:eastAsia="標楷體" w:hAnsi="Times New Roman" w:cs="Times New Roman"/>
          <w:color w:val="000000" w:themeColor="text1"/>
          <w:sz w:val="28"/>
          <w:szCs w:val="28"/>
        </w:rPr>
        <w:t>LED</w:t>
      </w:r>
      <w:r w:rsidR="000D730A" w:rsidRPr="00C77E77">
        <w:rPr>
          <w:rFonts w:ascii="Times New Roman" w:eastAsia="標楷體" w:hAnsi="Times New Roman" w:cs="Times New Roman"/>
          <w:color w:val="000000" w:themeColor="text1"/>
          <w:sz w:val="28"/>
          <w:szCs w:val="28"/>
        </w:rPr>
        <w:t>市場，但這兩者由於以政府標案為主，都需要熟悉當地法規，建議政府可以輔導廠商，或提供相關資訊以利臺商取得當地政府標案。</w:t>
      </w:r>
    </w:p>
    <w:p w:rsidR="00B36375" w:rsidRPr="00C77E77" w:rsidRDefault="00B36375" w:rsidP="00B36375">
      <w:pPr>
        <w:pStyle w:val="ab"/>
        <w:spacing w:beforeLines="50" w:before="180" w:afterLines="50" w:after="180" w:line="500" w:lineRule="exact"/>
        <w:ind w:leftChars="295" w:left="708" w:firstLineChars="202" w:firstLine="566"/>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我國</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產業鏈完整，但是除了上游晶片</w:t>
      </w:r>
      <w:r w:rsidRPr="00C77E77">
        <w:rPr>
          <w:rFonts w:ascii="Times New Roman" w:eastAsia="標楷體" w:hAnsi="Times New Roman" w:cs="Times New Roman"/>
          <w:sz w:val="28"/>
          <w:szCs w:val="28"/>
        </w:rPr>
        <w:t>業者受到中國大陸業者的強力競爭外，下游照明</w:t>
      </w:r>
      <w:r w:rsidRPr="00C77E77">
        <w:rPr>
          <w:rFonts w:ascii="Times New Roman" w:eastAsia="標楷體" w:hAnsi="Times New Roman" w:cs="Times New Roman"/>
          <w:color w:val="000000" w:themeColor="text1"/>
          <w:sz w:val="28"/>
          <w:szCs w:val="28"/>
        </w:rPr>
        <w:t>產品出口的關稅條件相較於中國大陸廠商則同樣處於較為不利的地位。因此，</w:t>
      </w:r>
      <w:r w:rsidR="00A04039" w:rsidRPr="00C77E77">
        <w:rPr>
          <w:rFonts w:ascii="Times New Roman" w:eastAsia="標楷體" w:hAnsi="Times New Roman" w:cs="Times New Roman"/>
          <w:b/>
          <w:color w:val="000000" w:themeColor="text1"/>
          <w:sz w:val="28"/>
          <w:szCs w:val="28"/>
        </w:rPr>
        <w:t>中期</w:t>
      </w:r>
      <w:r w:rsidR="00F02A55" w:rsidRPr="00C77E77">
        <w:rPr>
          <w:rFonts w:ascii="Times New Roman" w:eastAsia="標楷體" w:hAnsi="Times New Roman" w:cs="Times New Roman"/>
          <w:color w:val="000000" w:themeColor="text1"/>
          <w:sz w:val="28"/>
          <w:szCs w:val="28"/>
        </w:rPr>
        <w:t>應</w:t>
      </w:r>
      <w:r w:rsidRPr="00C77E77">
        <w:rPr>
          <w:rFonts w:ascii="Times New Roman" w:eastAsia="標楷體" w:hAnsi="Times New Roman" w:cs="Times New Roman"/>
          <w:color w:val="000000" w:themeColor="text1"/>
          <w:sz w:val="28"/>
          <w:szCs w:val="28"/>
        </w:rPr>
        <w:t>整合廠商、擴大規模，讓我國</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廠商更具有國際競爭力。</w:t>
      </w:r>
      <w:r w:rsidR="00A04039" w:rsidRPr="00C77E77">
        <w:rPr>
          <w:rFonts w:ascii="Times New Roman" w:eastAsia="標楷體" w:hAnsi="Times New Roman" w:cs="Times New Roman"/>
          <w:color w:val="000000" w:themeColor="text1"/>
          <w:sz w:val="28"/>
          <w:szCs w:val="28"/>
        </w:rPr>
        <w:t>同時</w:t>
      </w:r>
      <w:r w:rsidR="00A04039" w:rsidRPr="00C77E77">
        <w:rPr>
          <w:rFonts w:ascii="Times New Roman" w:eastAsia="標楷體" w:hAnsi="Times New Roman" w:cs="Times New Roman"/>
          <w:color w:val="000000" w:themeColor="text1"/>
          <w:sz w:val="28"/>
          <w:szCs w:val="28"/>
        </w:rPr>
        <w:t>LED</w:t>
      </w:r>
      <w:r w:rsidR="00A04039" w:rsidRPr="00C77E77">
        <w:rPr>
          <w:rFonts w:ascii="Times New Roman" w:eastAsia="標楷體" w:hAnsi="Times New Roman" w:cs="Times New Roman"/>
          <w:color w:val="000000" w:themeColor="text1"/>
          <w:sz w:val="28"/>
          <w:szCs w:val="28"/>
        </w:rPr>
        <w:t>產業更應主打品牌形象，與臺灣意象進行結合，在推動與新南向國家雙向互動上以</w:t>
      </w:r>
      <w:r w:rsidR="00A04039" w:rsidRPr="00C77E77">
        <w:rPr>
          <w:rFonts w:ascii="Times New Roman" w:eastAsia="標楷體" w:hAnsi="Times New Roman" w:cs="Times New Roman"/>
          <w:color w:val="000000" w:themeColor="text1"/>
          <w:sz w:val="28"/>
          <w:szCs w:val="28"/>
        </w:rPr>
        <w:t>LED</w:t>
      </w:r>
      <w:r w:rsidR="00A04039" w:rsidRPr="00C77E77">
        <w:rPr>
          <w:rFonts w:ascii="Times New Roman" w:eastAsia="標楷體" w:hAnsi="Times New Roman" w:cs="Times New Roman"/>
          <w:color w:val="000000" w:themeColor="text1"/>
          <w:sz w:val="28"/>
          <w:szCs w:val="28"/>
        </w:rPr>
        <w:t>光電商品來行銷臺灣。</w:t>
      </w:r>
      <w:r w:rsidR="00A04039" w:rsidRPr="00C77E77">
        <w:rPr>
          <w:rFonts w:ascii="Times New Roman" w:eastAsia="標楷體" w:hAnsi="Times New Roman" w:cs="Times New Roman"/>
          <w:color w:val="000000" w:themeColor="text1"/>
          <w:sz w:val="28"/>
          <w:szCs w:val="28"/>
        </w:rPr>
        <w:t xml:space="preserve"> </w:t>
      </w:r>
    </w:p>
    <w:p w:rsidR="00B36375" w:rsidRPr="00C77E77" w:rsidRDefault="000D730A" w:rsidP="00EB16F4">
      <w:pPr>
        <w:pStyle w:val="ab"/>
        <w:spacing w:beforeLines="50" w:before="180" w:afterLines="50" w:after="180" w:line="500" w:lineRule="exact"/>
        <w:ind w:leftChars="295" w:left="708"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b/>
          <w:color w:val="000000" w:themeColor="text1"/>
          <w:sz w:val="28"/>
          <w:szCs w:val="28"/>
        </w:rPr>
        <w:lastRenderedPageBreak/>
        <w:t>長期</w:t>
      </w:r>
      <w:r w:rsidRPr="00C77E77">
        <w:rPr>
          <w:rFonts w:ascii="Times New Roman" w:eastAsia="標楷體" w:hAnsi="Times New Roman" w:cs="Times New Roman"/>
          <w:color w:val="000000" w:themeColor="text1"/>
          <w:sz w:val="28"/>
          <w:szCs w:val="28"/>
        </w:rPr>
        <w:t>應積極因應中國大陸與韓國的競爭，建議與往來頻繁之國家，如馬來西亞等，先行洽談</w:t>
      </w:r>
      <w:r w:rsidRPr="00C77E77">
        <w:rPr>
          <w:rFonts w:ascii="Times New Roman" w:eastAsia="標楷體" w:hAnsi="Times New Roman" w:cs="Times New Roman"/>
          <w:color w:val="000000" w:themeColor="text1"/>
          <w:sz w:val="28"/>
          <w:szCs w:val="28"/>
        </w:rPr>
        <w:t>FTA</w:t>
      </w:r>
      <w:r w:rsidRPr="00C77E77">
        <w:rPr>
          <w:rFonts w:ascii="Times New Roman" w:eastAsia="標楷體" w:hAnsi="Times New Roman" w:cs="Times New Roman"/>
          <w:color w:val="000000" w:themeColor="text1"/>
          <w:sz w:val="28"/>
          <w:szCs w:val="28"/>
        </w:rPr>
        <w:t>，以降低關稅障礙。</w:t>
      </w:r>
      <w:r w:rsidR="00B36375" w:rsidRPr="00C77E77">
        <w:rPr>
          <w:rFonts w:ascii="Times New Roman" w:eastAsia="標楷體" w:hAnsi="Times New Roman" w:cs="Times New Roman"/>
          <w:color w:val="000000" w:themeColor="text1"/>
          <w:sz w:val="28"/>
          <w:szCs w:val="28"/>
        </w:rPr>
        <w:t>東南亞及印度的</w:t>
      </w:r>
      <w:r w:rsidR="00B36375" w:rsidRPr="00C77E77">
        <w:rPr>
          <w:rFonts w:ascii="Times New Roman" w:eastAsia="標楷體" w:hAnsi="Times New Roman" w:cs="Times New Roman"/>
          <w:color w:val="000000" w:themeColor="text1"/>
          <w:sz w:val="28"/>
          <w:szCs w:val="28"/>
        </w:rPr>
        <w:t>LED</w:t>
      </w:r>
      <w:r w:rsidR="00B36375" w:rsidRPr="00C77E77">
        <w:rPr>
          <w:rFonts w:ascii="Times New Roman" w:eastAsia="標楷體" w:hAnsi="Times New Roman" w:cs="Times New Roman"/>
          <w:color w:val="000000" w:themeColor="text1"/>
          <w:sz w:val="28"/>
          <w:szCs w:val="28"/>
        </w:rPr>
        <w:t>照明需求大增，確實是未來的市場方向，但由於我國並未與東南亞及南亞各國簽訂</w:t>
      </w:r>
      <w:r w:rsidR="00B36375" w:rsidRPr="00C77E77">
        <w:rPr>
          <w:rFonts w:ascii="Times New Roman" w:eastAsia="標楷體" w:hAnsi="Times New Roman" w:cs="Times New Roman"/>
          <w:color w:val="000000" w:themeColor="text1"/>
          <w:sz w:val="28"/>
          <w:szCs w:val="28"/>
        </w:rPr>
        <w:t>FTA</w:t>
      </w:r>
      <w:r w:rsidR="00B36375" w:rsidRPr="00C77E77">
        <w:rPr>
          <w:rFonts w:ascii="Times New Roman" w:eastAsia="標楷體" w:hAnsi="Times New Roman" w:cs="Times New Roman"/>
          <w:color w:val="000000" w:themeColor="text1"/>
          <w:sz w:val="28"/>
          <w:szCs w:val="28"/>
        </w:rPr>
        <w:t>，使得我國在出</w:t>
      </w:r>
      <w:r w:rsidR="00B36375" w:rsidRPr="00C77E77">
        <w:rPr>
          <w:rFonts w:ascii="Times New Roman" w:eastAsia="標楷體" w:hAnsi="Times New Roman" w:cs="Times New Roman"/>
          <w:sz w:val="28"/>
          <w:szCs w:val="28"/>
        </w:rPr>
        <w:t>口競爭上處於不利的位置。</w:t>
      </w:r>
    </w:p>
    <w:p w:rsidR="00956986" w:rsidRPr="00C77E77" w:rsidRDefault="00956986" w:rsidP="00956986">
      <w:pPr>
        <w:pStyle w:val="af9"/>
      </w:pPr>
      <w:bookmarkStart w:id="158" w:name="_Toc470676618"/>
      <w:r w:rsidRPr="00C77E77">
        <w:t>表</w:t>
      </w:r>
      <w:r w:rsidRPr="00C77E77">
        <w:t xml:space="preserve">5-2-8 </w:t>
      </w:r>
      <w:r w:rsidRPr="00C77E77">
        <w:t>我國</w:t>
      </w:r>
      <w:r w:rsidRPr="00C77E77">
        <w:t>LED</w:t>
      </w:r>
      <w:r w:rsidRPr="00C77E77">
        <w:t>照明光電產業之</w:t>
      </w:r>
      <w:r w:rsidRPr="00C77E77">
        <w:t>SWOT</w:t>
      </w:r>
      <w:r w:rsidRPr="00C77E77">
        <w:t>分析</w:t>
      </w:r>
      <w:bookmarkEnd w:id="15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0"/>
        <w:gridCol w:w="4252"/>
      </w:tblGrid>
      <w:tr w:rsidR="00956986" w:rsidRPr="00C77E77" w:rsidTr="00F90C03">
        <w:trPr>
          <w:trHeight w:val="168"/>
          <w:jc w:val="center"/>
        </w:trPr>
        <w:tc>
          <w:tcPr>
            <w:tcW w:w="4390" w:type="dxa"/>
          </w:tcPr>
          <w:p w:rsidR="00956986" w:rsidRPr="00C77E77" w:rsidRDefault="00956986"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006E20A1" w:rsidRPr="00C77E77">
              <w:rPr>
                <w:rFonts w:ascii="Times New Roman" w:eastAsia="標楷體" w:hAnsi="Times New Roman" w:cs="Times New Roman"/>
                <w:b/>
                <w:bCs/>
                <w:color w:val="000000"/>
                <w:kern w:val="0"/>
                <w:szCs w:val="24"/>
              </w:rPr>
              <w:t>（</w:t>
            </w:r>
            <w:r w:rsidR="006E20A1" w:rsidRPr="00C77E77">
              <w:rPr>
                <w:rFonts w:ascii="Times New Roman" w:eastAsia="標楷體" w:hAnsi="Times New Roman" w:cs="Times New Roman"/>
                <w:b/>
                <w:bCs/>
                <w:color w:val="000000"/>
                <w:kern w:val="0"/>
                <w:szCs w:val="24"/>
              </w:rPr>
              <w:t>S</w:t>
            </w:r>
            <w:r w:rsidR="006E20A1" w:rsidRPr="00C77E77">
              <w:rPr>
                <w:rFonts w:ascii="Times New Roman" w:eastAsia="標楷體" w:hAnsi="Times New Roman" w:cs="Times New Roman"/>
                <w:b/>
                <w:bCs/>
                <w:color w:val="000000"/>
                <w:kern w:val="0"/>
                <w:szCs w:val="24"/>
              </w:rPr>
              <w:t>）</w:t>
            </w:r>
          </w:p>
        </w:tc>
        <w:tc>
          <w:tcPr>
            <w:tcW w:w="4252" w:type="dxa"/>
          </w:tcPr>
          <w:p w:rsidR="00956986" w:rsidRPr="00C77E77" w:rsidRDefault="00956986"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006E20A1" w:rsidRPr="00C77E77">
              <w:rPr>
                <w:rFonts w:ascii="Times New Roman" w:eastAsia="標楷體" w:hAnsi="Times New Roman" w:cs="Times New Roman"/>
                <w:b/>
                <w:bCs/>
                <w:color w:val="000000"/>
                <w:kern w:val="0"/>
                <w:szCs w:val="24"/>
              </w:rPr>
              <w:t>（</w:t>
            </w:r>
            <w:r w:rsidR="006E20A1" w:rsidRPr="00C77E77">
              <w:rPr>
                <w:rFonts w:ascii="Times New Roman" w:eastAsia="標楷體" w:hAnsi="Times New Roman" w:cs="Times New Roman"/>
                <w:b/>
                <w:bCs/>
                <w:color w:val="000000"/>
                <w:kern w:val="0"/>
                <w:szCs w:val="24"/>
              </w:rPr>
              <w:t>W</w:t>
            </w:r>
            <w:r w:rsidR="006E20A1" w:rsidRPr="00C77E77">
              <w:rPr>
                <w:rFonts w:ascii="Times New Roman" w:eastAsia="標楷體" w:hAnsi="Times New Roman" w:cs="Times New Roman"/>
                <w:b/>
                <w:bCs/>
                <w:color w:val="000000"/>
                <w:kern w:val="0"/>
                <w:szCs w:val="24"/>
              </w:rPr>
              <w:t>）</w:t>
            </w:r>
          </w:p>
        </w:tc>
      </w:tr>
      <w:tr w:rsidR="00956986" w:rsidRPr="00C77E77" w:rsidTr="00F90C03">
        <w:trPr>
          <w:trHeight w:val="1551"/>
          <w:jc w:val="center"/>
        </w:trPr>
        <w:tc>
          <w:tcPr>
            <w:tcW w:w="4390" w:type="dxa"/>
          </w:tcPr>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LED</w:t>
            </w:r>
            <w:r w:rsidRPr="00C77E77">
              <w:rPr>
                <w:rFonts w:ascii="Times New Roman" w:eastAsia="標楷體" w:hAnsi="Times New Roman" w:cs="Times New Roman"/>
                <w:color w:val="000000"/>
                <w:kern w:val="0"/>
                <w:szCs w:val="24"/>
              </w:rPr>
              <w:t>產業鏈結構完整，具研發技術能量，</w:t>
            </w:r>
            <w:r w:rsidRPr="00C77E77">
              <w:rPr>
                <w:rFonts w:ascii="Times New Roman" w:eastAsia="標楷體" w:hAnsi="Times New Roman" w:cs="Times New Roman"/>
                <w:color w:val="000000"/>
                <w:kern w:val="0"/>
                <w:szCs w:val="24"/>
              </w:rPr>
              <w:t>LED</w:t>
            </w:r>
            <w:r w:rsidRPr="00C77E77">
              <w:rPr>
                <w:rFonts w:ascii="Times New Roman" w:eastAsia="標楷體" w:hAnsi="Times New Roman" w:cs="Times New Roman"/>
                <w:color w:val="000000"/>
                <w:kern w:val="0"/>
                <w:szCs w:val="24"/>
              </w:rPr>
              <w:t>中、上游產業具有國際競爭力。</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傳統照明業應變力佳，擁有海外行銷經驗，跨業結合可加速開拓</w:t>
            </w:r>
            <w:r w:rsidRPr="00C77E77">
              <w:rPr>
                <w:rFonts w:ascii="Times New Roman" w:eastAsia="標楷體" w:hAnsi="Times New Roman" w:cs="Times New Roman"/>
                <w:color w:val="000000"/>
                <w:kern w:val="0"/>
                <w:szCs w:val="24"/>
              </w:rPr>
              <w:t>LED</w:t>
            </w:r>
            <w:r w:rsidRPr="00C77E77">
              <w:rPr>
                <w:rFonts w:ascii="Times New Roman" w:eastAsia="標楷體" w:hAnsi="Times New Roman" w:cs="Times New Roman"/>
                <w:color w:val="000000"/>
                <w:kern w:val="0"/>
                <w:szCs w:val="24"/>
              </w:rPr>
              <w:t>照明海外市場。</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擁有完整</w:t>
            </w:r>
            <w:r w:rsidRPr="00C77E77">
              <w:rPr>
                <w:rFonts w:ascii="Times New Roman" w:eastAsia="標楷體" w:hAnsi="Times New Roman" w:cs="Times New Roman"/>
                <w:color w:val="000000"/>
                <w:kern w:val="0"/>
                <w:szCs w:val="24"/>
              </w:rPr>
              <w:t>OLED</w:t>
            </w:r>
            <w:r w:rsidRPr="00C77E77">
              <w:rPr>
                <w:rFonts w:ascii="Times New Roman" w:eastAsia="標楷體" w:hAnsi="Times New Roman" w:cs="Times New Roman"/>
                <w:color w:val="000000"/>
                <w:kern w:val="0"/>
                <w:szCs w:val="24"/>
              </w:rPr>
              <w:t>材料及元件開發技術團隊及經驗，研發團隊起步早，具有</w:t>
            </w:r>
            <w:r w:rsidRPr="00C77E77">
              <w:rPr>
                <w:rFonts w:ascii="Times New Roman" w:eastAsia="標楷體" w:hAnsi="Times New Roman" w:cs="Times New Roman"/>
                <w:color w:val="000000"/>
                <w:kern w:val="0"/>
                <w:szCs w:val="24"/>
              </w:rPr>
              <w:t>AMOLED</w:t>
            </w:r>
            <w:r w:rsidRPr="00C77E77">
              <w:rPr>
                <w:rFonts w:ascii="Times New Roman" w:eastAsia="標楷體" w:hAnsi="Times New Roman" w:cs="Times New Roman"/>
                <w:color w:val="000000"/>
                <w:kern w:val="0"/>
                <w:szCs w:val="24"/>
              </w:rPr>
              <w:t>量產技術與專利布局基礎。</w:t>
            </w:r>
          </w:p>
        </w:tc>
        <w:tc>
          <w:tcPr>
            <w:tcW w:w="4252" w:type="dxa"/>
          </w:tcPr>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LED</w:t>
            </w:r>
            <w:r w:rsidRPr="00C77E77">
              <w:rPr>
                <w:rFonts w:ascii="Times New Roman" w:eastAsia="標楷體" w:hAnsi="Times New Roman" w:cs="Times New Roman"/>
                <w:color w:val="000000"/>
                <w:kern w:val="0"/>
                <w:szCs w:val="24"/>
              </w:rPr>
              <w:t>元件專利受制國際大廠。</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LED</w:t>
            </w:r>
            <w:r w:rsidRPr="00C77E77">
              <w:rPr>
                <w:rFonts w:ascii="Times New Roman" w:eastAsia="標楷體" w:hAnsi="Times New Roman" w:cs="Times New Roman"/>
                <w:color w:val="000000"/>
                <w:kern w:val="0"/>
                <w:szCs w:val="24"/>
              </w:rPr>
              <w:t>照明控光（智慧）領域技術落後歐美先進國家。</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產業分工模式，不利產品開發與技術發展。</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無法主導國際標準／規格。</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缺乏品牌通路與應用實績。</w:t>
            </w:r>
            <w:r w:rsidRPr="00C77E77">
              <w:rPr>
                <w:rFonts w:ascii="Times New Roman" w:eastAsia="標楷體" w:hAnsi="Times New Roman" w:cs="Times New Roman"/>
                <w:color w:val="000000"/>
                <w:kern w:val="0"/>
                <w:szCs w:val="24"/>
              </w:rPr>
              <w:t xml:space="preserve"> </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缺乏系統整合經營能力與商業模式。</w:t>
            </w:r>
          </w:p>
        </w:tc>
      </w:tr>
      <w:tr w:rsidR="008B0B95" w:rsidRPr="00C77E77" w:rsidTr="00F90C03">
        <w:trPr>
          <w:trHeight w:val="168"/>
          <w:jc w:val="center"/>
        </w:trPr>
        <w:tc>
          <w:tcPr>
            <w:tcW w:w="4390"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4252"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956986" w:rsidRPr="00C77E77" w:rsidTr="00F90C03">
        <w:trPr>
          <w:trHeight w:val="1561"/>
          <w:jc w:val="center"/>
        </w:trPr>
        <w:tc>
          <w:tcPr>
            <w:tcW w:w="4390" w:type="dxa"/>
          </w:tcPr>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全球節能減碳意識及能源價格高漲，各國政府積極推動綠色能源產業，</w:t>
            </w:r>
            <w:r w:rsidRPr="00C77E77">
              <w:rPr>
                <w:rFonts w:ascii="Times New Roman" w:eastAsia="標楷體" w:hAnsi="Times New Roman" w:cs="Times New Roman"/>
                <w:color w:val="000000"/>
                <w:kern w:val="0"/>
                <w:szCs w:val="24"/>
              </w:rPr>
              <w:t>LED</w:t>
            </w:r>
            <w:r w:rsidRPr="00C77E77">
              <w:rPr>
                <w:rFonts w:ascii="Times New Roman" w:eastAsia="標楷體" w:hAnsi="Times New Roman" w:cs="Times New Roman"/>
                <w:color w:val="000000"/>
                <w:kern w:val="0"/>
                <w:szCs w:val="24"/>
              </w:rPr>
              <w:t>照明商機無窮。</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政府積極投入關鍵技術研發，並以示範計畫，擴大業者實績，提升業者技術能量與競爭力。</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整個東南亞市場的</w:t>
            </w:r>
            <w:r w:rsidRPr="00C77E77">
              <w:rPr>
                <w:rFonts w:ascii="Times New Roman" w:eastAsia="標楷體" w:hAnsi="Times New Roman" w:cs="Times New Roman"/>
                <w:color w:val="000000"/>
                <w:kern w:val="0"/>
                <w:szCs w:val="24"/>
              </w:rPr>
              <w:t>LED</w:t>
            </w:r>
            <w:r w:rsidRPr="00C77E77">
              <w:rPr>
                <w:rFonts w:ascii="Times New Roman" w:eastAsia="標楷體" w:hAnsi="Times New Roman" w:cs="Times New Roman"/>
                <w:color w:val="000000"/>
                <w:kern w:val="0"/>
                <w:szCs w:val="24"/>
              </w:rPr>
              <w:t>照明需求快速增長。</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東南亞市場的</w:t>
            </w:r>
            <w:r w:rsidRPr="00C77E77">
              <w:rPr>
                <w:rFonts w:ascii="Times New Roman" w:eastAsia="標楷體" w:hAnsi="Times New Roman" w:cs="Times New Roman"/>
                <w:color w:val="000000"/>
                <w:kern w:val="0"/>
                <w:szCs w:val="24"/>
              </w:rPr>
              <w:t>LED</w:t>
            </w:r>
            <w:r w:rsidRPr="00C77E77">
              <w:rPr>
                <w:rFonts w:ascii="Times New Roman" w:eastAsia="標楷體" w:hAnsi="Times New Roman" w:cs="Times New Roman"/>
                <w:color w:val="000000"/>
                <w:kern w:val="0"/>
                <w:szCs w:val="24"/>
              </w:rPr>
              <w:t>路燈與車用照明仍有相當大的市場潛力。</w:t>
            </w:r>
          </w:p>
        </w:tc>
        <w:tc>
          <w:tcPr>
            <w:tcW w:w="4252" w:type="dxa"/>
          </w:tcPr>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中國大陸與韓國崛起，我國產業面臨挑戰，尤其是臺灣與東協的高關稅不利我國商品出口。</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國際產品標準規格尚不確定，廠商投入量產具風險。</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燈具產業規模小，家數多產業整合不易，國際大廠已佈局</w:t>
            </w:r>
            <w:r w:rsidRPr="00C77E77">
              <w:rPr>
                <w:rFonts w:ascii="Times New Roman" w:eastAsia="標楷體" w:hAnsi="Times New Roman" w:cs="Times New Roman"/>
                <w:color w:val="000000"/>
                <w:kern w:val="0"/>
                <w:szCs w:val="24"/>
              </w:rPr>
              <w:t>LED</w:t>
            </w:r>
            <w:r w:rsidRPr="00C77E77">
              <w:rPr>
                <w:rFonts w:ascii="Times New Roman" w:eastAsia="標楷體" w:hAnsi="Times New Roman" w:cs="Times New Roman"/>
                <w:color w:val="000000"/>
                <w:kern w:val="0"/>
                <w:szCs w:val="24"/>
              </w:rPr>
              <w:t>燈具與系統市場，具品牌與通路優勢。</w:t>
            </w:r>
          </w:p>
          <w:p w:rsidR="00956986" w:rsidRPr="00C77E77" w:rsidRDefault="00956986" w:rsidP="00F90C03">
            <w:pPr>
              <w:autoSpaceDE w:val="0"/>
              <w:autoSpaceDN w:val="0"/>
              <w:adjustRightInd w:val="0"/>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我國廠商對東南亞地方政府法規不熟，需要政府協助媒合。</w:t>
            </w:r>
          </w:p>
        </w:tc>
      </w:tr>
    </w:tbl>
    <w:p w:rsidR="004E1F92" w:rsidRPr="00C77E77" w:rsidRDefault="00956986" w:rsidP="0098468D">
      <w:pPr>
        <w:pStyle w:val="ab"/>
        <w:ind w:leftChars="0" w:left="7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資料來源：整理自行政院綠色能源產業躍升計畫</w:t>
      </w:r>
    </w:p>
    <w:p w:rsidR="009D7FB5" w:rsidRPr="00C77E77" w:rsidRDefault="009D7FB5" w:rsidP="00764ED7">
      <w:pPr>
        <w:pStyle w:val="ab"/>
        <w:numPr>
          <w:ilvl w:val="0"/>
          <w:numId w:val="31"/>
        </w:numPr>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綠色運輸</w:t>
      </w:r>
    </w:p>
    <w:p w:rsidR="00B15079" w:rsidRPr="00C77E77" w:rsidRDefault="00654659" w:rsidP="00D55D77">
      <w:pPr>
        <w:pStyle w:val="ab"/>
        <w:spacing w:beforeLines="50" w:before="180" w:afterLines="50" w:after="180" w:line="500" w:lineRule="exact"/>
        <w:ind w:leftChars="0" w:left="708" w:firstLine="480"/>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w:t>
      </w:r>
      <w:r w:rsidR="00D55D77" w:rsidRPr="00C77E77">
        <w:rPr>
          <w:rFonts w:ascii="Times New Roman" w:eastAsia="標楷體" w:hAnsi="Times New Roman" w:cs="Times New Roman"/>
          <w:sz w:val="28"/>
          <w:szCs w:val="28"/>
        </w:rPr>
        <w:t>綠色運輸產業在東南亞及</w:t>
      </w:r>
      <w:r w:rsidRPr="00C77E77">
        <w:rPr>
          <w:rFonts w:ascii="Times New Roman" w:eastAsia="標楷體" w:hAnsi="Times New Roman" w:cs="Times New Roman"/>
          <w:sz w:val="28"/>
          <w:szCs w:val="28"/>
        </w:rPr>
        <w:t>印度</w:t>
      </w:r>
      <w:r w:rsidR="00D55D77" w:rsidRPr="00C77E77">
        <w:rPr>
          <w:rFonts w:ascii="Times New Roman" w:eastAsia="標楷體" w:hAnsi="Times New Roman" w:cs="Times New Roman"/>
          <w:sz w:val="28"/>
          <w:szCs w:val="28"/>
        </w:rPr>
        <w:t>因為面對強大實力的中國大陸電動車產業之競爭，且相較於中國大陸的電動車廠商，臺灣廠商在東南亞的布局進度略嫌緩慢，</w:t>
      </w:r>
      <w:r w:rsidR="00DC3F75" w:rsidRPr="00C77E77">
        <w:rPr>
          <w:rFonts w:ascii="Times New Roman" w:eastAsia="標楷體" w:hAnsi="Times New Roman" w:cs="Times New Roman"/>
          <w:sz w:val="28"/>
          <w:szCs w:val="28"/>
        </w:rPr>
        <w:t>加上電動車價格較一般燃油車輛高，以較具消費能力的先進國家為主</w:t>
      </w:r>
      <w:r w:rsidRPr="00C77E77">
        <w:rPr>
          <w:rFonts w:ascii="Times New Roman" w:eastAsia="標楷體" w:hAnsi="Times New Roman" w:cs="Times New Roman"/>
          <w:sz w:val="28"/>
          <w:szCs w:val="28"/>
        </w:rPr>
        <w:t>，</w:t>
      </w:r>
      <w:r w:rsidR="00DC3F75" w:rsidRPr="00C77E77">
        <w:rPr>
          <w:rFonts w:ascii="Times New Roman" w:eastAsia="標楷體" w:hAnsi="Times New Roman" w:cs="Times New Roman"/>
          <w:sz w:val="28"/>
          <w:szCs w:val="28"/>
        </w:rPr>
        <w:t>因此</w:t>
      </w:r>
      <w:r w:rsidRPr="00C77E77">
        <w:rPr>
          <w:rFonts w:ascii="Times New Roman" w:eastAsia="標楷體" w:hAnsi="Times New Roman" w:cs="Times New Roman"/>
          <w:sz w:val="28"/>
          <w:szCs w:val="28"/>
        </w:rPr>
        <w:t>整體競爭情況對臺商相當不利</w:t>
      </w:r>
      <w:r w:rsidR="00D55D77" w:rsidRPr="00C77E77">
        <w:rPr>
          <w:rFonts w:ascii="Times New Roman" w:eastAsia="標楷體" w:hAnsi="Times New Roman" w:cs="Times New Roman"/>
          <w:sz w:val="28"/>
          <w:szCs w:val="28"/>
        </w:rPr>
        <w:t>。</w:t>
      </w:r>
    </w:p>
    <w:p w:rsidR="007900BD" w:rsidRPr="00C77E77" w:rsidRDefault="007900BD" w:rsidP="00B15079">
      <w:pPr>
        <w:pStyle w:val="ab"/>
        <w:spacing w:beforeLines="50" w:before="180" w:afterLines="50" w:after="180" w:line="500" w:lineRule="exact"/>
        <w:ind w:leftChars="295" w:left="708" w:firstLineChars="202" w:firstLine="566"/>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lastRenderedPageBreak/>
        <w:t>以新南向政策之產業布局而言，</w:t>
      </w:r>
      <w:r w:rsidR="00702FDC" w:rsidRPr="00C77E77">
        <w:rPr>
          <w:rFonts w:ascii="Times New Roman" w:eastAsia="標楷體" w:hAnsi="Times New Roman" w:cs="Times New Roman"/>
          <w:sz w:val="28"/>
          <w:szCs w:val="28"/>
        </w:rPr>
        <w:t>我國的電動汽車產業在整車輸出的部分尚屬起步階段，在新興市場的競爭力上不如中國大陸等國，我國在東南亞及南亞的佈局亦晚於中國大陸，故電動汽車的市場競爭力稍嫌不足</w:t>
      </w:r>
      <w:r w:rsidR="00702FDC"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b/>
          <w:color w:val="000000" w:themeColor="text1"/>
          <w:sz w:val="28"/>
          <w:szCs w:val="28"/>
        </w:rPr>
        <w:t>短期</w:t>
      </w:r>
      <w:r w:rsidRPr="00C77E77">
        <w:rPr>
          <w:rFonts w:ascii="Times New Roman" w:eastAsia="標楷體" w:hAnsi="Times New Roman" w:cs="Times New Roman"/>
          <w:color w:val="000000" w:themeColor="text1"/>
          <w:sz w:val="28"/>
          <w:szCs w:val="28"/>
        </w:rPr>
        <w:t>來看，</w:t>
      </w:r>
      <w:r w:rsidR="00DC3F75" w:rsidRPr="00C77E77">
        <w:rPr>
          <w:rFonts w:ascii="Times New Roman" w:eastAsia="標楷體" w:hAnsi="Times New Roman" w:cs="Times New Roman"/>
          <w:color w:val="000000" w:themeColor="text1"/>
          <w:sz w:val="28"/>
          <w:szCs w:val="28"/>
        </w:rPr>
        <w:t>我國綠色運輸中較具競爭力者應為電動機車與電動自行車</w:t>
      </w:r>
      <w:r w:rsidRPr="00C77E77">
        <w:rPr>
          <w:rFonts w:ascii="Times New Roman" w:eastAsia="標楷體" w:hAnsi="Times New Roman" w:cs="Times New Roman"/>
          <w:color w:val="000000" w:themeColor="text1"/>
          <w:sz w:val="28"/>
          <w:szCs w:val="28"/>
        </w:rPr>
        <w:t>。</w:t>
      </w:r>
      <w:r w:rsidR="00702FDC" w:rsidRPr="00C77E77">
        <w:rPr>
          <w:rFonts w:ascii="Times New Roman" w:eastAsia="標楷體" w:hAnsi="Times New Roman" w:cs="Times New Roman"/>
          <w:color w:val="000000" w:themeColor="text1"/>
          <w:sz w:val="28"/>
          <w:szCs w:val="28"/>
        </w:rPr>
        <w:t>泰國、印尼、馬來西亞等主要汽車生產國近年來因應綠色運輸而發展節能車，</w:t>
      </w:r>
      <w:r w:rsidR="00977933" w:rsidRPr="00C77E77">
        <w:rPr>
          <w:rFonts w:ascii="Times New Roman" w:eastAsia="標楷體" w:hAnsi="Times New Roman" w:cs="Times New Roman"/>
          <w:color w:val="000000" w:themeColor="text1"/>
          <w:sz w:val="28"/>
          <w:szCs w:val="28"/>
        </w:rPr>
        <w:t>我國可</w:t>
      </w:r>
      <w:r w:rsidR="00702FDC" w:rsidRPr="00C77E77">
        <w:rPr>
          <w:rFonts w:ascii="Times New Roman" w:eastAsia="標楷體" w:hAnsi="Times New Roman" w:cs="Times New Roman"/>
          <w:color w:val="000000" w:themeColor="text1"/>
          <w:sz w:val="28"/>
          <w:szCs w:val="28"/>
        </w:rPr>
        <w:t>協助廠商在東南亞地區與當地企業進行合作生產，形成電動車產業的跨國供應鏈。</w:t>
      </w:r>
    </w:p>
    <w:p w:rsidR="00977933" w:rsidRPr="00C77E77" w:rsidRDefault="00F02A55" w:rsidP="00D55D77">
      <w:pPr>
        <w:pStyle w:val="ab"/>
        <w:spacing w:beforeLines="50" w:before="180" w:afterLines="50" w:after="180" w:line="500" w:lineRule="exact"/>
        <w:ind w:leftChars="0" w:left="720" w:firstLineChars="198" w:firstLine="555"/>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中期</w:t>
      </w:r>
      <w:r w:rsidRPr="00C77E77">
        <w:rPr>
          <w:rFonts w:ascii="Times New Roman" w:eastAsia="標楷體" w:hAnsi="Times New Roman" w:cs="Times New Roman"/>
          <w:color w:val="000000" w:themeColor="text1"/>
          <w:sz w:val="28"/>
          <w:szCs w:val="28"/>
        </w:rPr>
        <w:t>規劃需體認到</w:t>
      </w:r>
      <w:r w:rsidR="00977933" w:rsidRPr="00C77E77">
        <w:rPr>
          <w:rFonts w:ascii="Times New Roman" w:eastAsia="標楷體" w:hAnsi="Times New Roman" w:cs="Times New Roman"/>
          <w:color w:val="000000" w:themeColor="text1"/>
          <w:sz w:val="28"/>
          <w:szCs w:val="28"/>
        </w:rPr>
        <w:t>電動車外銷並不僅是電動車本身的品質與售價問題，更涉及到當地是否有足夠的充電站，銷售到當地後是否能夠做好在地的售後服務。</w:t>
      </w:r>
      <w:r w:rsidRPr="00C77E77">
        <w:rPr>
          <w:rFonts w:ascii="Times New Roman" w:eastAsia="標楷體" w:hAnsi="Times New Roman" w:cs="Times New Roman"/>
          <w:color w:val="000000" w:themeColor="text1"/>
          <w:sz w:val="28"/>
          <w:szCs w:val="28"/>
        </w:rPr>
        <w:t>換言之，</w:t>
      </w:r>
      <w:r w:rsidR="00977933" w:rsidRPr="00C77E77">
        <w:rPr>
          <w:rFonts w:ascii="Times New Roman" w:eastAsia="標楷體" w:hAnsi="Times New Roman" w:cs="Times New Roman"/>
          <w:color w:val="000000" w:themeColor="text1"/>
          <w:sz w:val="28"/>
          <w:szCs w:val="28"/>
        </w:rPr>
        <w:t>電動車出口的困難點在於當地的充電站與維修站設置問題，如果覆蓋率不夠廣，或密集程度不夠高，在推廣上便會出現困難。因此，建議政府協助臺灣廠商與當地連鎖企業媒合，與當地政府或在地產業合作，協助推動充電站與維修站的設置。</w:t>
      </w:r>
    </w:p>
    <w:p w:rsidR="00D55D77" w:rsidRPr="00C77E77" w:rsidRDefault="00642A3A" w:rsidP="00642A3A">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長期</w:t>
      </w:r>
      <w:r w:rsidRPr="00C77E77">
        <w:rPr>
          <w:rFonts w:ascii="Times New Roman" w:eastAsia="標楷體" w:hAnsi="Times New Roman" w:cs="Times New Roman"/>
          <w:color w:val="000000" w:themeColor="text1"/>
          <w:sz w:val="28"/>
          <w:szCs w:val="28"/>
        </w:rPr>
        <w:t>策略應發展電動機車的品牌形象，從</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灣本地型塑流行印象，進而推銷至東南亞年輕族群。</w:t>
      </w:r>
      <w:r w:rsidR="00D55D77" w:rsidRPr="00C77E77">
        <w:rPr>
          <w:rFonts w:ascii="Times New Roman" w:eastAsia="標楷體" w:hAnsi="Times New Roman" w:cs="Times New Roman"/>
          <w:color w:val="000000" w:themeColor="text1"/>
          <w:sz w:val="28"/>
          <w:szCs w:val="28"/>
        </w:rPr>
        <w:t>我國的電動機車與電動自行車已具有相當的品牌競爭力，尤其是與智慧商品結合之電動機車如</w:t>
      </w:r>
      <w:r w:rsidR="00D55D77" w:rsidRPr="00C77E77">
        <w:rPr>
          <w:rFonts w:ascii="Times New Roman" w:eastAsia="標楷體" w:hAnsi="Times New Roman" w:cs="Times New Roman"/>
          <w:color w:val="000000" w:themeColor="text1"/>
          <w:sz w:val="28"/>
          <w:szCs w:val="28"/>
        </w:rPr>
        <w:t>Gogoro</w:t>
      </w:r>
      <w:r w:rsidR="00D55D77" w:rsidRPr="00C77E77">
        <w:rPr>
          <w:rFonts w:ascii="Times New Roman" w:eastAsia="標楷體" w:hAnsi="Times New Roman" w:cs="Times New Roman"/>
          <w:color w:val="000000" w:themeColor="text1"/>
          <w:sz w:val="28"/>
          <w:szCs w:val="28"/>
        </w:rPr>
        <w:t>，或可先以臺灣本地推廣，型塑流行形象，而後再推銷</w:t>
      </w:r>
      <w:r w:rsidRPr="00C77E77">
        <w:rPr>
          <w:rFonts w:ascii="Times New Roman" w:eastAsia="標楷體" w:hAnsi="Times New Roman" w:cs="Times New Roman"/>
          <w:color w:val="000000" w:themeColor="text1"/>
          <w:sz w:val="28"/>
          <w:szCs w:val="28"/>
        </w:rPr>
        <w:t>至東南亞，以年輕族群為主，如能配合當地政府之補貼政策，應有相當</w:t>
      </w:r>
      <w:r w:rsidR="00D55D77" w:rsidRPr="00C77E77">
        <w:rPr>
          <w:rFonts w:ascii="Times New Roman" w:eastAsia="標楷體" w:hAnsi="Times New Roman" w:cs="Times New Roman"/>
          <w:color w:val="000000" w:themeColor="text1"/>
          <w:sz w:val="28"/>
          <w:szCs w:val="28"/>
        </w:rPr>
        <w:t>潛力。</w:t>
      </w:r>
    </w:p>
    <w:p w:rsidR="004E1F92" w:rsidRPr="00C77E77" w:rsidRDefault="004E1F92" w:rsidP="004E1F92">
      <w:pPr>
        <w:pStyle w:val="af9"/>
      </w:pPr>
      <w:bookmarkStart w:id="159" w:name="_Toc470676619"/>
      <w:r w:rsidRPr="00C77E77">
        <w:t>表</w:t>
      </w:r>
      <w:r w:rsidRPr="00C77E77">
        <w:t>5-</w:t>
      </w:r>
      <w:r w:rsidR="009551A7" w:rsidRPr="00C77E77">
        <w:t>2</w:t>
      </w:r>
      <w:r w:rsidRPr="00C77E77">
        <w:t>-9</w:t>
      </w:r>
      <w:r w:rsidR="00AA7E7B" w:rsidRPr="00C77E77">
        <w:t xml:space="preserve"> </w:t>
      </w:r>
      <w:r w:rsidRPr="00C77E77">
        <w:t>我國綠色運輸產業之</w:t>
      </w:r>
      <w:r w:rsidRPr="00C77E77">
        <w:t>SWOT</w:t>
      </w:r>
      <w:r w:rsidRPr="00C77E77">
        <w:t>分析</w:t>
      </w:r>
      <w:bookmarkEnd w:id="1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42"/>
        <w:gridCol w:w="4767"/>
        <w:gridCol w:w="19"/>
      </w:tblGrid>
      <w:tr w:rsidR="000C5DB0" w:rsidRPr="00C77E77" w:rsidTr="00F73B49">
        <w:trPr>
          <w:gridAfter w:val="1"/>
          <w:wAfter w:w="10" w:type="pct"/>
          <w:trHeight w:val="168"/>
          <w:jc w:val="center"/>
        </w:trPr>
        <w:tc>
          <w:tcPr>
            <w:tcW w:w="2462" w:type="pct"/>
          </w:tcPr>
          <w:p w:rsidR="000C5DB0" w:rsidRPr="00C77E77" w:rsidRDefault="000C5DB0" w:rsidP="00852C39">
            <w:pPr>
              <w:autoSpaceDE w:val="0"/>
              <w:autoSpaceDN w:val="0"/>
              <w:adjustRightInd w:val="0"/>
              <w:spacing w:beforeLines="50" w:before="180" w:afterLines="50" w:after="180" w:line="0" w:lineRule="atLeast"/>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Pr="00C77E77">
              <w:rPr>
                <w:rFonts w:ascii="Times New Roman" w:eastAsia="標楷體" w:hAnsi="Times New Roman" w:cs="Times New Roman"/>
                <w:b/>
                <w:bCs/>
                <w:color w:val="000000"/>
                <w:kern w:val="0"/>
                <w:szCs w:val="24"/>
              </w:rPr>
              <w:t>S</w:t>
            </w:r>
            <w:r w:rsidRPr="00C77E77">
              <w:rPr>
                <w:rFonts w:ascii="Times New Roman" w:eastAsia="標楷體" w:hAnsi="Times New Roman" w:cs="Times New Roman"/>
                <w:b/>
                <w:bCs/>
                <w:color w:val="000000"/>
                <w:kern w:val="0"/>
                <w:szCs w:val="24"/>
              </w:rPr>
              <w:t>）</w:t>
            </w:r>
          </w:p>
        </w:tc>
        <w:tc>
          <w:tcPr>
            <w:tcW w:w="2528" w:type="pct"/>
          </w:tcPr>
          <w:p w:rsidR="000C5DB0" w:rsidRPr="00C77E77" w:rsidRDefault="000C5DB0" w:rsidP="00852C39">
            <w:pPr>
              <w:autoSpaceDE w:val="0"/>
              <w:autoSpaceDN w:val="0"/>
              <w:adjustRightInd w:val="0"/>
              <w:spacing w:beforeLines="50" w:before="180" w:afterLines="50" w:after="180" w:line="0" w:lineRule="atLeast"/>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Pr="00C77E77">
              <w:rPr>
                <w:rFonts w:ascii="Times New Roman" w:eastAsia="標楷體" w:hAnsi="Times New Roman" w:cs="Times New Roman"/>
                <w:b/>
                <w:bCs/>
                <w:color w:val="000000"/>
                <w:kern w:val="0"/>
                <w:szCs w:val="24"/>
              </w:rPr>
              <w:t>（</w:t>
            </w:r>
            <w:r w:rsidRPr="00C77E77">
              <w:rPr>
                <w:rFonts w:ascii="Times New Roman" w:eastAsia="標楷體" w:hAnsi="Times New Roman" w:cs="Times New Roman"/>
                <w:b/>
                <w:bCs/>
                <w:color w:val="000000"/>
                <w:kern w:val="0"/>
                <w:szCs w:val="24"/>
              </w:rPr>
              <w:t>W</w:t>
            </w:r>
            <w:r w:rsidRPr="00C77E77">
              <w:rPr>
                <w:rFonts w:ascii="Times New Roman" w:eastAsia="標楷體" w:hAnsi="Times New Roman" w:cs="Times New Roman"/>
                <w:b/>
                <w:bCs/>
                <w:color w:val="000000"/>
                <w:kern w:val="0"/>
                <w:szCs w:val="24"/>
              </w:rPr>
              <w:t>）</w:t>
            </w:r>
          </w:p>
        </w:tc>
      </w:tr>
      <w:tr w:rsidR="004E1F92" w:rsidRPr="00C77E77" w:rsidTr="00F73B49">
        <w:trPr>
          <w:trHeight w:val="1551"/>
          <w:jc w:val="center"/>
        </w:trPr>
        <w:tc>
          <w:tcPr>
            <w:tcW w:w="2462" w:type="pct"/>
          </w:tcPr>
          <w:p w:rsidR="004E1F92" w:rsidRPr="00C77E77" w:rsidRDefault="004E1F92" w:rsidP="00852C39">
            <w:pPr>
              <w:autoSpaceDE w:val="0"/>
              <w:autoSpaceDN w:val="0"/>
              <w:adjustRightInd w:val="0"/>
              <w:spacing w:beforeLines="50" w:before="180"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我國的</w:t>
            </w:r>
            <w:r w:rsidRPr="00C77E77">
              <w:rPr>
                <w:rFonts w:ascii="Times New Roman" w:eastAsia="標楷體" w:hAnsi="Times New Roman" w:cs="Times New Roman"/>
                <w:color w:val="000000"/>
                <w:kern w:val="0"/>
                <w:szCs w:val="24"/>
              </w:rPr>
              <w:t>ICT</w:t>
            </w:r>
            <w:r w:rsidRPr="00C77E77">
              <w:rPr>
                <w:rFonts w:ascii="Times New Roman" w:eastAsia="標楷體" w:hAnsi="Times New Roman" w:cs="Times New Roman"/>
                <w:color w:val="000000"/>
                <w:kern w:val="0"/>
                <w:szCs w:val="24"/>
              </w:rPr>
              <w:t>產業強勁，汽車電子研發與系統整合能力強。</w:t>
            </w:r>
          </w:p>
          <w:p w:rsidR="004E1F92" w:rsidRPr="00C77E77" w:rsidRDefault="004E1F92" w:rsidP="00852C39">
            <w:pPr>
              <w:autoSpaceDE w:val="0"/>
              <w:autoSpaceDN w:val="0"/>
              <w:adjustRightInd w:val="0"/>
              <w:spacing w:beforeLines="50" w:before="180"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電動車的汙染低，運行成本只有燃油車的三分之一。</w:t>
            </w:r>
          </w:p>
          <w:p w:rsidR="004E1F92" w:rsidRPr="00C77E77" w:rsidRDefault="004E1F92" w:rsidP="00852C39">
            <w:pPr>
              <w:autoSpaceDE w:val="0"/>
              <w:autoSpaceDN w:val="0"/>
              <w:adjustRightInd w:val="0"/>
              <w:spacing w:beforeLines="50" w:before="180"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我國與許多國際大廠合作供應零組件，具有國際競爭力。</w:t>
            </w:r>
          </w:p>
          <w:p w:rsidR="00F73B49" w:rsidRPr="00C77E77" w:rsidRDefault="00F73B49" w:rsidP="00852C39">
            <w:pPr>
              <w:autoSpaceDE w:val="0"/>
              <w:autoSpaceDN w:val="0"/>
              <w:adjustRightInd w:val="0"/>
              <w:spacing w:beforeLines="50" w:before="180" w:line="0" w:lineRule="atLeast"/>
              <w:jc w:val="both"/>
              <w:rPr>
                <w:rFonts w:ascii="Times New Roman" w:eastAsia="標楷體" w:hAnsi="Times New Roman" w:cs="Times New Roman"/>
                <w:color w:val="000000"/>
                <w:kern w:val="0"/>
                <w:szCs w:val="24"/>
              </w:rPr>
            </w:pPr>
          </w:p>
        </w:tc>
        <w:tc>
          <w:tcPr>
            <w:tcW w:w="2538" w:type="pct"/>
            <w:gridSpan w:val="2"/>
          </w:tcPr>
          <w:p w:rsidR="004E1F92" w:rsidRPr="00C77E77" w:rsidRDefault="004E1F92" w:rsidP="00852C39">
            <w:pPr>
              <w:autoSpaceDE w:val="0"/>
              <w:autoSpaceDN w:val="0"/>
              <w:adjustRightInd w:val="0"/>
              <w:spacing w:beforeLines="50" w:before="180"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電動車的售價依然偏高，市場吸引力不足。</w:t>
            </w:r>
          </w:p>
          <w:p w:rsidR="004E1F92" w:rsidRPr="00C77E77" w:rsidRDefault="004E1F92" w:rsidP="00852C39">
            <w:pPr>
              <w:autoSpaceDE w:val="0"/>
              <w:autoSpaceDN w:val="0"/>
              <w:adjustRightInd w:val="0"/>
              <w:spacing w:beforeLines="50" w:before="180"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需要搭配相應的充電及維修保養服務，必須有足夠相應的充電站。</w:t>
            </w:r>
          </w:p>
          <w:p w:rsidR="004E1F92" w:rsidRPr="00C77E77" w:rsidRDefault="004E1F92" w:rsidP="00852C39">
            <w:pPr>
              <w:autoSpaceDE w:val="0"/>
              <w:autoSpaceDN w:val="0"/>
              <w:adjustRightInd w:val="0"/>
              <w:spacing w:beforeLines="50" w:before="180"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我國的電動汽車整車輸出初步進入量產階段，國際競爭力不足。</w:t>
            </w:r>
          </w:p>
        </w:tc>
      </w:tr>
      <w:tr w:rsidR="008B0B95" w:rsidRPr="00C77E77" w:rsidTr="00F73B49">
        <w:trPr>
          <w:trHeight w:val="168"/>
          <w:jc w:val="center"/>
        </w:trPr>
        <w:tc>
          <w:tcPr>
            <w:tcW w:w="2462" w:type="pct"/>
          </w:tcPr>
          <w:p w:rsidR="008B0B95" w:rsidRPr="00C77E77" w:rsidRDefault="008B0B95" w:rsidP="00852C39">
            <w:pPr>
              <w:autoSpaceDE w:val="0"/>
              <w:autoSpaceDN w:val="0"/>
              <w:adjustRightInd w:val="0"/>
              <w:spacing w:beforeLines="50" w:before="180" w:afterLines="50" w:after="180" w:line="0" w:lineRule="atLeast"/>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lastRenderedPageBreak/>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2538" w:type="pct"/>
            <w:gridSpan w:val="2"/>
          </w:tcPr>
          <w:p w:rsidR="008B0B95" w:rsidRPr="00C77E77" w:rsidRDefault="008B0B95" w:rsidP="00852C39">
            <w:pPr>
              <w:autoSpaceDE w:val="0"/>
              <w:autoSpaceDN w:val="0"/>
              <w:adjustRightInd w:val="0"/>
              <w:spacing w:beforeLines="50" w:before="180" w:afterLines="50" w:after="180" w:line="0" w:lineRule="atLeast"/>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4E1F92" w:rsidRPr="00C77E77" w:rsidTr="00F73B49">
        <w:trPr>
          <w:trHeight w:val="1561"/>
          <w:jc w:val="center"/>
        </w:trPr>
        <w:tc>
          <w:tcPr>
            <w:tcW w:w="2462" w:type="pct"/>
          </w:tcPr>
          <w:p w:rsidR="004E1F92" w:rsidRPr="00C77E77" w:rsidRDefault="004E1F92" w:rsidP="007841F9">
            <w:pPr>
              <w:autoSpaceDE w:val="0"/>
              <w:autoSpaceDN w:val="0"/>
              <w:adjustRightInd w:val="0"/>
              <w:spacing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節能減碳的市場趨勢強調降低碳排放，國際大廠皆大力發展電動車。</w:t>
            </w:r>
          </w:p>
          <w:p w:rsidR="004E1F92" w:rsidRPr="00C77E77" w:rsidRDefault="004E1F92" w:rsidP="007841F9">
            <w:pPr>
              <w:autoSpaceDE w:val="0"/>
              <w:autoSpaceDN w:val="0"/>
              <w:adjustRightInd w:val="0"/>
              <w:spacing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東南亞汽車大國近年來大力發展節能車，電動車亦具有投資生產潛力。</w:t>
            </w:r>
          </w:p>
        </w:tc>
        <w:tc>
          <w:tcPr>
            <w:tcW w:w="2538" w:type="pct"/>
            <w:gridSpan w:val="2"/>
          </w:tcPr>
          <w:p w:rsidR="004E1F92" w:rsidRPr="00C77E77" w:rsidRDefault="004E1F92" w:rsidP="007841F9">
            <w:pPr>
              <w:autoSpaceDE w:val="0"/>
              <w:autoSpaceDN w:val="0"/>
              <w:adjustRightInd w:val="0"/>
              <w:spacing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中國大陸產業具有強大競爭力，而且已經布局進入東南亞市場，我國產業面臨挑戰。</w:t>
            </w:r>
          </w:p>
          <w:p w:rsidR="004E1F92" w:rsidRPr="00C77E77" w:rsidRDefault="004E1F92" w:rsidP="007841F9">
            <w:pPr>
              <w:autoSpaceDE w:val="0"/>
              <w:autoSpaceDN w:val="0"/>
              <w:adjustRightInd w:val="0"/>
              <w:spacing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由於電動車的售價較高，故銷售以先進國家與中國大陸市場為主，東南亞市場潛力不足。</w:t>
            </w:r>
          </w:p>
          <w:p w:rsidR="004E1F92" w:rsidRPr="00C77E77" w:rsidRDefault="004E1F92" w:rsidP="007841F9">
            <w:pPr>
              <w:autoSpaceDE w:val="0"/>
              <w:autoSpaceDN w:val="0"/>
              <w:adjustRightInd w:val="0"/>
              <w:spacing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 xml:space="preserve">• </w:t>
            </w:r>
            <w:r w:rsidRPr="00C77E77">
              <w:rPr>
                <w:rFonts w:ascii="Times New Roman" w:eastAsia="標楷體" w:hAnsi="Times New Roman" w:cs="Times New Roman"/>
                <w:color w:val="000000"/>
                <w:kern w:val="0"/>
                <w:szCs w:val="24"/>
              </w:rPr>
              <w:t>充電站與維修保養服務必須尋求與當地政府或在地產業合作。</w:t>
            </w:r>
          </w:p>
          <w:p w:rsidR="004E1F92" w:rsidRPr="00C77E77" w:rsidRDefault="004E1F92" w:rsidP="007841F9">
            <w:pPr>
              <w:autoSpaceDE w:val="0"/>
              <w:autoSpaceDN w:val="0"/>
              <w:adjustRightInd w:val="0"/>
              <w:spacing w:line="0" w:lineRule="atLeast"/>
              <w:jc w:val="both"/>
              <w:rPr>
                <w:rFonts w:ascii="Times New Roman" w:eastAsia="標楷體" w:hAnsi="Times New Roman" w:cs="Times New Roman"/>
                <w:color w:val="000000"/>
                <w:kern w:val="0"/>
                <w:szCs w:val="24"/>
              </w:rPr>
            </w:pPr>
            <w:r w:rsidRPr="00C77E77">
              <w:rPr>
                <w:rFonts w:ascii="Times New Roman" w:eastAsia="標楷體" w:hAnsi="Times New Roman" w:cs="Times New Roman"/>
                <w:color w:val="000000"/>
                <w:kern w:val="0"/>
                <w:szCs w:val="24"/>
              </w:rPr>
              <w:t>•</w:t>
            </w:r>
            <w:r w:rsidRPr="00C77E77">
              <w:rPr>
                <w:rFonts w:ascii="Times New Roman" w:eastAsia="標楷體" w:hAnsi="Times New Roman" w:cs="Times New Roman"/>
                <w:color w:val="000000"/>
                <w:kern w:val="0"/>
                <w:szCs w:val="24"/>
              </w:rPr>
              <w:t>東南亞汽車大國可能興起市場保護主義，不利我國市場輸入。</w:t>
            </w:r>
          </w:p>
        </w:tc>
      </w:tr>
    </w:tbl>
    <w:p w:rsidR="004E1F92" w:rsidRPr="00C77E77" w:rsidRDefault="004E1F92" w:rsidP="007841F9">
      <w:pPr>
        <w:pStyle w:val="ab"/>
        <w:spacing w:line="0" w:lineRule="atLeast"/>
        <w:ind w:leftChars="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r w:rsidR="000C1684" w:rsidRPr="00C77E77">
        <w:rPr>
          <w:rFonts w:ascii="Times New Roman" w:eastAsia="標楷體" w:hAnsi="Times New Roman" w:cs="Times New Roman"/>
          <w:sz w:val="28"/>
          <w:szCs w:val="28"/>
        </w:rPr>
        <w:t>。</w:t>
      </w:r>
    </w:p>
    <w:p w:rsidR="001F0CF0" w:rsidRPr="00C77E77" w:rsidRDefault="001F0CF0" w:rsidP="004E1F92">
      <w:pPr>
        <w:rPr>
          <w:rFonts w:ascii="Times New Roman" w:eastAsia="標楷體" w:hAnsi="Times New Roman" w:cs="Times New Roman"/>
          <w:b/>
          <w:sz w:val="28"/>
          <w:szCs w:val="28"/>
        </w:rPr>
      </w:pPr>
    </w:p>
    <w:p w:rsidR="009D7FB5" w:rsidRPr="00C77E77" w:rsidRDefault="009D7FB5" w:rsidP="00764ED7">
      <w:pPr>
        <w:pStyle w:val="ab"/>
        <w:numPr>
          <w:ilvl w:val="0"/>
          <w:numId w:val="31"/>
        </w:numPr>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石化</w:t>
      </w:r>
    </w:p>
    <w:p w:rsidR="009113F3" w:rsidRPr="00C77E77" w:rsidRDefault="009113F3" w:rsidP="009113F3">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臺灣石化產業發展至今已超過半世紀，造就臺灣具備上游、中游至下游之石化產業供應鏈，經由中油與</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塑兩大上中游產業體系，各自帶動中下游相關石化公司發展，也帶動</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灣具備系統整合產銷管控及全球運籌的整體方案，並有向海外國家整廠輸出、整合共構的實績，可運用過往經驗輸出東南亞及南亞。</w:t>
      </w:r>
    </w:p>
    <w:p w:rsidR="00220A6A" w:rsidRPr="00C77E77" w:rsidRDefault="000A74E8" w:rsidP="00DD3526">
      <w:pPr>
        <w:pStyle w:val="ab"/>
        <w:spacing w:beforeLines="50" w:before="180" w:afterLines="50" w:after="180" w:line="500" w:lineRule="exact"/>
        <w:ind w:leftChars="0" w:left="720" w:firstLineChars="198" w:firstLine="555"/>
        <w:jc w:val="both"/>
        <w:rPr>
          <w:rFonts w:ascii="Times New Roman" w:eastAsia="標楷體" w:hAnsi="Times New Roman" w:cs="Times New Roman"/>
          <w:sz w:val="28"/>
          <w:szCs w:val="28"/>
        </w:rPr>
      </w:pPr>
      <w:r w:rsidRPr="00C77E77">
        <w:rPr>
          <w:rFonts w:ascii="Times New Roman" w:eastAsia="標楷體" w:hAnsi="Times New Roman" w:cs="Times New Roman"/>
          <w:b/>
          <w:color w:val="000000" w:themeColor="text1"/>
          <w:sz w:val="28"/>
          <w:szCs w:val="28"/>
        </w:rPr>
        <w:t>短期</w:t>
      </w:r>
      <w:r w:rsidRPr="00C77E77">
        <w:rPr>
          <w:rFonts w:ascii="Times New Roman" w:eastAsia="標楷體" w:hAnsi="Times New Roman" w:cs="Times New Roman"/>
          <w:color w:val="000000" w:themeColor="text1"/>
          <w:sz w:val="28"/>
          <w:szCs w:val="28"/>
        </w:rPr>
        <w:t>我國石化產業較有機會的國家是新加坡、馬來西亞、印尼和印度。</w:t>
      </w:r>
      <w:r w:rsidR="007F3BBC" w:rsidRPr="00C77E77">
        <w:rPr>
          <w:rFonts w:ascii="Times New Roman" w:eastAsia="標楷體" w:hAnsi="Times New Roman" w:cs="Times New Roman"/>
          <w:color w:val="000000" w:themeColor="text1"/>
          <w:sz w:val="28"/>
          <w:szCs w:val="28"/>
        </w:rPr>
        <w:t>由於</w:t>
      </w:r>
      <w:r w:rsidR="009113F3" w:rsidRPr="00C77E77">
        <w:rPr>
          <w:rFonts w:ascii="Times New Roman" w:eastAsia="標楷體" w:hAnsi="Times New Roman" w:cs="Times New Roman"/>
          <w:color w:val="000000" w:themeColor="text1"/>
          <w:sz w:val="28"/>
          <w:szCs w:val="28"/>
        </w:rPr>
        <w:t>石化原料多為易燃又危險的化學品，運送方式特殊且不便</w:t>
      </w:r>
      <w:r w:rsidR="00EF7CD1" w:rsidRPr="00C77E77">
        <w:rPr>
          <w:rFonts w:ascii="Times New Roman" w:eastAsia="標楷體" w:hAnsi="Times New Roman" w:cs="Times New Roman"/>
          <w:color w:val="000000" w:themeColor="text1"/>
          <w:sz w:val="28"/>
          <w:szCs w:val="28"/>
        </w:rPr>
        <w:t>，使得石</w:t>
      </w:r>
      <w:r w:rsidR="00EF7CD1" w:rsidRPr="00C77E77">
        <w:rPr>
          <w:rFonts w:ascii="Times New Roman" w:eastAsia="標楷體" w:hAnsi="Times New Roman" w:cs="Times New Roman"/>
          <w:sz w:val="28"/>
          <w:szCs w:val="28"/>
        </w:rPr>
        <w:t>化產業發展需臨近原油產地且具有群聚特性。</w:t>
      </w:r>
      <w:r w:rsidR="009113F3" w:rsidRPr="00C77E77">
        <w:rPr>
          <w:rFonts w:ascii="Times New Roman" w:eastAsia="標楷體" w:hAnsi="Times New Roman" w:cs="Times New Roman"/>
          <w:sz w:val="28"/>
          <w:szCs w:val="28"/>
        </w:rPr>
        <w:t>加以石化生產設備運作過程耗費水電，故設立大型專屬的石化特區，輔以基礎道路建設及穩定水電供應，為發展石化產業的考量條件。</w:t>
      </w:r>
      <w:r w:rsidR="00220A6A" w:rsidRPr="00C77E77">
        <w:rPr>
          <w:rFonts w:ascii="Times New Roman" w:eastAsia="標楷體" w:hAnsi="Times New Roman" w:cs="Times New Roman"/>
          <w:color w:val="000000" w:themeColor="text1"/>
          <w:sz w:val="28"/>
          <w:szCs w:val="28"/>
        </w:rPr>
        <w:t>其中新加坡裕廊島石化園區成功吸引跨國廠商進駐，已形成石化聚落；馬來西亞與印尼之石化產能仍處於供不應求之階段，同時馬國政府積極擴大石化產能、致力於推動新的石化園區，印尼政府則開放下游石化產業予民間企業；印度國內合成橡膠生產能力仍無法滿足國內需求，當地公司與國際大廠多有合作，長期展望看好。</w:t>
      </w:r>
    </w:p>
    <w:p w:rsidR="009113F3" w:rsidRPr="00C77E77" w:rsidRDefault="00220A6A" w:rsidP="00DD3526">
      <w:pPr>
        <w:pStyle w:val="ab"/>
        <w:spacing w:beforeLines="50" w:before="180" w:afterLines="50" w:after="180" w:line="500" w:lineRule="exact"/>
        <w:ind w:leftChars="0" w:left="720" w:firstLineChars="198" w:firstLine="554"/>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同時，還需考量石化產業在該國是否由政府掌控最大資源；若是，</w:t>
      </w:r>
      <w:r w:rsidRPr="00C77E77">
        <w:rPr>
          <w:rFonts w:ascii="Times New Roman" w:eastAsia="標楷體" w:hAnsi="Times New Roman" w:cs="Times New Roman"/>
          <w:color w:val="000000" w:themeColor="text1"/>
          <w:sz w:val="28"/>
          <w:szCs w:val="28"/>
        </w:rPr>
        <w:lastRenderedPageBreak/>
        <w:t>將提高投資障礙。我國應加速與各國簽訂關稅減讓等合作協議，協助我國石化產業南向發展，以多角化我國石化產品銷售市場，並穩定石化產業產值對</w:t>
      </w:r>
      <w:r w:rsidRPr="00C77E77">
        <w:rPr>
          <w:rFonts w:ascii="Times New Roman" w:eastAsia="標楷體" w:hAnsi="Times New Roman" w:cs="Times New Roman"/>
          <w:color w:val="000000" w:themeColor="text1"/>
          <w:sz w:val="28"/>
          <w:szCs w:val="28"/>
        </w:rPr>
        <w:t>GDP</w:t>
      </w:r>
      <w:r w:rsidRPr="00C77E77">
        <w:rPr>
          <w:rFonts w:ascii="Times New Roman" w:eastAsia="標楷體" w:hAnsi="Times New Roman" w:cs="Times New Roman"/>
          <w:color w:val="000000" w:themeColor="text1"/>
          <w:sz w:val="28"/>
          <w:szCs w:val="28"/>
        </w:rPr>
        <w:t>貢獻。</w:t>
      </w:r>
    </w:p>
    <w:p w:rsidR="00220A6A" w:rsidRPr="00C77E77" w:rsidRDefault="00DD3526" w:rsidP="009113F3">
      <w:pPr>
        <w:pStyle w:val="ab"/>
        <w:spacing w:beforeLines="50" w:before="180" w:afterLines="50" w:after="180" w:line="500" w:lineRule="exact"/>
        <w:ind w:leftChars="0" w:left="720" w:firstLineChars="198" w:firstLine="555"/>
        <w:jc w:val="both"/>
        <w:rPr>
          <w:rFonts w:ascii="Times New Roman" w:eastAsia="標楷體" w:hAnsi="Times New Roman" w:cs="Times New Roman"/>
          <w:sz w:val="28"/>
          <w:szCs w:val="28"/>
        </w:rPr>
      </w:pPr>
      <w:r w:rsidRPr="00C77E77">
        <w:rPr>
          <w:rFonts w:ascii="Times New Roman" w:eastAsia="標楷體" w:hAnsi="Times New Roman" w:cs="Times New Roman"/>
          <w:b/>
          <w:color w:val="000000" w:themeColor="text1"/>
          <w:sz w:val="28"/>
          <w:szCs w:val="28"/>
        </w:rPr>
        <w:t>中期</w:t>
      </w:r>
      <w:r w:rsidR="00ED3350" w:rsidRPr="00C77E77">
        <w:rPr>
          <w:rFonts w:ascii="Times New Roman" w:eastAsia="標楷體" w:hAnsi="Times New Roman" w:cs="Times New Roman"/>
          <w:color w:val="000000" w:themeColor="text1"/>
          <w:sz w:val="28"/>
          <w:szCs w:val="28"/>
        </w:rPr>
        <w:t>應</w:t>
      </w:r>
      <w:r w:rsidRPr="00C77E77">
        <w:rPr>
          <w:rFonts w:ascii="Times New Roman" w:eastAsia="標楷體" w:hAnsi="Times New Roman" w:cs="Times New Roman"/>
          <w:color w:val="000000" w:themeColor="text1"/>
          <w:sz w:val="28"/>
          <w:szCs w:val="28"/>
        </w:rPr>
        <w:t>協助業者爭取石化園區跨國合作開發案，積極與第三國如日本之合作。</w:t>
      </w:r>
      <w:r w:rsidR="00220A6A" w:rsidRPr="00C77E77">
        <w:rPr>
          <w:rFonts w:ascii="Times New Roman" w:eastAsia="標楷體" w:hAnsi="Times New Roman" w:cs="Times New Roman"/>
          <w:color w:val="000000" w:themeColor="text1"/>
          <w:sz w:val="28"/>
          <w:szCs w:val="28"/>
        </w:rPr>
        <w:t>由於石化產業於生產過程易排放高汙染物質，當地國對環保要求及當地民眾的環保意識是否同意高汙染產業發展，亦為考量之一。</w:t>
      </w:r>
      <w:r w:rsidR="00F47AFF" w:rsidRPr="00C77E77">
        <w:rPr>
          <w:rFonts w:ascii="Times New Roman" w:eastAsia="標楷體" w:hAnsi="Times New Roman" w:cs="Times New Roman"/>
          <w:sz w:val="28"/>
          <w:szCs w:val="28"/>
        </w:rPr>
        <w:t>汶萊雖為東南亞之主要產油國之一，惟石化產業由國家掌控，且該國近期爲降低對石油之仰賴而致力於發展新能源、金融與觀光等多角化產業，可關注該國加入</w:t>
      </w:r>
      <w:r w:rsidR="00F47AFF" w:rsidRPr="00C77E77">
        <w:rPr>
          <w:rFonts w:ascii="Times New Roman" w:eastAsia="標楷體" w:hAnsi="Times New Roman" w:cs="Times New Roman"/>
          <w:sz w:val="28"/>
          <w:szCs w:val="28"/>
        </w:rPr>
        <w:t>TPP</w:t>
      </w:r>
      <w:r w:rsidR="00F47AFF" w:rsidRPr="00C77E77">
        <w:rPr>
          <w:rFonts w:ascii="Times New Roman" w:eastAsia="標楷體" w:hAnsi="Times New Roman" w:cs="Times New Roman"/>
          <w:sz w:val="28"/>
          <w:szCs w:val="28"/>
        </w:rPr>
        <w:t>後對政府控制事業的開放程度，以及高值化石化產業是否列入新能源發展項目</w:t>
      </w:r>
      <w:r w:rsidR="00220A6A" w:rsidRPr="00C77E77">
        <w:rPr>
          <w:rFonts w:ascii="Times New Roman" w:eastAsia="標楷體" w:hAnsi="Times New Roman" w:cs="Times New Roman"/>
          <w:sz w:val="28"/>
          <w:szCs w:val="28"/>
        </w:rPr>
        <w:t>中</w:t>
      </w:r>
      <w:r w:rsidR="00F47AFF" w:rsidRPr="00C77E77">
        <w:rPr>
          <w:rFonts w:ascii="Times New Roman" w:eastAsia="標楷體" w:hAnsi="Times New Roman" w:cs="Times New Roman"/>
          <w:sz w:val="28"/>
          <w:szCs w:val="28"/>
        </w:rPr>
        <w:t>。菲律賓的石油需求相對產能較無巨額缺口，泰國政府並未將石化產業列為重大發展項目，越南當地環保意識高漲，柬埔寨、寮國及緬甸之道路鋪設和水電供應相當不足，離產油地相距較遠。</w:t>
      </w:r>
    </w:p>
    <w:p w:rsidR="009113F3" w:rsidRPr="00C77E77" w:rsidRDefault="00F47AFF" w:rsidP="009113F3">
      <w:pPr>
        <w:pStyle w:val="ab"/>
        <w:spacing w:beforeLines="50" w:before="180" w:afterLines="50" w:after="180" w:line="500" w:lineRule="exact"/>
        <w:ind w:leftChars="0" w:left="720" w:firstLineChars="198" w:firstLine="555"/>
        <w:jc w:val="both"/>
        <w:rPr>
          <w:rFonts w:ascii="Times New Roman" w:eastAsia="標楷體" w:hAnsi="Times New Roman" w:cs="Times New Roman"/>
          <w:color w:val="FF0000"/>
          <w:sz w:val="28"/>
          <w:szCs w:val="28"/>
        </w:rPr>
      </w:pPr>
      <w:r w:rsidRPr="00C77E77">
        <w:rPr>
          <w:rFonts w:ascii="Times New Roman" w:eastAsia="標楷體" w:hAnsi="Times New Roman" w:cs="Times New Roman"/>
          <w:b/>
          <w:color w:val="000000" w:themeColor="text1"/>
          <w:sz w:val="28"/>
          <w:szCs w:val="28"/>
        </w:rPr>
        <w:t>長期</w:t>
      </w:r>
      <w:r w:rsidR="00ED3350" w:rsidRPr="00C77E77">
        <w:rPr>
          <w:rFonts w:ascii="Times New Roman" w:eastAsia="標楷體" w:hAnsi="Times New Roman" w:cs="Times New Roman"/>
          <w:color w:val="000000" w:themeColor="text1"/>
          <w:sz w:val="28"/>
          <w:szCs w:val="28"/>
        </w:rPr>
        <w:t>需</w:t>
      </w:r>
      <w:r w:rsidRPr="00C77E77">
        <w:rPr>
          <w:rFonts w:ascii="Times New Roman" w:eastAsia="標楷體" w:hAnsi="Times New Roman" w:cs="Times New Roman"/>
          <w:color w:val="000000" w:themeColor="text1"/>
          <w:sz w:val="28"/>
          <w:szCs w:val="28"/>
        </w:rPr>
        <w:t>輔導我國石化業者高值化轉型，</w:t>
      </w:r>
      <w:r w:rsidR="009113F3" w:rsidRPr="00C77E77">
        <w:rPr>
          <w:rFonts w:ascii="Times New Roman" w:eastAsia="標楷體" w:hAnsi="Times New Roman" w:cs="Times New Roman"/>
          <w:color w:val="000000" w:themeColor="text1"/>
          <w:sz w:val="28"/>
          <w:szCs w:val="28"/>
        </w:rPr>
        <w:t>藉由發展高值化石化產業，促進就業同時亦可符合我國經濟發展形態朝向永續循環經濟之方向。</w:t>
      </w:r>
      <w:r w:rsidR="00220A6A" w:rsidRPr="00C77E77">
        <w:rPr>
          <w:rFonts w:ascii="Times New Roman" w:eastAsia="標楷體" w:hAnsi="Times New Roman" w:cs="Times New Roman"/>
          <w:color w:val="000000" w:themeColor="text1"/>
          <w:sz w:val="28"/>
          <w:szCs w:val="28"/>
        </w:rPr>
        <w:t>相較其他競爭對手如日本、韓國及東南亞國家，我國石化產品出口競爭力衰退，建議政府多加拓</w:t>
      </w:r>
      <w:r w:rsidR="00220A6A" w:rsidRPr="00C77E77">
        <w:rPr>
          <w:rFonts w:ascii="Times New Roman" w:eastAsia="標楷體" w:hAnsi="Times New Roman" w:cs="Times New Roman"/>
          <w:sz w:val="28"/>
          <w:szCs w:val="28"/>
        </w:rPr>
        <w:t>展與東協國家之經貿合作，並輔導臺灣石化廠商搭建與當地企業之橋樑，提高合作投資機會，同時協助臺灣石化廠商取得長期且穩定之資金融通管道。</w:t>
      </w:r>
    </w:p>
    <w:p w:rsidR="009113F3" w:rsidRPr="00C77E77" w:rsidRDefault="009113F3" w:rsidP="009113F3">
      <w:pPr>
        <w:pStyle w:val="af9"/>
      </w:pPr>
      <w:bookmarkStart w:id="160" w:name="_Toc458590929"/>
      <w:bookmarkStart w:id="161" w:name="_Toc470676620"/>
      <w:r w:rsidRPr="00C77E77">
        <w:t>表</w:t>
      </w:r>
      <w:r w:rsidRPr="00C77E77">
        <w:t>5-</w:t>
      </w:r>
      <w:r w:rsidR="009551A7" w:rsidRPr="00C77E77">
        <w:t>2</w:t>
      </w:r>
      <w:r w:rsidRPr="00C77E77">
        <w:t xml:space="preserve">-10 </w:t>
      </w:r>
      <w:r w:rsidRPr="00C77E77">
        <w:t>我國石化</w:t>
      </w:r>
      <w:r w:rsidRPr="00C77E77">
        <w:t>SWOT</w:t>
      </w:r>
      <w:r w:rsidRPr="00C77E77">
        <w:t>分析</w:t>
      </w:r>
      <w:bookmarkEnd w:id="160"/>
      <w:bookmarkEnd w:id="1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9"/>
        <w:gridCol w:w="4159"/>
      </w:tblGrid>
      <w:tr w:rsidR="000C5DB0" w:rsidRPr="00C77E77" w:rsidTr="00F90C03">
        <w:trPr>
          <w:trHeight w:val="168"/>
          <w:jc w:val="center"/>
        </w:trPr>
        <w:tc>
          <w:tcPr>
            <w:tcW w:w="4159" w:type="dxa"/>
          </w:tcPr>
          <w:p w:rsidR="000C5DB0" w:rsidRPr="00C77E77" w:rsidRDefault="000C5DB0" w:rsidP="00ED0B65">
            <w:pPr>
              <w:autoSpaceDE w:val="0"/>
              <w:autoSpaceDN w:val="0"/>
              <w:adjustRightInd w:val="0"/>
              <w:spacing w:beforeLines="50" w:before="180" w:afterLines="50" w:after="18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Pr="00C77E77">
              <w:rPr>
                <w:rFonts w:ascii="Times New Roman" w:eastAsia="標楷體" w:hAnsi="Times New Roman" w:cs="Times New Roman"/>
                <w:b/>
                <w:bCs/>
                <w:color w:val="000000"/>
                <w:kern w:val="0"/>
                <w:szCs w:val="24"/>
              </w:rPr>
              <w:t>S</w:t>
            </w:r>
            <w:r w:rsidRPr="00C77E77">
              <w:rPr>
                <w:rFonts w:ascii="Times New Roman" w:eastAsia="標楷體" w:hAnsi="Times New Roman" w:cs="Times New Roman"/>
                <w:b/>
                <w:bCs/>
                <w:color w:val="000000"/>
                <w:kern w:val="0"/>
                <w:szCs w:val="24"/>
              </w:rPr>
              <w:t>）</w:t>
            </w:r>
          </w:p>
        </w:tc>
        <w:tc>
          <w:tcPr>
            <w:tcW w:w="4159" w:type="dxa"/>
          </w:tcPr>
          <w:p w:rsidR="000C5DB0" w:rsidRPr="00C77E77" w:rsidRDefault="000C5DB0" w:rsidP="00ED0B65">
            <w:pPr>
              <w:autoSpaceDE w:val="0"/>
              <w:autoSpaceDN w:val="0"/>
              <w:adjustRightInd w:val="0"/>
              <w:spacing w:beforeLines="50" w:before="180" w:afterLines="50" w:after="18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Pr="00C77E77">
              <w:rPr>
                <w:rFonts w:ascii="Times New Roman" w:eastAsia="標楷體" w:hAnsi="Times New Roman" w:cs="Times New Roman"/>
                <w:b/>
                <w:bCs/>
                <w:color w:val="000000"/>
                <w:kern w:val="0"/>
                <w:szCs w:val="24"/>
              </w:rPr>
              <w:t>（</w:t>
            </w:r>
            <w:r w:rsidRPr="00C77E77">
              <w:rPr>
                <w:rFonts w:ascii="Times New Roman" w:eastAsia="標楷體" w:hAnsi="Times New Roman" w:cs="Times New Roman"/>
                <w:b/>
                <w:bCs/>
                <w:color w:val="000000"/>
                <w:kern w:val="0"/>
                <w:szCs w:val="24"/>
              </w:rPr>
              <w:t>W</w:t>
            </w:r>
            <w:r w:rsidRPr="00C77E77">
              <w:rPr>
                <w:rFonts w:ascii="Times New Roman" w:eastAsia="標楷體" w:hAnsi="Times New Roman" w:cs="Times New Roman"/>
                <w:b/>
                <w:bCs/>
                <w:color w:val="000000"/>
                <w:kern w:val="0"/>
                <w:szCs w:val="24"/>
              </w:rPr>
              <w:t>）</w:t>
            </w:r>
          </w:p>
        </w:tc>
      </w:tr>
      <w:tr w:rsidR="009113F3" w:rsidRPr="00C77E77" w:rsidTr="00E34F11">
        <w:trPr>
          <w:trHeight w:hRule="exact" w:val="2609"/>
          <w:jc w:val="center"/>
        </w:trPr>
        <w:tc>
          <w:tcPr>
            <w:tcW w:w="4159" w:type="dxa"/>
          </w:tcPr>
          <w:p w:rsidR="009113F3" w:rsidRPr="00C77E77" w:rsidRDefault="009113F3" w:rsidP="00E34F11">
            <w:pPr>
              <w:autoSpaceDE w:val="0"/>
              <w:autoSpaceDN w:val="0"/>
              <w:adjustRightInd w:val="0"/>
              <w:jc w:val="both"/>
              <w:rPr>
                <w:rFonts w:ascii="Times New Roman" w:eastAsia="標楷體" w:hAnsi="Times New Roman" w:cs="Times New Roman"/>
                <w:kern w:val="0"/>
                <w:szCs w:val="24"/>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具備豐富石化廠及電廠等建置經驗，且國內具備完整輸出之供應鏈廠商</w:t>
            </w:r>
            <w:r w:rsidRPr="00C77E77">
              <w:rPr>
                <w:rFonts w:ascii="Times New Roman" w:eastAsia="標楷體" w:hAnsi="Times New Roman" w:cs="Times New Roman"/>
                <w:kern w:val="0"/>
                <w:szCs w:val="24"/>
              </w:rPr>
              <w:t>。</w:t>
            </w:r>
          </w:p>
          <w:p w:rsidR="009113F3" w:rsidRPr="00C77E77" w:rsidRDefault="009113F3" w:rsidP="00E34F11">
            <w:pPr>
              <w:autoSpaceDE w:val="0"/>
              <w:autoSpaceDN w:val="0"/>
              <w:adjustRightInd w:val="0"/>
              <w:jc w:val="both"/>
              <w:rPr>
                <w:rFonts w:ascii="Times New Roman" w:eastAsia="標楷體" w:hAnsi="Times New Roman" w:cs="Times New Roman"/>
                <w:kern w:val="0"/>
                <w:szCs w:val="24"/>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具有海外（含馬來西亞等區域）石化廠建置經驗</w:t>
            </w:r>
            <w:r w:rsidRPr="00C77E77">
              <w:rPr>
                <w:rFonts w:ascii="Times New Roman" w:eastAsia="標楷體" w:hAnsi="Times New Roman" w:cs="Times New Roman"/>
                <w:kern w:val="0"/>
                <w:szCs w:val="24"/>
              </w:rPr>
              <w:t>。</w:t>
            </w:r>
          </w:p>
          <w:p w:rsidR="009113F3" w:rsidRPr="00C77E77" w:rsidRDefault="009113F3" w:rsidP="00E34F11">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我國為</w:t>
            </w:r>
            <w:r w:rsidRPr="00C77E77">
              <w:rPr>
                <w:rFonts w:ascii="Times New Roman" w:eastAsia="標楷體" w:hAnsi="Times New Roman" w:cs="Times New Roman"/>
                <w:kern w:val="0"/>
                <w:szCs w:val="23"/>
              </w:rPr>
              <w:t>WTO/GPA</w:t>
            </w:r>
            <w:r w:rsidRPr="00C77E77">
              <w:rPr>
                <w:rFonts w:ascii="Times New Roman" w:eastAsia="標楷體" w:hAnsi="Times New Roman" w:cs="Times New Roman"/>
                <w:kern w:val="0"/>
                <w:szCs w:val="23"/>
              </w:rPr>
              <w:t>會員國之一，業者熟悉國際採購規範經驗</w:t>
            </w:r>
            <w:r w:rsidRPr="00C77E77">
              <w:rPr>
                <w:rFonts w:ascii="Times New Roman" w:eastAsia="標楷體" w:hAnsi="Times New Roman" w:cs="Times New Roman"/>
                <w:kern w:val="0"/>
                <w:szCs w:val="24"/>
              </w:rPr>
              <w:t>。</w:t>
            </w:r>
          </w:p>
        </w:tc>
        <w:tc>
          <w:tcPr>
            <w:tcW w:w="4159" w:type="dxa"/>
          </w:tcPr>
          <w:p w:rsidR="009113F3" w:rsidRPr="00C77E77" w:rsidRDefault="009113F3" w:rsidP="00E34F11">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未簽訂自由貿易協定</w:t>
            </w:r>
            <w:r w:rsidRPr="00C77E77">
              <w:rPr>
                <w:rFonts w:ascii="Times New Roman" w:eastAsia="標楷體" w:hAnsi="Times New Roman" w:cs="Times New Roman"/>
                <w:kern w:val="0"/>
                <w:szCs w:val="24"/>
              </w:rPr>
              <w:t>，</w:t>
            </w:r>
            <w:r w:rsidRPr="00C77E77">
              <w:rPr>
                <w:rFonts w:ascii="Times New Roman" w:eastAsia="標楷體" w:hAnsi="Times New Roman" w:cs="Times New Roman"/>
                <w:kern w:val="0"/>
                <w:szCs w:val="23"/>
              </w:rPr>
              <w:t>關稅稅率較競爭對手高</w:t>
            </w:r>
            <w:r w:rsidRPr="00C77E77">
              <w:rPr>
                <w:rFonts w:ascii="Times New Roman" w:eastAsia="標楷體" w:hAnsi="Times New Roman" w:cs="Times New Roman"/>
                <w:kern w:val="0"/>
                <w:szCs w:val="24"/>
              </w:rPr>
              <w:t>，不利我國石化產品出口。</w:t>
            </w:r>
          </w:p>
          <w:p w:rsidR="009113F3" w:rsidRPr="00C77E77" w:rsidRDefault="009113F3" w:rsidP="00E34F11">
            <w:pPr>
              <w:autoSpaceDE w:val="0"/>
              <w:autoSpaceDN w:val="0"/>
              <w:adjustRightInd w:val="0"/>
              <w:jc w:val="both"/>
              <w:rPr>
                <w:rFonts w:ascii="Times New Roman" w:eastAsia="標楷體" w:hAnsi="Times New Roman" w:cs="Times New Roman"/>
                <w:kern w:val="0"/>
                <w:szCs w:val="24"/>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我國石化與塑膠產業於研發投入及產品升級不足</w:t>
            </w:r>
            <w:r w:rsidRPr="00C77E77">
              <w:rPr>
                <w:rFonts w:ascii="Times New Roman" w:eastAsia="標楷體" w:hAnsi="Times New Roman" w:cs="Times New Roman"/>
                <w:kern w:val="0"/>
                <w:szCs w:val="24"/>
              </w:rPr>
              <w:t>。</w:t>
            </w:r>
          </w:p>
          <w:p w:rsidR="009113F3" w:rsidRPr="00C77E77" w:rsidRDefault="009113F3" w:rsidP="00E34F11">
            <w:pPr>
              <w:autoSpaceDE w:val="0"/>
              <w:autoSpaceDN w:val="0"/>
              <w:adjustRightInd w:val="0"/>
              <w:jc w:val="both"/>
              <w:rPr>
                <w:rFonts w:ascii="Times New Roman" w:eastAsia="標楷體" w:hAnsi="Times New Roman" w:cs="Times New Roman"/>
                <w:kern w:val="0"/>
                <w:szCs w:val="24"/>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缺乏海外統包</w:t>
            </w: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工程實務經驗及人才，國內石化工程人員國際化經驗需持續提升</w:t>
            </w:r>
            <w:r w:rsidRPr="00C77E77">
              <w:rPr>
                <w:rFonts w:ascii="Times New Roman" w:eastAsia="標楷體" w:hAnsi="Times New Roman" w:cs="Times New Roman"/>
                <w:kern w:val="0"/>
                <w:szCs w:val="24"/>
              </w:rPr>
              <w:t>。</w:t>
            </w:r>
          </w:p>
        </w:tc>
      </w:tr>
      <w:tr w:rsidR="008B0B95" w:rsidRPr="00C77E77" w:rsidTr="00E34F11">
        <w:trPr>
          <w:trHeight w:val="168"/>
          <w:jc w:val="center"/>
        </w:trPr>
        <w:tc>
          <w:tcPr>
            <w:tcW w:w="4159"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lastRenderedPageBreak/>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4159"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9113F3" w:rsidRPr="00C77E77" w:rsidTr="00E34F11">
        <w:trPr>
          <w:trHeight w:val="984"/>
          <w:jc w:val="center"/>
        </w:trPr>
        <w:tc>
          <w:tcPr>
            <w:tcW w:w="4159" w:type="dxa"/>
          </w:tcPr>
          <w:p w:rsidR="009113F3" w:rsidRPr="00C77E77" w:rsidRDefault="009113F3" w:rsidP="00E34F11">
            <w:pPr>
              <w:autoSpaceDE w:val="0"/>
              <w:autoSpaceDN w:val="0"/>
              <w:adjustRightInd w:val="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馬來西亞與印尼之產能供不應求</w:t>
            </w:r>
            <w:r w:rsidRPr="00C77E77">
              <w:rPr>
                <w:rFonts w:ascii="Times New Roman" w:eastAsia="標楷體" w:hAnsi="Times New Roman" w:cs="Times New Roman"/>
                <w:kern w:val="0"/>
                <w:szCs w:val="24"/>
              </w:rPr>
              <w:t>，我國可將石化產品拓銷至兩國。</w:t>
            </w:r>
          </w:p>
          <w:p w:rsidR="009113F3" w:rsidRPr="00C77E77" w:rsidRDefault="009113F3" w:rsidP="00E34F11">
            <w:pPr>
              <w:autoSpaceDE w:val="0"/>
              <w:autoSpaceDN w:val="0"/>
              <w:adjustRightInd w:val="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印尼政府開放下游產業予民間投資企業</w:t>
            </w:r>
            <w:r w:rsidRPr="00C77E77">
              <w:rPr>
                <w:rFonts w:ascii="Times New Roman" w:eastAsia="標楷體" w:hAnsi="Times New Roman" w:cs="Times New Roman"/>
                <w:kern w:val="0"/>
                <w:szCs w:val="24"/>
              </w:rPr>
              <w:t>，如加油站等，我國石化業者可與當地民間企業合作投資。</w:t>
            </w:r>
          </w:p>
          <w:p w:rsidR="009113F3" w:rsidRPr="00C77E77" w:rsidRDefault="009113F3" w:rsidP="00E34F11">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印度國內合</w:t>
            </w:r>
            <w:r w:rsidRPr="00C77E77">
              <w:rPr>
                <w:rFonts w:ascii="Times New Roman" w:eastAsia="標楷體" w:hAnsi="Times New Roman" w:cs="Times New Roman"/>
                <w:kern w:val="0"/>
                <w:szCs w:val="24"/>
              </w:rPr>
              <w:t>合成橡膠生產能力仍無法滿足國內需求，當地公司與國際大廠多有合作，長期展望看好。</w:t>
            </w:r>
          </w:p>
        </w:tc>
        <w:tc>
          <w:tcPr>
            <w:tcW w:w="4159" w:type="dxa"/>
          </w:tcPr>
          <w:p w:rsidR="009113F3" w:rsidRPr="00C77E77" w:rsidRDefault="009113F3" w:rsidP="00E34F11">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中國大陸積極佈建與東南亞國家合作開發石化產業設備，挾龐大資金規模，對我國於東南亞投資佈局形成挑戰。</w:t>
            </w:r>
          </w:p>
          <w:p w:rsidR="009113F3" w:rsidRPr="00C77E77" w:rsidRDefault="009113F3" w:rsidP="00E34F11">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日韓等業者大多為大型石化工程公司，且多隸屬企業集團，可藉由關係企業取得商務及商情資訊，並挾政府政策及金融體系整體資源，搶攻國際石化工程標案。</w:t>
            </w:r>
          </w:p>
          <w:p w:rsidR="009113F3" w:rsidRPr="00C77E77" w:rsidRDefault="009113F3" w:rsidP="00E34F11">
            <w:pPr>
              <w:autoSpaceDE w:val="0"/>
              <w:autoSpaceDN w:val="0"/>
              <w:adjustRightInd w:val="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東協之新加坡、馬來西亞、印尼等國石化產能逐漸開發，提升其自足率，恐降低對我國石化產品之進口需求。</w:t>
            </w:r>
          </w:p>
        </w:tc>
      </w:tr>
    </w:tbl>
    <w:p w:rsidR="009113F3" w:rsidRPr="00C77E77" w:rsidRDefault="009113F3" w:rsidP="009113F3">
      <w:pPr>
        <w:rPr>
          <w:rFonts w:ascii="Times New Roman" w:eastAsia="標楷體" w:hAnsi="Times New Roman" w:cs="Times New Roman"/>
          <w:b/>
          <w:sz w:val="28"/>
          <w:szCs w:val="28"/>
        </w:rPr>
      </w:pPr>
      <w:r w:rsidRPr="00C77E77">
        <w:rPr>
          <w:rFonts w:ascii="Times New Roman" w:eastAsia="標楷體" w:hAnsi="Times New Roman" w:cs="Times New Roman"/>
          <w:sz w:val="28"/>
          <w:szCs w:val="28"/>
        </w:rPr>
        <w:t>資料來源：本研究整理。</w:t>
      </w:r>
    </w:p>
    <w:p w:rsidR="009D7FB5" w:rsidRPr="00C77E77" w:rsidRDefault="009D7FB5" w:rsidP="00764ED7">
      <w:pPr>
        <w:pStyle w:val="ab"/>
        <w:numPr>
          <w:ilvl w:val="0"/>
          <w:numId w:val="31"/>
        </w:numPr>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智慧健康</w:t>
      </w:r>
    </w:p>
    <w:p w:rsidR="009113F3" w:rsidRPr="00C77E77" w:rsidRDefault="009113F3" w:rsidP="009113F3">
      <w:pPr>
        <w:pStyle w:val="afe"/>
        <w:tabs>
          <w:tab w:val="left" w:pos="465"/>
        </w:tabs>
        <w:spacing w:beforeLines="50" w:before="180" w:afterLines="50" w:after="180" w:line="500" w:lineRule="exact"/>
        <w:ind w:left="720" w:firstLineChars="198" w:firstLine="554"/>
        <w:rPr>
          <w:color w:val="auto"/>
          <w:sz w:val="28"/>
          <w:szCs w:val="28"/>
        </w:rPr>
      </w:pPr>
      <w:r w:rsidRPr="00C77E77">
        <w:rPr>
          <w:color w:val="auto"/>
          <w:sz w:val="28"/>
          <w:szCs w:val="28"/>
        </w:rPr>
        <w:t>「智慧健康產業」係指結合資通訊技術與健康管理知識，經由行動裝置、應用程式</w:t>
      </w:r>
      <w:r w:rsidRPr="00C77E77">
        <w:rPr>
          <w:color w:val="auto"/>
          <w:sz w:val="28"/>
          <w:szCs w:val="28"/>
        </w:rPr>
        <w:t>Apps</w:t>
      </w:r>
      <w:r w:rsidRPr="00C77E77">
        <w:rPr>
          <w:color w:val="auto"/>
          <w:sz w:val="28"/>
          <w:szCs w:val="28"/>
        </w:rPr>
        <w:t>、雲端運算、大數據資料及物聯網，將資料分析並加值，提供個人化健康管理服務。發展「智慧健康產業」的需求面來自當地所得水準提高帶動醫療需求提升、健康管理意識提高，其供給面則需具備一定水平的醫療技術、厚實的醫療及健康管理知識、精密機械與資通訊產業的發展基礎、電纜網路佈建或行動通訊建置的普及化。</w:t>
      </w:r>
    </w:p>
    <w:p w:rsidR="009113F3" w:rsidRPr="00C77E77" w:rsidRDefault="009113F3" w:rsidP="009113F3">
      <w:pPr>
        <w:pStyle w:val="afe"/>
        <w:tabs>
          <w:tab w:val="left" w:pos="465"/>
        </w:tabs>
        <w:spacing w:beforeLines="50" w:before="180" w:afterLines="50" w:after="180" w:line="500" w:lineRule="exact"/>
        <w:ind w:left="720" w:firstLineChars="198" w:firstLine="554"/>
        <w:rPr>
          <w:color w:val="auto"/>
          <w:sz w:val="28"/>
          <w:szCs w:val="28"/>
        </w:rPr>
      </w:pPr>
      <w:r w:rsidRPr="00C77E77">
        <w:rPr>
          <w:color w:val="auto"/>
          <w:sz w:val="28"/>
          <w:szCs w:val="28"/>
        </w:rPr>
        <w:t>立基於醫療產業既有優勢，結合資通訊競爭力，運用已發展之智慧醫療資料平</w:t>
      </w:r>
      <w:r w:rsidR="00FD0D5A" w:rsidRPr="00C77E77">
        <w:rPr>
          <w:color w:val="auto"/>
          <w:sz w:val="28"/>
          <w:szCs w:val="28"/>
        </w:rPr>
        <w:t>臺</w:t>
      </w:r>
      <w:r w:rsidRPr="00C77E77">
        <w:rPr>
          <w:color w:val="auto"/>
          <w:sz w:val="28"/>
          <w:szCs w:val="28"/>
        </w:rPr>
        <w:t>基礎，臺灣已具有進一步發展並輸出智慧健康產業之龐大潛能。其中，我國於「智慧醫療器材」領域長期耕耘，在各種穿戴式醫材、行動醫材、遠距醫材、居家醫材等產品，已逐漸在國際市場嶄露頭角，我國可自「智慧醫療器材」領域切入，系統輸出「智慧健康產業」至東南亞及印度。</w:t>
      </w:r>
    </w:p>
    <w:p w:rsidR="00A24F43" w:rsidRPr="00C77E77" w:rsidRDefault="00322149" w:rsidP="009113F3">
      <w:pPr>
        <w:pStyle w:val="afe"/>
        <w:tabs>
          <w:tab w:val="left" w:pos="465"/>
        </w:tabs>
        <w:spacing w:beforeLines="50" w:before="180" w:afterLines="50" w:after="180" w:line="500" w:lineRule="exact"/>
        <w:ind w:left="720" w:firstLineChars="198" w:firstLine="555"/>
        <w:rPr>
          <w:sz w:val="28"/>
          <w:szCs w:val="28"/>
        </w:rPr>
      </w:pPr>
      <w:r w:rsidRPr="00C77E77">
        <w:rPr>
          <w:b/>
          <w:sz w:val="28"/>
          <w:szCs w:val="28"/>
        </w:rPr>
        <w:t>短期</w:t>
      </w:r>
      <w:r w:rsidRPr="00C77E77">
        <w:rPr>
          <w:sz w:val="28"/>
          <w:szCs w:val="28"/>
        </w:rPr>
        <w:t>可多加把握印度及泰國的醫療觀光及保健食品與美妝產品商</w:t>
      </w:r>
      <w:r w:rsidRPr="00C77E77">
        <w:rPr>
          <w:sz w:val="28"/>
          <w:szCs w:val="28"/>
        </w:rPr>
        <w:lastRenderedPageBreak/>
        <w:t>機</w:t>
      </w:r>
      <w:r w:rsidR="00165B81" w:rsidRPr="00C77E77">
        <w:rPr>
          <w:sz w:val="28"/>
          <w:szCs w:val="28"/>
        </w:rPr>
        <w:t>，提振雙向醫療觀光活動，並促進醫療服務與教育交流，提高我國相關產業產值及就業。</w:t>
      </w:r>
      <w:r w:rsidRPr="00C77E77">
        <w:rPr>
          <w:sz w:val="28"/>
          <w:szCs w:val="28"/>
        </w:rPr>
        <w:t>印度擁有合格且優良的醫療人員、先進技術與良好的醫療基礎建設，該國的精油</w:t>
      </w:r>
      <w:r w:rsidRPr="00C77E77">
        <w:rPr>
          <w:sz w:val="28"/>
          <w:szCs w:val="28"/>
        </w:rPr>
        <w:t>SPA</w:t>
      </w:r>
      <w:r w:rsidRPr="00C77E77">
        <w:rPr>
          <w:sz w:val="28"/>
          <w:szCs w:val="28"/>
        </w:rPr>
        <w:t>與瑜珈活動使其醫療旅遊市場具有吸引力。臺灣也可反向行銷醫療觀光，除了溫</w:t>
      </w:r>
      <w:r w:rsidRPr="00C77E77">
        <w:rPr>
          <w:sz w:val="28"/>
          <w:szCs w:val="28"/>
        </w:rPr>
        <w:t>/</w:t>
      </w:r>
      <w:r w:rsidRPr="00C77E77">
        <w:rPr>
          <w:sz w:val="28"/>
          <w:szCs w:val="28"/>
        </w:rPr>
        <w:t>冷泉和經絡推拿之外，臺灣的醫療美容也具有競爭力。泰國男性美容健康產品市場以雙位數成長率急速擴增，而臺灣美容健康產品在當地市場具發展潛能。</w:t>
      </w:r>
    </w:p>
    <w:p w:rsidR="00322149" w:rsidRPr="00C77E77" w:rsidRDefault="00322149" w:rsidP="009113F3">
      <w:pPr>
        <w:pStyle w:val="afe"/>
        <w:tabs>
          <w:tab w:val="left" w:pos="465"/>
        </w:tabs>
        <w:spacing w:beforeLines="50" w:before="180" w:afterLines="50" w:after="180" w:line="500" w:lineRule="exact"/>
        <w:ind w:left="720" w:firstLineChars="198" w:firstLine="554"/>
        <w:rPr>
          <w:sz w:val="28"/>
          <w:szCs w:val="28"/>
        </w:rPr>
      </w:pPr>
      <w:r w:rsidRPr="00C77E77">
        <w:rPr>
          <w:sz w:val="28"/>
          <w:szCs w:val="28"/>
        </w:rPr>
        <w:t>此外，新加坡具備發展智慧健康產業之完整基礎與全方位優勢，已成為東南亞其他國家（如印尼）之主要醫療器材進口國。我國與新加坡為友好外交關係並簽署經貿協議，有利於雙方進行智慧健康產業合作。我國可以新加坡為進入東南亞之門戶，與當地智慧醫療產業合作，提升我國在東南亞智慧健康市場之能見度。惟新加坡注重醫療器材品質，建議政府進行醫材相關法規調和，建立醫材之統一規格與認證制度，並輔導我國相關廠商提升醫材品質。</w:t>
      </w:r>
    </w:p>
    <w:p w:rsidR="00A24F43" w:rsidRPr="00C77E77" w:rsidRDefault="00322149" w:rsidP="00A11C22">
      <w:pPr>
        <w:pStyle w:val="afe"/>
        <w:tabs>
          <w:tab w:val="left" w:pos="465"/>
        </w:tabs>
        <w:spacing w:beforeLines="50" w:before="180" w:afterLines="50" w:after="180" w:line="500" w:lineRule="exact"/>
        <w:ind w:left="720" w:firstLineChars="198" w:firstLine="555"/>
        <w:rPr>
          <w:sz w:val="28"/>
          <w:szCs w:val="28"/>
        </w:rPr>
      </w:pPr>
      <w:r w:rsidRPr="00C77E77">
        <w:rPr>
          <w:b/>
          <w:sz w:val="28"/>
          <w:szCs w:val="28"/>
        </w:rPr>
        <w:t>中期</w:t>
      </w:r>
      <w:r w:rsidRPr="00C77E77">
        <w:rPr>
          <w:sz w:val="28"/>
          <w:szCs w:val="28"/>
        </w:rPr>
        <w:t>可著眼於</w:t>
      </w:r>
      <w:r w:rsidR="00261867" w:rsidRPr="00C77E77">
        <w:rPr>
          <w:sz w:val="28"/>
          <w:szCs w:val="28"/>
        </w:rPr>
        <w:t>東南亞及印度國家</w:t>
      </w:r>
      <w:r w:rsidR="009113F3" w:rsidRPr="00C77E77">
        <w:rPr>
          <w:sz w:val="28"/>
          <w:szCs w:val="28"/>
        </w:rPr>
        <w:t>隨著經濟持續成長且相關醫療政策推動下，對醫療照顧</w:t>
      </w:r>
      <w:r w:rsidR="00261867" w:rsidRPr="00C77E77">
        <w:rPr>
          <w:sz w:val="28"/>
          <w:szCs w:val="28"/>
        </w:rPr>
        <w:t>的</w:t>
      </w:r>
      <w:r w:rsidR="009113F3" w:rsidRPr="00C77E77">
        <w:rPr>
          <w:sz w:val="28"/>
          <w:szCs w:val="28"/>
        </w:rPr>
        <w:t>需求增加，可望帶動當地醫療器材市場快速發展</w:t>
      </w:r>
      <w:r w:rsidR="00261867" w:rsidRPr="00C77E77">
        <w:rPr>
          <w:sz w:val="28"/>
          <w:szCs w:val="28"/>
        </w:rPr>
        <w:t>。</w:t>
      </w:r>
      <w:r w:rsidR="009113F3" w:rsidRPr="00C77E77">
        <w:rPr>
          <w:sz w:val="28"/>
          <w:szCs w:val="28"/>
        </w:rPr>
        <w:t>馬來西亞、泰國、越南、菲律賓及印尼之潛在智慧醫材商機可觀，我國醫療器材廠商可從高階居家醫療器材領域切入</w:t>
      </w:r>
      <w:r w:rsidR="00A11C22" w:rsidRPr="00C77E77">
        <w:rPr>
          <w:sz w:val="28"/>
          <w:szCs w:val="28"/>
        </w:rPr>
        <w:t>，並</w:t>
      </w:r>
      <w:r w:rsidR="00165B81" w:rsidRPr="00C77E77">
        <w:rPr>
          <w:sz w:val="28"/>
          <w:szCs w:val="28"/>
        </w:rPr>
        <w:t>加強雙向醫療院所之合作與交流、</w:t>
      </w:r>
      <w:r w:rsidR="00A11C22" w:rsidRPr="00C77E77">
        <w:rPr>
          <w:sz w:val="28"/>
          <w:szCs w:val="28"/>
        </w:rPr>
        <w:t>協助推動醫療器材電子化</w:t>
      </w:r>
      <w:r w:rsidR="00261867" w:rsidRPr="00C77E77">
        <w:rPr>
          <w:sz w:val="28"/>
          <w:szCs w:val="28"/>
        </w:rPr>
        <w:t>。</w:t>
      </w:r>
      <w:r w:rsidR="009113F3" w:rsidRPr="00C77E77">
        <w:rPr>
          <w:sz w:val="28"/>
          <w:szCs w:val="28"/>
        </w:rPr>
        <w:t>印度雖然基礎設施不足但行動通訊普及，隨著醫療負擔日益加重，包含行動醫療在內之智慧健康照護產業之商機可期，且印度當地有不少民間組織或非政府組織進行偏鄉醫療服務，可</w:t>
      </w:r>
      <w:r w:rsidR="00A11C22" w:rsidRPr="00C77E77">
        <w:rPr>
          <w:sz w:val="28"/>
          <w:szCs w:val="28"/>
        </w:rPr>
        <w:t>推動我國</w:t>
      </w:r>
      <w:r w:rsidR="00A11C22" w:rsidRPr="00C77E77">
        <w:rPr>
          <w:sz w:val="28"/>
          <w:szCs w:val="28"/>
        </w:rPr>
        <w:t>NGO</w:t>
      </w:r>
      <w:r w:rsidR="00A11C22" w:rsidRPr="00C77E77">
        <w:rPr>
          <w:sz w:val="28"/>
          <w:szCs w:val="28"/>
        </w:rPr>
        <w:t>團體與印度醫療團體合作提供行動醫療服務</w:t>
      </w:r>
      <w:r w:rsidR="00165B81" w:rsidRPr="00C77E77">
        <w:rPr>
          <w:sz w:val="28"/>
          <w:szCs w:val="28"/>
        </w:rPr>
        <w:t>與之合作</w:t>
      </w:r>
      <w:r w:rsidR="00A11C22" w:rsidRPr="00C77E77">
        <w:rPr>
          <w:sz w:val="28"/>
          <w:szCs w:val="28"/>
        </w:rPr>
        <w:t>。</w:t>
      </w:r>
    </w:p>
    <w:p w:rsidR="009113F3" w:rsidRPr="00C77E77" w:rsidRDefault="00A24F43" w:rsidP="00A11C22">
      <w:pPr>
        <w:pStyle w:val="afe"/>
        <w:tabs>
          <w:tab w:val="left" w:pos="465"/>
        </w:tabs>
        <w:spacing w:beforeLines="50" w:before="180" w:afterLines="50" w:after="180" w:line="500" w:lineRule="exact"/>
        <w:ind w:left="720" w:firstLineChars="198" w:firstLine="554"/>
        <w:rPr>
          <w:sz w:val="28"/>
          <w:szCs w:val="28"/>
        </w:rPr>
      </w:pPr>
      <w:r w:rsidRPr="00C77E77">
        <w:rPr>
          <w:sz w:val="28"/>
          <w:szCs w:val="28"/>
        </w:rPr>
        <w:t>另</w:t>
      </w:r>
      <w:r w:rsidR="00165B81" w:rsidRPr="00C77E77">
        <w:rPr>
          <w:sz w:val="28"/>
          <w:szCs w:val="28"/>
        </w:rPr>
        <w:t>外，汶萊雖然國民所得高居東南亞第二，惟過去經濟發展形態集中以石油產業為主，且企業多為國家持有。隨著汶萊近期多角化產業發展政策下，致力於推廣金融及觀光等非石油產業，我國可面向汶萊高所得族群推廣醫療觀光行程及拓銷我國保健食品與美妝產品。</w:t>
      </w:r>
    </w:p>
    <w:p w:rsidR="009113F3" w:rsidRPr="00C77E77" w:rsidRDefault="00165B81" w:rsidP="0087598A">
      <w:pPr>
        <w:pStyle w:val="afe"/>
        <w:tabs>
          <w:tab w:val="left" w:pos="465"/>
        </w:tabs>
        <w:spacing w:beforeLines="50" w:before="180" w:afterLines="50" w:after="180" w:line="500" w:lineRule="exact"/>
        <w:ind w:left="720" w:firstLineChars="198" w:firstLine="555"/>
        <w:rPr>
          <w:color w:val="auto"/>
          <w:sz w:val="28"/>
          <w:szCs w:val="28"/>
        </w:rPr>
      </w:pPr>
      <w:r w:rsidRPr="00C77E77">
        <w:rPr>
          <w:b/>
          <w:sz w:val="28"/>
          <w:szCs w:val="28"/>
        </w:rPr>
        <w:lastRenderedPageBreak/>
        <w:t>長期</w:t>
      </w:r>
      <w:r w:rsidRPr="00C77E77">
        <w:rPr>
          <w:sz w:val="28"/>
          <w:szCs w:val="28"/>
        </w:rPr>
        <w:t>應針對東南亞及印度當地幅員廣大且基礎設施未完備，我國廠商不易掌握銷售通路的特點，建議政府協助廠商搭建與當地經銷商之橋樑，拓展合作機會。同時東南亞多數國家對智慧醫療器材之價格敏感度高，建議政府多加拓展與東協國家之經貿合作，降低關稅壁壘，提升我國醫材產品之價格競爭力。例</w:t>
      </w:r>
      <w:r w:rsidRPr="00C77E77">
        <w:rPr>
          <w:color w:val="auto"/>
          <w:sz w:val="28"/>
          <w:szCs w:val="28"/>
        </w:rPr>
        <w:t>如</w:t>
      </w:r>
      <w:r w:rsidR="009113F3" w:rsidRPr="00C77E77">
        <w:rPr>
          <w:color w:val="auto"/>
          <w:sz w:val="28"/>
          <w:szCs w:val="28"/>
        </w:rPr>
        <w:t>柬埔寨緬甸和寮國經濟仍屬早期發展階段，醫療水準相對落後，國民所得僅</w:t>
      </w:r>
      <w:r w:rsidR="009113F3" w:rsidRPr="00C77E77">
        <w:rPr>
          <w:color w:val="auto"/>
          <w:sz w:val="28"/>
          <w:szCs w:val="28"/>
        </w:rPr>
        <w:t>1</w:t>
      </w:r>
      <w:r w:rsidR="009113F3" w:rsidRPr="00C77E77">
        <w:rPr>
          <w:color w:val="auto"/>
          <w:sz w:val="28"/>
          <w:szCs w:val="28"/>
        </w:rPr>
        <w:t>萬美金左右</w:t>
      </w:r>
      <w:r w:rsidRPr="00C77E77">
        <w:rPr>
          <w:color w:val="auto"/>
          <w:sz w:val="28"/>
          <w:szCs w:val="28"/>
        </w:rPr>
        <w:t>，電力與資通訊基礎設備相當缺乏，尚未具備能發展「智慧健康產業」，我國</w:t>
      </w:r>
      <w:r w:rsidR="009113F3" w:rsidRPr="00C77E77">
        <w:rPr>
          <w:color w:val="auto"/>
          <w:sz w:val="28"/>
          <w:szCs w:val="28"/>
        </w:rPr>
        <w:t>可從提供最基礎的醫療設備著手，結合醫療服務與醫療教育輸出來進立長期友好關係。</w:t>
      </w:r>
    </w:p>
    <w:p w:rsidR="009113F3" w:rsidRPr="00C77E77" w:rsidRDefault="009113F3" w:rsidP="009113F3">
      <w:pPr>
        <w:pStyle w:val="af9"/>
        <w:rPr>
          <w:b w:val="0"/>
          <w:color w:val="auto"/>
        </w:rPr>
      </w:pPr>
      <w:bookmarkStart w:id="162" w:name="_Toc458590930"/>
      <w:bookmarkStart w:id="163" w:name="_Toc470676621"/>
      <w:r w:rsidRPr="00C77E77">
        <w:rPr>
          <w:color w:val="auto"/>
        </w:rPr>
        <w:t>表</w:t>
      </w:r>
      <w:r w:rsidRPr="00C77E77">
        <w:rPr>
          <w:color w:val="auto"/>
        </w:rPr>
        <w:t>5-</w:t>
      </w:r>
      <w:r w:rsidR="009551A7" w:rsidRPr="00C77E77">
        <w:rPr>
          <w:color w:val="auto"/>
        </w:rPr>
        <w:t>2</w:t>
      </w:r>
      <w:r w:rsidRPr="00C77E77">
        <w:rPr>
          <w:color w:val="auto"/>
        </w:rPr>
        <w:t xml:space="preserve">-11 </w:t>
      </w:r>
      <w:r w:rsidRPr="00C77E77">
        <w:rPr>
          <w:color w:val="auto"/>
        </w:rPr>
        <w:t>我國智慧健康</w:t>
      </w:r>
      <w:r w:rsidRPr="00C77E77">
        <w:rPr>
          <w:color w:val="auto"/>
        </w:rPr>
        <w:t>SWOT</w:t>
      </w:r>
      <w:r w:rsidRPr="00C77E77">
        <w:rPr>
          <w:color w:val="auto"/>
        </w:rPr>
        <w:t>分析</w:t>
      </w:r>
      <w:bookmarkEnd w:id="162"/>
      <w:bookmarkEnd w:id="1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9"/>
        <w:gridCol w:w="4159"/>
      </w:tblGrid>
      <w:tr w:rsidR="000C5DB0" w:rsidRPr="00C77E77" w:rsidTr="00F90C03">
        <w:trPr>
          <w:trHeight w:val="168"/>
          <w:jc w:val="center"/>
        </w:trPr>
        <w:tc>
          <w:tcPr>
            <w:tcW w:w="4159" w:type="dxa"/>
          </w:tcPr>
          <w:p w:rsidR="000C5DB0" w:rsidRPr="00C77E77" w:rsidRDefault="000C5DB0"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Pr="00C77E77">
              <w:rPr>
                <w:rFonts w:ascii="Times New Roman" w:eastAsia="標楷體" w:hAnsi="Times New Roman" w:cs="Times New Roman"/>
                <w:b/>
                <w:bCs/>
                <w:color w:val="000000"/>
                <w:kern w:val="0"/>
                <w:szCs w:val="24"/>
              </w:rPr>
              <w:t>S</w:t>
            </w:r>
            <w:r w:rsidRPr="00C77E77">
              <w:rPr>
                <w:rFonts w:ascii="Times New Roman" w:eastAsia="標楷體" w:hAnsi="Times New Roman" w:cs="Times New Roman"/>
                <w:b/>
                <w:bCs/>
                <w:color w:val="000000"/>
                <w:kern w:val="0"/>
                <w:szCs w:val="24"/>
              </w:rPr>
              <w:t>）</w:t>
            </w:r>
          </w:p>
        </w:tc>
        <w:tc>
          <w:tcPr>
            <w:tcW w:w="4159" w:type="dxa"/>
          </w:tcPr>
          <w:p w:rsidR="000C5DB0" w:rsidRPr="00C77E77" w:rsidRDefault="000C5DB0"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Pr="00C77E77">
              <w:rPr>
                <w:rFonts w:ascii="Times New Roman" w:eastAsia="標楷體" w:hAnsi="Times New Roman" w:cs="Times New Roman"/>
                <w:b/>
                <w:bCs/>
                <w:color w:val="000000"/>
                <w:kern w:val="0"/>
                <w:szCs w:val="24"/>
              </w:rPr>
              <w:t>（</w:t>
            </w:r>
            <w:r w:rsidRPr="00C77E77">
              <w:rPr>
                <w:rFonts w:ascii="Times New Roman" w:eastAsia="標楷體" w:hAnsi="Times New Roman" w:cs="Times New Roman"/>
                <w:b/>
                <w:bCs/>
                <w:color w:val="000000"/>
                <w:kern w:val="0"/>
                <w:szCs w:val="24"/>
              </w:rPr>
              <w:t>W</w:t>
            </w:r>
            <w:r w:rsidRPr="00C77E77">
              <w:rPr>
                <w:rFonts w:ascii="Times New Roman" w:eastAsia="標楷體" w:hAnsi="Times New Roman" w:cs="Times New Roman"/>
                <w:b/>
                <w:bCs/>
                <w:color w:val="000000"/>
                <w:kern w:val="0"/>
                <w:szCs w:val="24"/>
              </w:rPr>
              <w:t>）</w:t>
            </w:r>
          </w:p>
        </w:tc>
      </w:tr>
      <w:tr w:rsidR="009113F3" w:rsidRPr="00C77E77" w:rsidTr="00E34F11">
        <w:trPr>
          <w:trHeight w:hRule="exact" w:val="2292"/>
          <w:jc w:val="center"/>
        </w:trPr>
        <w:tc>
          <w:tcPr>
            <w:tcW w:w="4159" w:type="dxa"/>
          </w:tcPr>
          <w:p w:rsidR="009113F3" w:rsidRPr="00C77E77" w:rsidRDefault="009113F3" w:rsidP="00E34F11">
            <w:pPr>
              <w:autoSpaceDE w:val="0"/>
              <w:autoSpaceDN w:val="0"/>
              <w:adjustRightInd w:val="0"/>
              <w:ind w:left="154" w:hangingChars="64" w:hanging="154"/>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我國醫療器材基礎厚實</w:t>
            </w:r>
            <w:r w:rsidRPr="00C77E77">
              <w:rPr>
                <w:rFonts w:ascii="Times New Roman" w:eastAsia="標楷體" w:hAnsi="Times New Roman" w:cs="Times New Roman"/>
                <w:kern w:val="0"/>
                <w:szCs w:val="24"/>
              </w:rPr>
              <w:t>，其中居家醫材品牌</w:t>
            </w:r>
            <w:r w:rsidRPr="00C77E77">
              <w:rPr>
                <w:rFonts w:ascii="Times New Roman" w:eastAsia="標楷體" w:hAnsi="Times New Roman" w:cs="Times New Roman"/>
                <w:kern w:val="0"/>
                <w:szCs w:val="23"/>
              </w:rPr>
              <w:t>Microlife</w:t>
            </w:r>
            <w:r w:rsidRPr="00C77E77">
              <w:rPr>
                <w:rFonts w:ascii="Times New Roman" w:eastAsia="標楷體" w:hAnsi="Times New Roman" w:cs="Times New Roman"/>
                <w:kern w:val="0"/>
                <w:szCs w:val="23"/>
              </w:rPr>
              <w:t>及</w:t>
            </w:r>
            <w:r w:rsidRPr="00C77E77">
              <w:rPr>
                <w:rFonts w:ascii="Times New Roman" w:eastAsia="標楷體" w:hAnsi="Times New Roman" w:cs="Times New Roman"/>
                <w:kern w:val="0"/>
                <w:szCs w:val="23"/>
              </w:rPr>
              <w:t>Rossmax</w:t>
            </w:r>
            <w:r w:rsidRPr="00C77E77">
              <w:rPr>
                <w:rFonts w:ascii="Times New Roman" w:eastAsia="標楷體" w:hAnsi="Times New Roman" w:cs="Times New Roman"/>
                <w:kern w:val="0"/>
                <w:szCs w:val="23"/>
              </w:rPr>
              <w:t>等陸續在國際市場嶄露頭角</w:t>
            </w:r>
            <w:r w:rsidRPr="00C77E77">
              <w:rPr>
                <w:rFonts w:ascii="Times New Roman" w:eastAsia="標楷體" w:hAnsi="Times New Roman" w:cs="Times New Roman"/>
                <w:kern w:val="0"/>
                <w:szCs w:val="24"/>
              </w:rPr>
              <w:t>。</w:t>
            </w:r>
          </w:p>
          <w:p w:rsidR="009113F3" w:rsidRPr="00C77E77" w:rsidRDefault="009113F3" w:rsidP="00E34F11">
            <w:pPr>
              <w:autoSpaceDE w:val="0"/>
              <w:autoSpaceDN w:val="0"/>
              <w:adjustRightInd w:val="0"/>
              <w:ind w:left="154" w:hangingChars="64" w:hanging="154"/>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具備電子產業上游優勢基礎及專業人才</w:t>
            </w:r>
            <w:r w:rsidRPr="00C77E77">
              <w:rPr>
                <w:rFonts w:ascii="Times New Roman" w:eastAsia="標楷體" w:hAnsi="Times New Roman" w:cs="Times New Roman"/>
                <w:kern w:val="0"/>
                <w:szCs w:val="24"/>
              </w:rPr>
              <w:t>。</w:t>
            </w:r>
          </w:p>
          <w:p w:rsidR="009113F3" w:rsidRPr="00C77E77" w:rsidRDefault="009113F3" w:rsidP="00E34F11">
            <w:pPr>
              <w:autoSpaceDE w:val="0"/>
              <w:autoSpaceDN w:val="0"/>
              <w:adjustRightInd w:val="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擁有資通訊產業優勢</w:t>
            </w:r>
            <w:r w:rsidRPr="00C77E77">
              <w:rPr>
                <w:rFonts w:ascii="Times New Roman" w:eastAsia="標楷體" w:hAnsi="Times New Roman" w:cs="Times New Roman"/>
                <w:kern w:val="0"/>
                <w:szCs w:val="24"/>
              </w:rPr>
              <w:t>。</w:t>
            </w:r>
          </w:p>
        </w:tc>
        <w:tc>
          <w:tcPr>
            <w:tcW w:w="4159" w:type="dxa"/>
          </w:tcPr>
          <w:p w:rsidR="009113F3" w:rsidRPr="00C77E77" w:rsidRDefault="009113F3" w:rsidP="00E34F11">
            <w:pPr>
              <w:autoSpaceDE w:val="0"/>
              <w:autoSpaceDN w:val="0"/>
              <w:adjustRightInd w:val="0"/>
              <w:ind w:left="110" w:hangingChars="46" w:hanging="110"/>
              <w:jc w:val="both"/>
              <w:rPr>
                <w:rFonts w:ascii="Times New Roman" w:eastAsia="標楷體" w:hAnsi="Times New Roman" w:cs="Times New Roman"/>
                <w:kern w:val="0"/>
                <w:szCs w:val="24"/>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高階醫療器材之進入門檻高</w:t>
            </w:r>
            <w:r w:rsidRPr="00C77E77">
              <w:rPr>
                <w:rFonts w:ascii="Times New Roman" w:eastAsia="標楷體" w:hAnsi="Times New Roman" w:cs="Times New Roman"/>
                <w:kern w:val="0"/>
                <w:szCs w:val="24"/>
              </w:rPr>
              <w:t>，臺灣仍仰賴進口。</w:t>
            </w:r>
          </w:p>
          <w:p w:rsidR="009113F3" w:rsidRPr="00C77E77" w:rsidRDefault="009113F3" w:rsidP="00E34F11">
            <w:pPr>
              <w:autoSpaceDE w:val="0"/>
              <w:autoSpaceDN w:val="0"/>
              <w:adjustRightInd w:val="0"/>
              <w:ind w:left="110" w:hangingChars="46" w:hanging="11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生理監測裝置之關鍵技術仍掌握在國際大廠</w:t>
            </w:r>
            <w:r w:rsidRPr="00C77E77">
              <w:rPr>
                <w:rFonts w:ascii="Times New Roman" w:eastAsia="標楷體" w:hAnsi="Times New Roman" w:cs="Times New Roman"/>
                <w:kern w:val="0"/>
                <w:szCs w:val="24"/>
              </w:rPr>
              <w:t>，臺灣目前為進口零組件後進行組裝再出口。</w:t>
            </w:r>
          </w:p>
          <w:p w:rsidR="009113F3" w:rsidRPr="00C77E77" w:rsidRDefault="009113F3" w:rsidP="00E34F11">
            <w:pPr>
              <w:autoSpaceDE w:val="0"/>
              <w:autoSpaceDN w:val="0"/>
              <w:adjustRightInd w:val="0"/>
              <w:ind w:left="110" w:hangingChars="46" w:hanging="110"/>
              <w:jc w:val="both"/>
              <w:rPr>
                <w:rFonts w:ascii="Times New Roman" w:eastAsia="標楷體" w:hAnsi="Times New Roman" w:cs="Times New Roman"/>
                <w:kern w:val="0"/>
                <w:szCs w:val="24"/>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醫療器材出口占全球比重僅</w:t>
            </w:r>
            <w:r w:rsidRPr="00C77E77">
              <w:rPr>
                <w:rFonts w:ascii="Times New Roman" w:eastAsia="標楷體" w:hAnsi="Times New Roman" w:cs="Times New Roman"/>
                <w:kern w:val="0"/>
                <w:szCs w:val="23"/>
              </w:rPr>
              <w:t>0.4%</w:t>
            </w:r>
            <w:r w:rsidRPr="00C77E77">
              <w:rPr>
                <w:rFonts w:ascii="Times New Roman" w:eastAsia="標楷體" w:hAnsi="Times New Roman" w:cs="Times New Roman"/>
                <w:kern w:val="0"/>
                <w:szCs w:val="24"/>
              </w:rPr>
              <w:t>。</w:t>
            </w:r>
          </w:p>
        </w:tc>
      </w:tr>
      <w:tr w:rsidR="008B0B95" w:rsidRPr="00C77E77" w:rsidTr="00E34F11">
        <w:trPr>
          <w:trHeight w:val="168"/>
          <w:jc w:val="center"/>
        </w:trPr>
        <w:tc>
          <w:tcPr>
            <w:tcW w:w="4159"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4159"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9113F3" w:rsidRPr="00C77E77" w:rsidTr="00E34F11">
        <w:trPr>
          <w:trHeight w:val="984"/>
          <w:jc w:val="center"/>
        </w:trPr>
        <w:tc>
          <w:tcPr>
            <w:tcW w:w="4159" w:type="dxa"/>
          </w:tcPr>
          <w:p w:rsidR="009113F3" w:rsidRPr="00C77E77" w:rsidRDefault="009113F3" w:rsidP="00E34F11">
            <w:pPr>
              <w:autoSpaceDE w:val="0"/>
              <w:autoSpaceDN w:val="0"/>
              <w:adjustRightInd w:val="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與新加坡關係友好，已簽訂「臺星經濟夥伴協定」，關稅壁壘消除，有利我國醫療器材出口至新加坡。</w:t>
            </w:r>
          </w:p>
          <w:p w:rsidR="009113F3" w:rsidRPr="00C77E77" w:rsidRDefault="009113F3" w:rsidP="00E34F11">
            <w:pPr>
              <w:autoSpaceDE w:val="0"/>
              <w:autoSpaceDN w:val="0"/>
              <w:adjustRightInd w:val="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菲律賓及印尼擁有人口紅利、內需穩定發展、兩國經濟政策開放並推動醫療改革計畫，潛在智慧醫材商機可觀。</w:t>
            </w:r>
          </w:p>
          <w:p w:rsidR="009113F3" w:rsidRPr="00C77E77" w:rsidRDefault="009113F3" w:rsidP="00E34F11">
            <w:pPr>
              <w:autoSpaceDE w:val="0"/>
              <w:autoSpaceDN w:val="0"/>
              <w:adjustRightInd w:val="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印度醫療負擔加重、行動通訊普及，行動醫療商機可期。</w:t>
            </w:r>
          </w:p>
        </w:tc>
        <w:tc>
          <w:tcPr>
            <w:tcW w:w="4159" w:type="dxa"/>
          </w:tcPr>
          <w:p w:rsidR="009113F3" w:rsidRPr="00C77E77" w:rsidRDefault="009113F3" w:rsidP="00E34F11">
            <w:pPr>
              <w:autoSpaceDE w:val="0"/>
              <w:autoSpaceDN w:val="0"/>
              <w:adjustRightInd w:val="0"/>
              <w:ind w:left="110" w:hangingChars="46" w:hanging="11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4"/>
              </w:rPr>
              <w:t>臺灣較多廠商進入居家醫療器材市</w:t>
            </w:r>
            <w:r w:rsidRPr="00C77E77">
              <w:rPr>
                <w:rFonts w:ascii="Times New Roman" w:eastAsia="標楷體" w:hAnsi="Times New Roman" w:cs="Times New Roman"/>
                <w:kern w:val="0"/>
                <w:szCs w:val="24"/>
              </w:rPr>
              <w:t xml:space="preserve"> </w:t>
            </w:r>
            <w:r w:rsidRPr="00C77E77">
              <w:rPr>
                <w:rFonts w:ascii="Times New Roman" w:eastAsia="標楷體" w:hAnsi="Times New Roman" w:cs="Times New Roman"/>
                <w:kern w:val="0"/>
                <w:szCs w:val="24"/>
              </w:rPr>
              <w:t>場，然而</w:t>
            </w:r>
            <w:r w:rsidRPr="00C77E77">
              <w:rPr>
                <w:rFonts w:ascii="Times New Roman" w:eastAsia="標楷體" w:hAnsi="Times New Roman" w:cs="Times New Roman"/>
                <w:kern w:val="0"/>
                <w:szCs w:val="23"/>
              </w:rPr>
              <w:t>中國大陸以低價策略切入居家醫療市場</w:t>
            </w:r>
            <w:r w:rsidRPr="00C77E77">
              <w:rPr>
                <w:rFonts w:ascii="Times New Roman" w:eastAsia="標楷體" w:hAnsi="Times New Roman" w:cs="Times New Roman"/>
                <w:kern w:val="0"/>
                <w:szCs w:val="24"/>
              </w:rPr>
              <w:t>，其出口規模已達全球</w:t>
            </w:r>
            <w:r w:rsidRPr="00C77E77">
              <w:rPr>
                <w:rFonts w:ascii="Times New Roman" w:eastAsia="標楷體" w:hAnsi="Times New Roman" w:cs="Times New Roman"/>
                <w:kern w:val="0"/>
                <w:szCs w:val="24"/>
              </w:rPr>
              <w:t>46%</w:t>
            </w:r>
            <w:r w:rsidRPr="00C77E77">
              <w:rPr>
                <w:rFonts w:ascii="Times New Roman" w:eastAsia="標楷體" w:hAnsi="Times New Roman" w:cs="Times New Roman"/>
                <w:kern w:val="0"/>
                <w:szCs w:val="24"/>
              </w:rPr>
              <w:t>之高，臺灣廠商面臨挑戰。</w:t>
            </w:r>
          </w:p>
          <w:p w:rsidR="009113F3" w:rsidRPr="00C77E77" w:rsidRDefault="009113F3" w:rsidP="00E34F11">
            <w:pPr>
              <w:autoSpaceDE w:val="0"/>
              <w:autoSpaceDN w:val="0"/>
              <w:adjustRightInd w:val="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 xml:space="preserve">• </w:t>
            </w:r>
            <w:r w:rsidRPr="00C77E77">
              <w:rPr>
                <w:rFonts w:ascii="Times New Roman" w:eastAsia="標楷體" w:hAnsi="Times New Roman" w:cs="Times New Roman"/>
                <w:kern w:val="0"/>
                <w:szCs w:val="23"/>
              </w:rPr>
              <w:t>新加坡已成為東南亞一些國家</w:t>
            </w:r>
            <w:r w:rsidR="00704240"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如印尼</w:t>
            </w:r>
            <w:r w:rsidR="00704240"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之主要進口來源國</w:t>
            </w:r>
            <w:r w:rsidRPr="00C77E77">
              <w:rPr>
                <w:rFonts w:ascii="Times New Roman" w:eastAsia="標楷體" w:hAnsi="Times New Roman" w:cs="Times New Roman"/>
                <w:kern w:val="0"/>
                <w:szCs w:val="24"/>
              </w:rPr>
              <w:t>，且該國醫療器材技術，成為我國進入東南亞市場之競爭對手。</w:t>
            </w:r>
          </w:p>
        </w:tc>
      </w:tr>
    </w:tbl>
    <w:p w:rsidR="009113F3" w:rsidRPr="00C77E77" w:rsidRDefault="009113F3" w:rsidP="009113F3">
      <w:pPr>
        <w:pStyle w:val="ab"/>
        <w:ind w:leftChars="0" w:left="720"/>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p>
    <w:p w:rsidR="009D7FB5" w:rsidRPr="00C77E77" w:rsidRDefault="009D7FB5" w:rsidP="00764ED7">
      <w:pPr>
        <w:pStyle w:val="ab"/>
        <w:numPr>
          <w:ilvl w:val="0"/>
          <w:numId w:val="31"/>
        </w:numPr>
        <w:spacing w:beforeLines="50" w:before="180" w:afterLines="50" w:after="180" w:line="500" w:lineRule="exact"/>
        <w:ind w:leftChars="0"/>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新農業</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從事農業必須具備幾項關鍵因素，例如土地、勞動力、資本以及管理。然而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灣地狹人稠，天然資源缺乏，農業環境條件欠佳，但因</w:t>
      </w:r>
      <w:r w:rsidRPr="00C77E77">
        <w:rPr>
          <w:rFonts w:ascii="Times New Roman" w:eastAsia="標楷體" w:hAnsi="Times New Roman" w:cs="Times New Roman"/>
          <w:sz w:val="28"/>
          <w:szCs w:val="28"/>
        </w:rPr>
        <w:lastRenderedPageBreak/>
        <w:t>人民勤奮，加上政府推動土地改革，實施肥料換穀制度，加上農業專家策劃，透過技術改進增加農業生產</w:t>
      </w:r>
      <w:r w:rsidRPr="00C77E77">
        <w:rPr>
          <w:rStyle w:val="a9"/>
          <w:rFonts w:ascii="Times New Roman" w:eastAsia="標楷體" w:hAnsi="Times New Roman" w:cs="Times New Roman"/>
          <w:sz w:val="28"/>
          <w:szCs w:val="28"/>
        </w:rPr>
        <w:footnoteReference w:id="157"/>
      </w:r>
      <w:r w:rsidRPr="00C77E77">
        <w:rPr>
          <w:rFonts w:ascii="Times New Roman" w:eastAsia="標楷體" w:hAnsi="Times New Roman" w:cs="Times New Roman"/>
          <w:sz w:val="28"/>
          <w:szCs w:val="28"/>
        </w:rPr>
        <w:t>，過去曾創造出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灣經驗的農業奇蹟，讓農業協助工商業發展，成為許多開發中國家模仿的典範。</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臺灣歷經</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年經濟發展，農業部門地位逐漸式微，無論就農業生產戰國內毛額的比率、農業就業人口占就業比率，農業進出口占總體進出口比率及固定資本之形成，均呈現降低之趨勢。目前，我國農業面臨「小農」、「貧農」與「老農」之結構問題，使得農業要進行技術升級會面對資金與知識不足，導致科技研發不足。再者，由於缺乏足夠的資金、人才、行銷管道與品牌，導致</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灣農業遭受貿易自由化的巨大挑戰。</w:t>
      </w:r>
      <w:r w:rsidRPr="00C77E77">
        <w:rPr>
          <w:rStyle w:val="a9"/>
          <w:rFonts w:ascii="Times New Roman" w:eastAsia="標楷體" w:hAnsi="Times New Roman" w:cs="Times New Roman"/>
          <w:sz w:val="28"/>
          <w:szCs w:val="28"/>
        </w:rPr>
        <w:footnoteReference w:id="158"/>
      </w:r>
      <w:r w:rsidRPr="00C77E77">
        <w:rPr>
          <w:rFonts w:ascii="Times New Roman" w:eastAsia="標楷體" w:hAnsi="Times New Roman" w:cs="Times New Roman"/>
          <w:sz w:val="28"/>
          <w:szCs w:val="28"/>
        </w:rPr>
        <w:t>因此，現任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大陳保基教授曾投書指出</w:t>
      </w:r>
      <w:r w:rsidRPr="00C77E77">
        <w:rPr>
          <w:rStyle w:val="a9"/>
          <w:rFonts w:ascii="Times New Roman" w:eastAsia="標楷體" w:hAnsi="Times New Roman" w:cs="Times New Roman"/>
          <w:sz w:val="28"/>
          <w:szCs w:val="28"/>
        </w:rPr>
        <w:footnoteReference w:id="159"/>
      </w:r>
      <w:r w:rsidRPr="00C77E77">
        <w:rPr>
          <w:rFonts w:ascii="Times New Roman" w:eastAsia="標楷體" w:hAnsi="Times New Roman" w:cs="Times New Roman"/>
          <w:sz w:val="28"/>
          <w:szCs w:val="28"/>
        </w:rPr>
        <w:t>，應將生產型農業轉型為新價值鏈農業，不只銷售農產品，更要跨領域整合，從農場到餐桌，結合健康和休閒產業，延伸農業的價值。並善用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灣農業生物技術的成果，例如動物疫苗、生物農藥肥料、觀賞魚產業鏈等都具有國際化的潛力，農業可成為「生物經濟」發展的利基。</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政府積極促進將傳統農業轉型為「新世代農業」，全面啟動南進計畫，更將結合政府力推的農業科技政策。農委會副主委陳吉仲指出，東南亞市場大多是發展中國家，對農業生產技術需求很大，以印尼來說，每人消費稻米的產量面積在</w:t>
      </w:r>
      <w:r w:rsidRPr="00C77E77">
        <w:rPr>
          <w:rFonts w:ascii="Times New Roman" w:eastAsia="標楷體" w:hAnsi="Times New Roman" w:cs="Times New Roman"/>
          <w:sz w:val="28"/>
          <w:szCs w:val="28"/>
        </w:rPr>
        <w:t>120~130</w:t>
      </w:r>
      <w:r w:rsidRPr="00C77E77">
        <w:rPr>
          <w:rFonts w:ascii="Times New Roman" w:eastAsia="標楷體" w:hAnsi="Times New Roman" w:cs="Times New Roman"/>
          <w:sz w:val="28"/>
          <w:szCs w:val="28"/>
        </w:rPr>
        <w:t>公頃，將近</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灣兩倍，當地政府正計畫擴大</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萬公頃的水稻面積。</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灣在栽種作物的管理技術，實力非常堅強，其中又以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肥最具競爭力，目前已成立「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灣國際農業開發</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股</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公司」，正式以國家品牌擴展海外市場；提供農技協助，推廣生物性資材及農機具，提升夥伴國經營能力。肩負起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灣農業科技轉型推動的重要角色，進軍東南亞市場。</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為更清楚瞭解我國農業進軍東南亞是場所面臨的機會與挑戰，以下將以我國新農業</w:t>
      </w:r>
      <w:r w:rsidRPr="00C77E77">
        <w:rPr>
          <w:rFonts w:ascii="Times New Roman" w:eastAsia="標楷體" w:hAnsi="Times New Roman" w:cs="Times New Roman"/>
          <w:sz w:val="28"/>
          <w:szCs w:val="28"/>
        </w:rPr>
        <w:t>SWOT</w:t>
      </w:r>
      <w:r w:rsidRPr="00C77E77">
        <w:rPr>
          <w:rFonts w:ascii="Times New Roman" w:eastAsia="標楷體" w:hAnsi="Times New Roman" w:cs="Times New Roman"/>
          <w:sz w:val="28"/>
          <w:szCs w:val="28"/>
        </w:rPr>
        <w:t>分析，提供政府單位作為參考。由表</w:t>
      </w:r>
      <w:r w:rsidRPr="00C77E77">
        <w:rPr>
          <w:rFonts w:ascii="Times New Roman" w:eastAsia="標楷體" w:hAnsi="Times New Roman" w:cs="Times New Roman"/>
          <w:sz w:val="28"/>
          <w:szCs w:val="28"/>
        </w:rPr>
        <w:t>5-1-12</w:t>
      </w:r>
      <w:r w:rsidRPr="00C77E77">
        <w:rPr>
          <w:rFonts w:ascii="Times New Roman" w:eastAsia="標楷體" w:hAnsi="Times New Roman" w:cs="Times New Roman"/>
          <w:sz w:val="28"/>
          <w:szCs w:val="28"/>
        </w:rPr>
        <w:t>可以得知，我國在農業發展優勢上具有強力的農業技術水準、地理條件及健全植物品種智慧財產權保護制度</w:t>
      </w:r>
      <w:r w:rsidRPr="00C77E77">
        <w:rPr>
          <w:rFonts w:ascii="Times New Roman" w:eastAsia="微軟正黑體" w:hAnsi="Times New Roman" w:cs="Times New Roman"/>
          <w:sz w:val="28"/>
          <w:szCs w:val="28"/>
        </w:rPr>
        <w:t>；</w:t>
      </w:r>
      <w:r w:rsidRPr="00C77E77">
        <w:rPr>
          <w:rFonts w:ascii="Times New Roman" w:eastAsia="標楷體" w:hAnsi="Times New Roman" w:cs="Times New Roman"/>
          <w:sz w:val="28"/>
          <w:szCs w:val="28"/>
        </w:rPr>
        <w:t>面對東南亞國家之機會，則在於東協農業機械發展水準不高，臺灣農機的優勢在於完整的機械產業鏈，各式零配件都有。以及食品業者經多年發展，製造水準及研發技術極具競爭力。</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另一方面，我國農業發展所存在的劣勢有國際市場的開放與自由化、農業勞動人力嚴重老化、國內面臨耕地面積不足等三個問題</w:t>
      </w:r>
      <w:r w:rsidRPr="00C77E77">
        <w:rPr>
          <w:rFonts w:ascii="Times New Roman" w:eastAsia="微軟正黑體" w:hAnsi="Times New Roman" w:cs="Times New Roman"/>
          <w:sz w:val="28"/>
          <w:szCs w:val="28"/>
        </w:rPr>
        <w:t>；</w:t>
      </w:r>
      <w:r w:rsidRPr="00C77E77">
        <w:rPr>
          <w:rFonts w:ascii="Times New Roman" w:eastAsia="標楷體" w:hAnsi="Times New Roman" w:cs="Times New Roman"/>
          <w:sz w:val="28"/>
          <w:szCs w:val="28"/>
        </w:rPr>
        <w:t>至於進軍東南亞市場時面臨的威脅有文化差異、語言不同、東協國家積極參與</w:t>
      </w:r>
      <w:r w:rsidRPr="00C77E77">
        <w:rPr>
          <w:rFonts w:ascii="Times New Roman" w:eastAsia="標楷體" w:hAnsi="Times New Roman" w:cs="Times New Roman"/>
          <w:sz w:val="28"/>
          <w:szCs w:val="28"/>
        </w:rPr>
        <w:t>TPP/RCEP</w:t>
      </w:r>
      <w:r w:rsidRPr="00C77E77">
        <w:rPr>
          <w:rFonts w:ascii="Times New Roman" w:eastAsia="標楷體" w:hAnsi="Times New Roman" w:cs="Times New Roman"/>
          <w:sz w:val="28"/>
          <w:szCs w:val="28"/>
        </w:rPr>
        <w:t>等區域經濟組織與面對中國大陸相互競爭等挑戰。</w:t>
      </w:r>
    </w:p>
    <w:p w:rsidR="00DD4871" w:rsidRPr="00C77E77" w:rsidRDefault="00DD4871" w:rsidP="009551A7">
      <w:pPr>
        <w:pStyle w:val="af9"/>
        <w:spacing w:before="50" w:after="50" w:line="500" w:lineRule="exact"/>
        <w:rPr>
          <w:color w:val="auto"/>
        </w:rPr>
      </w:pPr>
      <w:bookmarkStart w:id="164" w:name="_Toc467163699"/>
      <w:bookmarkStart w:id="165" w:name="_Toc470676622"/>
      <w:r w:rsidRPr="00C77E77">
        <w:rPr>
          <w:color w:val="auto"/>
        </w:rPr>
        <w:t>表</w:t>
      </w:r>
      <w:r w:rsidRPr="00C77E77">
        <w:rPr>
          <w:color w:val="auto"/>
        </w:rPr>
        <w:t>5-</w:t>
      </w:r>
      <w:r w:rsidR="009551A7" w:rsidRPr="00C77E77">
        <w:rPr>
          <w:color w:val="auto"/>
        </w:rPr>
        <w:t>2</w:t>
      </w:r>
      <w:r w:rsidRPr="00C77E77">
        <w:rPr>
          <w:color w:val="auto"/>
        </w:rPr>
        <w:t xml:space="preserve">-12 </w:t>
      </w:r>
      <w:r w:rsidRPr="00C77E77">
        <w:rPr>
          <w:color w:val="auto"/>
        </w:rPr>
        <w:t>我國新農業</w:t>
      </w:r>
      <w:r w:rsidRPr="00C77E77">
        <w:rPr>
          <w:color w:val="auto"/>
        </w:rPr>
        <w:t>SWOT</w:t>
      </w:r>
      <w:r w:rsidRPr="00C77E77">
        <w:rPr>
          <w:color w:val="auto"/>
        </w:rPr>
        <w:t>分析</w:t>
      </w:r>
      <w:bookmarkEnd w:id="164"/>
      <w:bookmarkEnd w:id="1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59"/>
        <w:gridCol w:w="4341"/>
      </w:tblGrid>
      <w:tr w:rsidR="000C5DB0" w:rsidRPr="00C77E77" w:rsidTr="000C5DB0">
        <w:trPr>
          <w:trHeight w:val="168"/>
          <w:jc w:val="center"/>
        </w:trPr>
        <w:tc>
          <w:tcPr>
            <w:tcW w:w="4159" w:type="dxa"/>
          </w:tcPr>
          <w:p w:rsidR="000C5DB0" w:rsidRPr="00C77E77" w:rsidRDefault="000C5DB0"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優勢（</w:t>
            </w:r>
            <w:r w:rsidRPr="00C77E77">
              <w:rPr>
                <w:rFonts w:ascii="Times New Roman" w:eastAsia="標楷體" w:hAnsi="Times New Roman" w:cs="Times New Roman"/>
                <w:b/>
                <w:bCs/>
                <w:color w:val="000000"/>
                <w:kern w:val="0"/>
                <w:szCs w:val="24"/>
              </w:rPr>
              <w:t>S</w:t>
            </w:r>
            <w:r w:rsidRPr="00C77E77">
              <w:rPr>
                <w:rFonts w:ascii="Times New Roman" w:eastAsia="標楷體" w:hAnsi="Times New Roman" w:cs="Times New Roman"/>
                <w:b/>
                <w:bCs/>
                <w:color w:val="000000"/>
                <w:kern w:val="0"/>
                <w:szCs w:val="24"/>
              </w:rPr>
              <w:t>）</w:t>
            </w:r>
          </w:p>
        </w:tc>
        <w:tc>
          <w:tcPr>
            <w:tcW w:w="4341" w:type="dxa"/>
          </w:tcPr>
          <w:p w:rsidR="000C5DB0" w:rsidRPr="00C77E77" w:rsidRDefault="000C5DB0" w:rsidP="00F90C03">
            <w:pPr>
              <w:autoSpaceDE w:val="0"/>
              <w:autoSpaceDN w:val="0"/>
              <w:adjustRightInd w:val="0"/>
              <w:jc w:val="center"/>
              <w:rPr>
                <w:rFonts w:ascii="Times New Roman" w:eastAsia="標楷體" w:hAnsi="Times New Roman" w:cs="Times New Roman"/>
                <w:b/>
                <w:color w:val="000000"/>
                <w:kern w:val="0"/>
                <w:szCs w:val="24"/>
              </w:rPr>
            </w:pPr>
            <w:r w:rsidRPr="00C77E77">
              <w:rPr>
                <w:rFonts w:ascii="Times New Roman" w:eastAsia="標楷體" w:hAnsi="Times New Roman" w:cs="Times New Roman"/>
                <w:b/>
                <w:color w:val="000000"/>
                <w:kern w:val="0"/>
                <w:szCs w:val="24"/>
              </w:rPr>
              <w:t>劣勢</w:t>
            </w:r>
            <w:r w:rsidRPr="00C77E77">
              <w:rPr>
                <w:rFonts w:ascii="Times New Roman" w:eastAsia="標楷體" w:hAnsi="Times New Roman" w:cs="Times New Roman"/>
                <w:b/>
                <w:bCs/>
                <w:color w:val="000000"/>
                <w:kern w:val="0"/>
                <w:szCs w:val="24"/>
              </w:rPr>
              <w:t>（</w:t>
            </w:r>
            <w:r w:rsidRPr="00C77E77">
              <w:rPr>
                <w:rFonts w:ascii="Times New Roman" w:eastAsia="標楷體" w:hAnsi="Times New Roman" w:cs="Times New Roman"/>
                <w:b/>
                <w:bCs/>
                <w:color w:val="000000"/>
                <w:kern w:val="0"/>
                <w:szCs w:val="24"/>
              </w:rPr>
              <w:t>W</w:t>
            </w:r>
            <w:r w:rsidRPr="00C77E77">
              <w:rPr>
                <w:rFonts w:ascii="Times New Roman" w:eastAsia="標楷體" w:hAnsi="Times New Roman" w:cs="Times New Roman"/>
                <w:b/>
                <w:bCs/>
                <w:color w:val="000000"/>
                <w:kern w:val="0"/>
                <w:szCs w:val="24"/>
              </w:rPr>
              <w:t>）</w:t>
            </w:r>
          </w:p>
        </w:tc>
      </w:tr>
      <w:tr w:rsidR="00DD4871" w:rsidRPr="00C77E77" w:rsidTr="000C5DB0">
        <w:trPr>
          <w:trHeight w:hRule="exact" w:val="1215"/>
          <w:jc w:val="center"/>
        </w:trPr>
        <w:tc>
          <w:tcPr>
            <w:tcW w:w="4159" w:type="dxa"/>
          </w:tcPr>
          <w:p w:rsidR="00DD4871" w:rsidRPr="00C77E77" w:rsidRDefault="00DD4871" w:rsidP="009551A7">
            <w:pPr>
              <w:autoSpaceDE w:val="0"/>
              <w:autoSpaceDN w:val="0"/>
              <w:adjustRightInd w:val="0"/>
              <w:spacing w:before="50" w:after="5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農業技術水準全球名列前</w:t>
            </w:r>
            <w:r w:rsidRPr="00C77E77">
              <w:rPr>
                <w:rFonts w:ascii="Times New Roman" w:eastAsia="標楷體" w:hAnsi="Times New Roman" w:cs="Times New Roman"/>
                <w:kern w:val="0"/>
                <w:szCs w:val="23"/>
              </w:rPr>
              <w:t>12</w:t>
            </w:r>
            <w:r w:rsidRPr="00C77E77">
              <w:rPr>
                <w:rFonts w:ascii="Times New Roman" w:eastAsia="標楷體" w:hAnsi="Times New Roman" w:cs="Times New Roman"/>
                <w:kern w:val="0"/>
                <w:szCs w:val="23"/>
              </w:rPr>
              <w:t>強</w:t>
            </w:r>
          </w:p>
          <w:p w:rsidR="00DD4871" w:rsidRPr="00C77E77" w:rsidRDefault="00DD4871" w:rsidP="009551A7">
            <w:pPr>
              <w:autoSpaceDE w:val="0"/>
              <w:autoSpaceDN w:val="0"/>
              <w:adjustRightInd w:val="0"/>
              <w:spacing w:before="50" w:after="5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地理條件優越</w:t>
            </w:r>
          </w:p>
          <w:p w:rsidR="00DD4871" w:rsidRPr="00C77E77" w:rsidRDefault="00DD4871" w:rsidP="009551A7">
            <w:pPr>
              <w:autoSpaceDE w:val="0"/>
              <w:autoSpaceDN w:val="0"/>
              <w:adjustRightInd w:val="0"/>
              <w:spacing w:before="50" w:after="5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已建立植物品種智慧財產權保護制度</w:t>
            </w:r>
          </w:p>
        </w:tc>
        <w:tc>
          <w:tcPr>
            <w:tcW w:w="4341" w:type="dxa"/>
          </w:tcPr>
          <w:p w:rsidR="00DD4871" w:rsidRPr="00C77E77" w:rsidRDefault="00DD4871" w:rsidP="009551A7">
            <w:pPr>
              <w:autoSpaceDE w:val="0"/>
              <w:autoSpaceDN w:val="0"/>
              <w:adjustRightInd w:val="0"/>
              <w:spacing w:before="50" w:after="5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國際市場的開放與自由化</w:t>
            </w:r>
          </w:p>
          <w:p w:rsidR="00DD4871" w:rsidRPr="00C77E77" w:rsidRDefault="00DD4871" w:rsidP="009551A7">
            <w:pPr>
              <w:autoSpaceDE w:val="0"/>
              <w:autoSpaceDN w:val="0"/>
              <w:adjustRightInd w:val="0"/>
              <w:spacing w:before="50" w:after="5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農業勞動人力嚴重老化</w:t>
            </w:r>
          </w:p>
          <w:p w:rsidR="00DD4871" w:rsidRPr="00C77E77" w:rsidRDefault="00DD4871" w:rsidP="009551A7">
            <w:pPr>
              <w:autoSpaceDE w:val="0"/>
              <w:autoSpaceDN w:val="0"/>
              <w:adjustRightInd w:val="0"/>
              <w:spacing w:before="50" w:after="5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國內面臨耕地面積不足</w:t>
            </w:r>
          </w:p>
        </w:tc>
      </w:tr>
      <w:tr w:rsidR="008B0B95" w:rsidRPr="00C77E77" w:rsidTr="000C5DB0">
        <w:trPr>
          <w:trHeight w:val="168"/>
          <w:jc w:val="center"/>
        </w:trPr>
        <w:tc>
          <w:tcPr>
            <w:tcW w:w="4159"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機會</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O</w:t>
            </w:r>
            <w:r w:rsidRPr="00C77E77">
              <w:rPr>
                <w:rFonts w:ascii="Times New Roman" w:eastAsia="標楷體" w:hAnsi="Times New Roman" w:cs="Times New Roman"/>
                <w:b/>
                <w:bCs/>
                <w:kern w:val="0"/>
                <w:szCs w:val="23"/>
              </w:rPr>
              <w:t>）</w:t>
            </w:r>
          </w:p>
        </w:tc>
        <w:tc>
          <w:tcPr>
            <w:tcW w:w="4341" w:type="dxa"/>
          </w:tcPr>
          <w:p w:rsidR="008B0B95" w:rsidRPr="00C77E77" w:rsidRDefault="008B0B95" w:rsidP="008B0B95">
            <w:pPr>
              <w:autoSpaceDE w:val="0"/>
              <w:autoSpaceDN w:val="0"/>
              <w:adjustRightInd w:val="0"/>
              <w:ind w:leftChars="295" w:left="708"/>
              <w:jc w:val="center"/>
              <w:rPr>
                <w:rFonts w:ascii="Times New Roman" w:eastAsia="標楷體" w:hAnsi="Times New Roman" w:cs="Times New Roman"/>
                <w:b/>
                <w:kern w:val="0"/>
                <w:szCs w:val="23"/>
              </w:rPr>
            </w:pPr>
            <w:r w:rsidRPr="00C77E77">
              <w:rPr>
                <w:rFonts w:ascii="Times New Roman" w:eastAsia="標楷體" w:hAnsi="Times New Roman" w:cs="Times New Roman"/>
                <w:b/>
                <w:kern w:val="0"/>
                <w:szCs w:val="23"/>
              </w:rPr>
              <w:t>威脅</w:t>
            </w:r>
            <w:r w:rsidRPr="00C77E77">
              <w:rPr>
                <w:rFonts w:ascii="Times New Roman" w:eastAsia="標楷體" w:hAnsi="Times New Roman" w:cs="Times New Roman"/>
                <w:b/>
                <w:bCs/>
                <w:kern w:val="0"/>
                <w:szCs w:val="23"/>
              </w:rPr>
              <w:t>（</w:t>
            </w:r>
            <w:r w:rsidRPr="00C77E77">
              <w:rPr>
                <w:rFonts w:ascii="Times New Roman" w:eastAsia="標楷體" w:hAnsi="Times New Roman" w:cs="Times New Roman"/>
                <w:b/>
                <w:bCs/>
                <w:kern w:val="0"/>
                <w:szCs w:val="23"/>
              </w:rPr>
              <w:t>T</w:t>
            </w:r>
            <w:r w:rsidRPr="00C77E77">
              <w:rPr>
                <w:rFonts w:ascii="Times New Roman" w:eastAsia="標楷體" w:hAnsi="Times New Roman" w:cs="Times New Roman"/>
                <w:b/>
                <w:bCs/>
                <w:kern w:val="0"/>
                <w:szCs w:val="23"/>
              </w:rPr>
              <w:t>）</w:t>
            </w:r>
          </w:p>
        </w:tc>
      </w:tr>
      <w:tr w:rsidR="00DD4871" w:rsidRPr="00C77E77" w:rsidTr="000C5DB0">
        <w:trPr>
          <w:trHeight w:val="984"/>
          <w:jc w:val="center"/>
        </w:trPr>
        <w:tc>
          <w:tcPr>
            <w:tcW w:w="4159" w:type="dxa"/>
          </w:tcPr>
          <w:p w:rsidR="00DD4871" w:rsidRPr="00C77E77" w:rsidRDefault="00DD4871" w:rsidP="009551A7">
            <w:pPr>
              <w:autoSpaceDE w:val="0"/>
              <w:autoSpaceDN w:val="0"/>
              <w:adjustRightInd w:val="0"/>
              <w:spacing w:before="50" w:after="5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臺灣農業生產技術發達，研究人力充沛，各種農業科技均有深厚的基礎與成果</w:t>
            </w:r>
          </w:p>
          <w:p w:rsidR="00DD4871" w:rsidRPr="00C77E77" w:rsidRDefault="00DD4871" w:rsidP="009551A7">
            <w:pPr>
              <w:autoSpaceDE w:val="0"/>
              <w:autoSpaceDN w:val="0"/>
              <w:adjustRightInd w:val="0"/>
              <w:spacing w:before="50" w:after="5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東協農業機械發展水準不高，臺灣農機的優勢在於完整的機械產業鏈，各式零配件都有</w:t>
            </w:r>
          </w:p>
          <w:p w:rsidR="00DD4871" w:rsidRPr="00C77E77" w:rsidRDefault="00DD4871" w:rsidP="009551A7">
            <w:pPr>
              <w:autoSpaceDE w:val="0"/>
              <w:autoSpaceDN w:val="0"/>
              <w:adjustRightInd w:val="0"/>
              <w:spacing w:before="50" w:after="5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食品業者經多年發展，製造水準及研發技術極具競爭力</w:t>
            </w:r>
          </w:p>
        </w:tc>
        <w:tc>
          <w:tcPr>
            <w:tcW w:w="4341" w:type="dxa"/>
          </w:tcPr>
          <w:p w:rsidR="00DD4871" w:rsidRPr="00C77E77" w:rsidRDefault="00DD4871" w:rsidP="009551A7">
            <w:pPr>
              <w:autoSpaceDE w:val="0"/>
              <w:autoSpaceDN w:val="0"/>
              <w:adjustRightInd w:val="0"/>
              <w:spacing w:before="50" w:after="5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文化差異、語言不同</w:t>
            </w:r>
          </w:p>
          <w:p w:rsidR="00DD4871" w:rsidRPr="00C77E77" w:rsidRDefault="00DD4871" w:rsidP="009551A7">
            <w:pPr>
              <w:autoSpaceDE w:val="0"/>
              <w:autoSpaceDN w:val="0"/>
              <w:adjustRightInd w:val="0"/>
              <w:spacing w:before="50" w:after="5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東協國家積極參與</w:t>
            </w:r>
            <w:r w:rsidRPr="00C77E77">
              <w:rPr>
                <w:rFonts w:ascii="Times New Roman" w:eastAsia="標楷體" w:hAnsi="Times New Roman" w:cs="Times New Roman"/>
                <w:kern w:val="0"/>
                <w:szCs w:val="23"/>
              </w:rPr>
              <w:t>TPP/RCEP</w:t>
            </w:r>
            <w:r w:rsidRPr="00C77E77">
              <w:rPr>
                <w:rFonts w:ascii="Times New Roman" w:eastAsia="標楷體" w:hAnsi="Times New Roman" w:cs="Times New Roman"/>
                <w:kern w:val="0"/>
                <w:szCs w:val="23"/>
              </w:rPr>
              <w:t>等區域經濟組織</w:t>
            </w:r>
          </w:p>
          <w:p w:rsidR="00DD4871" w:rsidRPr="00C77E77" w:rsidRDefault="00DD4871" w:rsidP="009551A7">
            <w:pPr>
              <w:autoSpaceDE w:val="0"/>
              <w:autoSpaceDN w:val="0"/>
              <w:adjustRightInd w:val="0"/>
              <w:spacing w:before="50" w:after="50"/>
              <w:ind w:left="120" w:hangingChars="50" w:hanging="120"/>
              <w:jc w:val="both"/>
              <w:rPr>
                <w:rFonts w:ascii="Times New Roman" w:eastAsia="標楷體" w:hAnsi="Times New Roman" w:cs="Times New Roman"/>
                <w:kern w:val="0"/>
                <w:szCs w:val="23"/>
              </w:rPr>
            </w:pPr>
            <w:r w:rsidRPr="00C77E77">
              <w:rPr>
                <w:rFonts w:ascii="Times New Roman" w:eastAsia="標楷體" w:hAnsi="Times New Roman" w:cs="Times New Roman"/>
                <w:kern w:val="0"/>
                <w:szCs w:val="23"/>
              </w:rPr>
              <w:t>•</w:t>
            </w:r>
            <w:r w:rsidRPr="00C77E77">
              <w:rPr>
                <w:rFonts w:ascii="Times New Roman" w:eastAsia="標楷體" w:hAnsi="Times New Roman" w:cs="Times New Roman"/>
                <w:kern w:val="0"/>
                <w:szCs w:val="23"/>
              </w:rPr>
              <w:t>面對中國大陸相互競爭</w:t>
            </w:r>
          </w:p>
        </w:tc>
      </w:tr>
    </w:tbl>
    <w:p w:rsidR="00DD4871" w:rsidRPr="00C77E77" w:rsidRDefault="00DD4871" w:rsidP="009551A7">
      <w:pPr>
        <w:spacing w:before="50" w:after="50"/>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資料來源：本研究整理。</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我國農業生產技術發達，各種農業科技均有深厚的基礎與成果，在食品加工業與養殖漁業等更有不錯的成功發展經驗，值得與東南亞農業大國進行交流與合作。然而東南亞各國在農業發展上仍有差異，</w:t>
      </w:r>
      <w:r w:rsidRPr="00C77E77">
        <w:rPr>
          <w:rFonts w:ascii="Times New Roman" w:eastAsia="標楷體" w:hAnsi="Times New Roman" w:cs="Times New Roman"/>
          <w:sz w:val="28"/>
          <w:szCs w:val="28"/>
        </w:rPr>
        <w:lastRenderedPageBreak/>
        <w:t>例如新加坡主要以工商業，越南土地土地被劃分的很小塊，沒辦法大規模推行等這些問題，都必須加以盤點，以利我國進軍東南亞市場，進行雙邊合作之策略研析。</w:t>
      </w:r>
    </w:p>
    <w:p w:rsidR="00877494" w:rsidRPr="00C77E77" w:rsidRDefault="00DD4871" w:rsidP="00877494">
      <w:pPr>
        <w:pStyle w:val="ab"/>
        <w:spacing w:beforeLines="50" w:before="180" w:afterLines="50" w:after="180" w:line="500" w:lineRule="exact"/>
        <w:ind w:firstLineChars="198" w:firstLine="554"/>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因此，</w:t>
      </w:r>
      <w:r w:rsidR="00005ED7" w:rsidRPr="00C77E77">
        <w:rPr>
          <w:rFonts w:ascii="Times New Roman" w:eastAsia="標楷體" w:hAnsi="Times New Roman" w:cs="Times New Roman"/>
          <w:b/>
          <w:color w:val="000000" w:themeColor="text1"/>
          <w:sz w:val="28"/>
          <w:szCs w:val="28"/>
        </w:rPr>
        <w:t>短期</w:t>
      </w:r>
      <w:r w:rsidR="001B65A8" w:rsidRPr="00C77E77">
        <w:rPr>
          <w:rFonts w:ascii="Times New Roman" w:eastAsia="標楷體" w:hAnsi="Times New Roman" w:cs="Times New Roman"/>
          <w:color w:val="000000" w:themeColor="text1"/>
          <w:sz w:val="28"/>
          <w:szCs w:val="28"/>
        </w:rPr>
        <w:t>推動農業新南向</w:t>
      </w:r>
      <w:r w:rsidRPr="00C77E77">
        <w:rPr>
          <w:rFonts w:ascii="Times New Roman" w:eastAsia="標楷體" w:hAnsi="Times New Roman" w:cs="Times New Roman"/>
          <w:color w:val="000000" w:themeColor="text1"/>
          <w:sz w:val="28"/>
          <w:szCs w:val="28"/>
        </w:rPr>
        <w:t>可以</w:t>
      </w:r>
      <w:r w:rsidR="00005ED7" w:rsidRPr="00C77E77">
        <w:rPr>
          <w:rFonts w:ascii="Times New Roman" w:eastAsia="標楷體" w:hAnsi="Times New Roman" w:cs="Times New Roman"/>
          <w:color w:val="000000" w:themeColor="text1"/>
          <w:sz w:val="28"/>
          <w:szCs w:val="28"/>
        </w:rPr>
        <w:t>挑選已</w:t>
      </w:r>
      <w:r w:rsidRPr="00C77E77">
        <w:rPr>
          <w:rFonts w:ascii="Times New Roman" w:eastAsia="標楷體" w:hAnsi="Times New Roman" w:cs="Times New Roman"/>
          <w:color w:val="000000" w:themeColor="text1"/>
          <w:sz w:val="28"/>
          <w:szCs w:val="28"/>
        </w:rPr>
        <w:t>與臺灣簽訂農業合作協議</w:t>
      </w:r>
      <w:r w:rsidR="00005ED7" w:rsidRPr="00C77E77">
        <w:rPr>
          <w:rFonts w:ascii="Times New Roman" w:eastAsia="標楷體" w:hAnsi="Times New Roman" w:cs="Times New Roman"/>
          <w:color w:val="000000" w:themeColor="text1"/>
          <w:sz w:val="28"/>
          <w:szCs w:val="28"/>
        </w:rPr>
        <w:t>的印尼、泰國、菲律賓、越南、緬甸及印度六個</w:t>
      </w:r>
      <w:r w:rsidRPr="00C77E77">
        <w:rPr>
          <w:rFonts w:ascii="Times New Roman" w:eastAsia="標楷體" w:hAnsi="Times New Roman" w:cs="Times New Roman"/>
          <w:color w:val="000000" w:themeColor="text1"/>
          <w:sz w:val="28"/>
          <w:szCs w:val="28"/>
        </w:rPr>
        <w:t>國家作為優先</w:t>
      </w:r>
      <w:r w:rsidR="00005ED7" w:rsidRPr="00C77E77">
        <w:rPr>
          <w:rFonts w:ascii="Times New Roman" w:eastAsia="標楷體" w:hAnsi="Times New Roman" w:cs="Times New Roman"/>
          <w:color w:val="000000" w:themeColor="text1"/>
          <w:sz w:val="28"/>
          <w:szCs w:val="28"/>
        </w:rPr>
        <w:t>合作</w:t>
      </w:r>
      <w:r w:rsidRPr="00C77E77">
        <w:rPr>
          <w:rFonts w:ascii="Times New Roman" w:eastAsia="標楷體" w:hAnsi="Times New Roman" w:cs="Times New Roman"/>
          <w:color w:val="000000" w:themeColor="text1"/>
          <w:sz w:val="28"/>
          <w:szCs w:val="28"/>
        </w:rPr>
        <w:t>對象。</w:t>
      </w:r>
      <w:r w:rsidR="00877494" w:rsidRPr="00C77E77">
        <w:rPr>
          <w:rFonts w:ascii="Times New Roman" w:eastAsia="標楷體" w:hAnsi="Times New Roman" w:cs="Times New Roman"/>
          <w:color w:val="000000" w:themeColor="text1"/>
          <w:sz w:val="28"/>
          <w:szCs w:val="28"/>
        </w:rPr>
        <w:t>我國可邀請東南亞參加國內外綜合性食品展覽、專業展覽或自辦展覽會</w:t>
      </w:r>
      <w:r w:rsidR="004253F2" w:rsidRPr="00C77E77">
        <w:rPr>
          <w:rFonts w:ascii="Times New Roman" w:eastAsia="標楷體" w:hAnsi="Times New Roman" w:cs="Times New Roman"/>
          <w:color w:val="000000" w:themeColor="text1"/>
          <w:sz w:val="28"/>
          <w:szCs w:val="28"/>
        </w:rPr>
        <w:t>，以</w:t>
      </w:r>
      <w:r w:rsidR="00877494" w:rsidRPr="00C77E77">
        <w:rPr>
          <w:rFonts w:ascii="Times New Roman" w:eastAsia="標楷體" w:hAnsi="Times New Roman" w:cs="Times New Roman"/>
          <w:color w:val="000000" w:themeColor="text1"/>
          <w:sz w:val="28"/>
          <w:szCs w:val="28"/>
        </w:rPr>
        <w:t>提升</w:t>
      </w:r>
      <w:r w:rsidR="00E524DA" w:rsidRPr="00C77E77">
        <w:rPr>
          <w:rFonts w:ascii="Times New Roman" w:eastAsia="標楷體" w:hAnsi="Times New Roman" w:cs="Times New Roman"/>
          <w:color w:val="000000" w:themeColor="text1"/>
          <w:sz w:val="28"/>
          <w:szCs w:val="28"/>
        </w:rPr>
        <w:t>臺</w:t>
      </w:r>
      <w:r w:rsidR="00877494" w:rsidRPr="00C77E77">
        <w:rPr>
          <w:rFonts w:ascii="Times New Roman" w:eastAsia="標楷體" w:hAnsi="Times New Roman" w:cs="Times New Roman"/>
          <w:color w:val="000000" w:themeColor="text1"/>
          <w:sz w:val="28"/>
          <w:szCs w:val="28"/>
        </w:rPr>
        <w:t>灣農產品在東南亞市場的知名度。同時積極與東南亞市場進行清真認證，</w:t>
      </w:r>
      <w:r w:rsidR="004253F2" w:rsidRPr="00C77E77">
        <w:rPr>
          <w:rFonts w:ascii="Times New Roman" w:eastAsia="標楷體" w:hAnsi="Times New Roman" w:cs="Times New Roman"/>
          <w:color w:val="000000" w:themeColor="text1"/>
          <w:sz w:val="28"/>
          <w:szCs w:val="28"/>
        </w:rPr>
        <w:t>強化</w:t>
      </w:r>
      <w:r w:rsidR="00E524DA" w:rsidRPr="00C77E77">
        <w:rPr>
          <w:rFonts w:ascii="Times New Roman" w:eastAsia="標楷體" w:hAnsi="Times New Roman" w:cs="Times New Roman"/>
          <w:color w:val="000000" w:themeColor="text1"/>
          <w:sz w:val="28"/>
          <w:szCs w:val="28"/>
        </w:rPr>
        <w:t>臺</w:t>
      </w:r>
      <w:r w:rsidR="00877494" w:rsidRPr="00C77E77">
        <w:rPr>
          <w:rFonts w:ascii="Times New Roman" w:eastAsia="標楷體" w:hAnsi="Times New Roman" w:cs="Times New Roman"/>
          <w:color w:val="000000" w:themeColor="text1"/>
          <w:sz w:val="28"/>
          <w:szCs w:val="28"/>
        </w:rPr>
        <w:t>灣農產品在東南亞市場的形象。</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其中，印尼、馬來西亞以及汶萊主要以伊斯蘭教作為主要信仰，我國可掌握龐大的清真食品市場。越南與緬甸農業技術及設備依賴國外，故適合我國投資農業機械。而泰國政府正積極發展生物科技，</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灣企業具有新型態的農業技術及醫藥研發</w:t>
      </w:r>
      <w:r w:rsidRPr="00C77E77">
        <w:rPr>
          <w:rFonts w:ascii="Times New Roman" w:eastAsia="標楷體" w:hAnsi="Times New Roman" w:cs="Times New Roman"/>
          <w:sz w:val="28"/>
          <w:szCs w:val="28"/>
        </w:rPr>
        <w:t>的優勢，正是泰國積極尋求招商的合作項目之一。印度也將與臺灣簽署農業合作備忘錄，可望就農業、園藝、畜牧、水產養殖和食品加工、遺傳資源和環境永續發展等領域的合作。</w:t>
      </w:r>
    </w:p>
    <w:p w:rsidR="00DD4871" w:rsidRPr="00C77E77" w:rsidRDefault="00877494" w:rsidP="00877494">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緬甸市場</w:t>
      </w:r>
      <w:r w:rsidR="00DD4871" w:rsidRPr="00C77E77">
        <w:rPr>
          <w:rFonts w:ascii="Times New Roman" w:eastAsia="標楷體" w:hAnsi="Times New Roman" w:cs="Times New Roman"/>
          <w:sz w:val="28"/>
          <w:szCs w:val="28"/>
        </w:rPr>
        <w:t>值得</w:t>
      </w:r>
      <w:r w:rsidRPr="00C77E77">
        <w:rPr>
          <w:rFonts w:ascii="Times New Roman" w:eastAsia="標楷體" w:hAnsi="Times New Roman" w:cs="Times New Roman"/>
          <w:sz w:val="28"/>
          <w:szCs w:val="28"/>
        </w:rPr>
        <w:t>特別</w:t>
      </w:r>
      <w:r w:rsidR="00DD4871" w:rsidRPr="00C77E77">
        <w:rPr>
          <w:rFonts w:ascii="Times New Roman" w:eastAsia="標楷體" w:hAnsi="Times New Roman" w:cs="Times New Roman"/>
          <w:sz w:val="28"/>
          <w:szCs w:val="28"/>
        </w:rPr>
        <w:t>關注，</w:t>
      </w:r>
      <w:r w:rsidRPr="00C77E77">
        <w:rPr>
          <w:rFonts w:ascii="Times New Roman" w:eastAsia="標楷體" w:hAnsi="Times New Roman" w:cs="Times New Roman"/>
          <w:sz w:val="28"/>
          <w:szCs w:val="28"/>
        </w:rPr>
        <w:t>作為</w:t>
      </w:r>
      <w:r w:rsidR="00DD4871" w:rsidRPr="00C77E77">
        <w:rPr>
          <w:rFonts w:ascii="Times New Roman" w:eastAsia="標楷體" w:hAnsi="Times New Roman" w:cs="Times New Roman"/>
          <w:sz w:val="28"/>
          <w:szCs w:val="28"/>
        </w:rPr>
        <w:t>亞洲最後一個開放的大市場，政府非常重視農業的發展，農業產值佔</w:t>
      </w:r>
      <w:r w:rsidR="00DD4871" w:rsidRPr="00C77E77">
        <w:rPr>
          <w:rFonts w:ascii="Times New Roman" w:eastAsia="標楷體" w:hAnsi="Times New Roman" w:cs="Times New Roman"/>
          <w:sz w:val="28"/>
          <w:szCs w:val="28"/>
        </w:rPr>
        <w:t>GDP</w:t>
      </w:r>
      <w:r w:rsidR="00DD4871" w:rsidRPr="00C77E77">
        <w:rPr>
          <w:rFonts w:ascii="Times New Roman" w:eastAsia="標楷體" w:hAnsi="Times New Roman" w:cs="Times New Roman"/>
          <w:sz w:val="28"/>
          <w:szCs w:val="28"/>
        </w:rPr>
        <w:t>約</w:t>
      </w:r>
      <w:r w:rsidR="00DD4871" w:rsidRPr="00C77E77">
        <w:rPr>
          <w:rFonts w:ascii="Times New Roman" w:eastAsia="標楷體" w:hAnsi="Times New Roman" w:cs="Times New Roman"/>
          <w:sz w:val="28"/>
          <w:szCs w:val="28"/>
        </w:rPr>
        <w:t>35%</w:t>
      </w:r>
      <w:r w:rsidR="00DD4871" w:rsidRPr="00C77E77">
        <w:rPr>
          <w:rFonts w:ascii="Times New Roman" w:eastAsia="標楷體" w:hAnsi="Times New Roman" w:cs="Times New Roman"/>
          <w:sz w:val="28"/>
          <w:szCs w:val="28"/>
        </w:rPr>
        <w:t>，農業勞動人口佔全國就業總人數的</w:t>
      </w:r>
      <w:r w:rsidR="00DD4871" w:rsidRPr="00C77E77">
        <w:rPr>
          <w:rFonts w:ascii="Times New Roman" w:eastAsia="標楷體" w:hAnsi="Times New Roman" w:cs="Times New Roman"/>
          <w:sz w:val="28"/>
          <w:szCs w:val="28"/>
        </w:rPr>
        <w:t>63</w:t>
      </w:r>
      <w:r w:rsidR="00DD4871" w:rsidRPr="00C77E77">
        <w:rPr>
          <w:rFonts w:ascii="Times New Roman" w:eastAsia="標楷體" w:hAnsi="Times New Roman" w:cs="Times New Roman"/>
          <w:sz w:val="28"/>
          <w:szCs w:val="28"/>
        </w:rPr>
        <w:t>％。每年農產品國外出口的訂單需求十分龐大，對經濟發展貢獻良多，但因缺乏農業技術與機械農業，加上受到氣候雨季影響，許多穀物蔬果缺乏乾燥技術，導致許多原物料發霉產生黃麴毒素，影響消費者的健康問題。由於緬甸是全世界農業發展最後的處女地，也是農業資源最完整的國家，然而受限於農業技術不夠先進情況下，以致無法滿足市場需求。反觀臺灣在穀物乾燥與儲存技術已非常成熟，目前雙邊也已簽署「臺緬農業合作瞭解備忘錄」，建議可結合</w:t>
      </w:r>
      <w:r w:rsidR="00FD0D5A" w:rsidRPr="00C77E77">
        <w:rPr>
          <w:rFonts w:ascii="Times New Roman" w:eastAsia="標楷體" w:hAnsi="Times New Roman" w:cs="Times New Roman"/>
          <w:sz w:val="28"/>
          <w:szCs w:val="28"/>
        </w:rPr>
        <w:t>臺</w:t>
      </w:r>
      <w:r w:rsidR="00DD4871" w:rsidRPr="00C77E77">
        <w:rPr>
          <w:rFonts w:ascii="Times New Roman" w:eastAsia="標楷體" w:hAnsi="Times New Roman" w:cs="Times New Roman"/>
          <w:sz w:val="28"/>
          <w:szCs w:val="28"/>
        </w:rPr>
        <w:t>灣的農業技術，進行合作交流，以促進緬甸農業發展。另外，根據緬甸商務部</w:t>
      </w:r>
      <w:r w:rsidR="00DD4871" w:rsidRPr="00C77E77">
        <w:rPr>
          <w:rFonts w:ascii="Times New Roman" w:eastAsia="標楷體" w:hAnsi="Times New Roman" w:cs="Times New Roman"/>
          <w:sz w:val="28"/>
          <w:szCs w:val="28"/>
        </w:rPr>
        <w:t>2015</w:t>
      </w:r>
      <w:r w:rsidR="00DD4871" w:rsidRPr="00C77E77">
        <w:rPr>
          <w:rFonts w:ascii="Times New Roman" w:eastAsia="標楷體" w:hAnsi="Times New Roman" w:cs="Times New Roman"/>
          <w:sz w:val="28"/>
          <w:szCs w:val="28"/>
        </w:rPr>
        <w:t>年</w:t>
      </w:r>
      <w:r w:rsidR="00DD4871" w:rsidRPr="00C77E77">
        <w:rPr>
          <w:rFonts w:ascii="Times New Roman" w:eastAsia="標楷體" w:hAnsi="Times New Roman" w:cs="Times New Roman"/>
          <w:sz w:val="28"/>
          <w:szCs w:val="28"/>
        </w:rPr>
        <w:t>11</w:t>
      </w:r>
      <w:r w:rsidR="00DD4871" w:rsidRPr="00C77E77">
        <w:rPr>
          <w:rFonts w:ascii="Times New Roman" w:eastAsia="標楷體" w:hAnsi="Times New Roman" w:cs="Times New Roman"/>
          <w:sz w:val="28"/>
          <w:szCs w:val="28"/>
        </w:rPr>
        <w:t>月</w:t>
      </w:r>
      <w:r w:rsidR="00DD4871" w:rsidRPr="00C77E77">
        <w:rPr>
          <w:rFonts w:ascii="Times New Roman" w:eastAsia="標楷體" w:hAnsi="Times New Roman" w:cs="Times New Roman"/>
          <w:sz w:val="28"/>
          <w:szCs w:val="28"/>
        </w:rPr>
        <w:t>11</w:t>
      </w:r>
      <w:r w:rsidR="00DD4871" w:rsidRPr="00C77E77">
        <w:rPr>
          <w:rFonts w:ascii="Times New Roman" w:eastAsia="標楷體" w:hAnsi="Times New Roman" w:cs="Times New Roman"/>
          <w:sz w:val="28"/>
          <w:szCs w:val="28"/>
        </w:rPr>
        <w:t>日發佈的</w:t>
      </w:r>
      <w:r w:rsidR="00DD4871" w:rsidRPr="00C77E77">
        <w:rPr>
          <w:rFonts w:ascii="Times New Roman" w:eastAsia="標楷體" w:hAnsi="Times New Roman" w:cs="Times New Roman"/>
          <w:sz w:val="28"/>
          <w:szCs w:val="28"/>
        </w:rPr>
        <w:t>96</w:t>
      </w:r>
      <w:r w:rsidR="00DD4871" w:rsidRPr="00C77E77">
        <w:rPr>
          <w:rFonts w:ascii="Times New Roman" w:eastAsia="標楷體" w:hAnsi="Times New Roman" w:cs="Times New Roman"/>
          <w:sz w:val="28"/>
          <w:szCs w:val="28"/>
        </w:rPr>
        <w:t>號文，緬外合資企業</w:t>
      </w:r>
      <w:r w:rsidR="0007263B" w:rsidRPr="00C77E77">
        <w:rPr>
          <w:rFonts w:ascii="Times New Roman" w:eastAsia="標楷體" w:hAnsi="Times New Roman" w:cs="Times New Roman"/>
          <w:sz w:val="28"/>
          <w:szCs w:val="28"/>
        </w:rPr>
        <w:t>（</w:t>
      </w:r>
      <w:r w:rsidR="00DD4871" w:rsidRPr="00C77E77">
        <w:rPr>
          <w:rFonts w:ascii="Times New Roman" w:eastAsia="標楷體" w:hAnsi="Times New Roman" w:cs="Times New Roman"/>
          <w:sz w:val="28"/>
          <w:szCs w:val="28"/>
        </w:rPr>
        <w:t>Joint V</w:t>
      </w:r>
      <w:r w:rsidR="0007263B" w:rsidRPr="00C77E77">
        <w:rPr>
          <w:rFonts w:ascii="Times New Roman" w:eastAsia="標楷體" w:hAnsi="Times New Roman" w:cs="Times New Roman"/>
          <w:sz w:val="28"/>
          <w:szCs w:val="28"/>
        </w:rPr>
        <w:t>enture</w:t>
      </w:r>
      <w:r w:rsidR="0007263B" w:rsidRPr="00C77E77">
        <w:rPr>
          <w:rFonts w:ascii="Times New Roman" w:eastAsia="標楷體" w:hAnsi="Times New Roman" w:cs="Times New Roman"/>
          <w:sz w:val="28"/>
          <w:szCs w:val="28"/>
        </w:rPr>
        <w:t>）</w:t>
      </w:r>
      <w:r w:rsidR="00DD4871" w:rsidRPr="00C77E77">
        <w:rPr>
          <w:rFonts w:ascii="Times New Roman" w:eastAsia="標楷體" w:hAnsi="Times New Roman" w:cs="Times New Roman"/>
          <w:sz w:val="28"/>
          <w:szCs w:val="28"/>
        </w:rPr>
        <w:lastRenderedPageBreak/>
        <w:t>允許從事農業有關的</w:t>
      </w:r>
      <w:r w:rsidR="00DD4871" w:rsidRPr="00C77E77">
        <w:rPr>
          <w:rFonts w:ascii="Times New Roman" w:eastAsia="標楷體" w:hAnsi="Times New Roman" w:cs="Times New Roman"/>
          <w:sz w:val="28"/>
          <w:szCs w:val="28"/>
        </w:rPr>
        <w:t>3</w:t>
      </w:r>
      <w:r w:rsidR="00DD4871" w:rsidRPr="00C77E77">
        <w:rPr>
          <w:rFonts w:ascii="Times New Roman" w:eastAsia="標楷體" w:hAnsi="Times New Roman" w:cs="Times New Roman"/>
          <w:sz w:val="28"/>
          <w:szCs w:val="28"/>
        </w:rPr>
        <w:t>類商品之貿易，包括化肥、種子以及殺蟲劑。此目的是獎勵及引導外資進入從事農業相關產業，可以預見將點燃外資對農業相關行業的投資熱潮，將有利於開拓</w:t>
      </w:r>
      <w:r w:rsidR="00FD0D5A" w:rsidRPr="00C77E77">
        <w:rPr>
          <w:rFonts w:ascii="Times New Roman" w:eastAsia="標楷體" w:hAnsi="Times New Roman" w:cs="Times New Roman"/>
          <w:sz w:val="28"/>
          <w:szCs w:val="28"/>
        </w:rPr>
        <w:t>臺</w:t>
      </w:r>
      <w:r w:rsidR="00DD4871" w:rsidRPr="00C77E77">
        <w:rPr>
          <w:rFonts w:ascii="Times New Roman" w:eastAsia="標楷體" w:hAnsi="Times New Roman" w:cs="Times New Roman"/>
          <w:sz w:val="28"/>
          <w:szCs w:val="28"/>
        </w:rPr>
        <w:t>灣農業在緬甸的商機，適合我國進行新農業之海外佈局策略。</w:t>
      </w:r>
    </w:p>
    <w:p w:rsidR="00DD4871" w:rsidRPr="00C77E77" w:rsidRDefault="00B058B5" w:rsidP="00B058B5">
      <w:pPr>
        <w:pStyle w:val="ab"/>
        <w:spacing w:beforeLines="50" w:before="180" w:afterLines="50" w:after="180" w:line="500" w:lineRule="exact"/>
        <w:ind w:firstLineChars="198" w:firstLine="555"/>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color w:val="000000" w:themeColor="text1"/>
          <w:sz w:val="28"/>
          <w:szCs w:val="28"/>
        </w:rPr>
        <w:t>中期</w:t>
      </w:r>
      <w:r w:rsidR="00005ED7" w:rsidRPr="00C77E77">
        <w:rPr>
          <w:rFonts w:ascii="Times New Roman" w:eastAsia="標楷體" w:hAnsi="Times New Roman" w:cs="Times New Roman"/>
          <w:color w:val="000000" w:themeColor="text1"/>
          <w:sz w:val="28"/>
          <w:szCs w:val="28"/>
        </w:rPr>
        <w:t>應</w:t>
      </w:r>
      <w:r w:rsidRPr="00C77E77">
        <w:rPr>
          <w:rFonts w:ascii="Times New Roman" w:eastAsia="標楷體" w:hAnsi="Times New Roman" w:cs="Times New Roman"/>
          <w:color w:val="000000" w:themeColor="text1"/>
          <w:sz w:val="28"/>
          <w:szCs w:val="28"/>
        </w:rPr>
        <w:t>透過非政府組織之外交部</w:t>
      </w:r>
      <w:r w:rsidR="001B65A8" w:rsidRPr="00C77E77">
        <w:rPr>
          <w:rFonts w:ascii="Times New Roman" w:eastAsia="新細明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國合會，與尚未洽簽農業合作協議國家進行農業技術合作，並推動雙邊簽署農業合作協議。舉例來說，寮國與柬埔寨皆是農業大國，但受限於農業技術落後，在農業發展較無優勢，值得我國與這些國家進行雙邊合作，未來可先透過國合會體系之農業技術合作，進行農業交流。同時，我國應推動農業加值，將過去農業以「產品」為主的概念擴大為「產業價值鏈」的觀念，經由創新加值，開拓東南亞市場。此外，還需加強培養農貿人才，辦理農產貿易人才培訓，規劃國內通路、出口貿易、國際行銷實務、個案研究及實例參訪等訓練課程。</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本研究團隊於</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17</w:t>
      </w:r>
      <w:r w:rsidRPr="00C77E77">
        <w:rPr>
          <w:rFonts w:ascii="Times New Roman" w:eastAsia="標楷體" w:hAnsi="Times New Roman" w:cs="Times New Roman"/>
          <w:sz w:val="28"/>
          <w:szCs w:val="28"/>
        </w:rPr>
        <w:t>日至</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日赴越南拜會當地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商，探詢當地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商對政府推行農業新南向之看法與策略建議，成果豐碩。其意見整理如下：</w:t>
      </w:r>
    </w:p>
    <w:p w:rsidR="00DD4871" w:rsidRPr="00C77E77" w:rsidRDefault="00DD4871" w:rsidP="009551A7">
      <w:pPr>
        <w:pStyle w:val="ab"/>
        <w:spacing w:beforeLines="50" w:before="180" w:afterLines="50" w:after="180" w:line="500" w:lineRule="exact"/>
        <w:ind w:leftChars="0" w:left="7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外貿協會越南辦事處：</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越南是農業大國，農、漁、養殖業都很強，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灣應該把握。但如果是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灣的政府或企業租地自己種的話，越南員工學會以後就在旁邊蓋茶園、挖魚池，被員工搞到賠錢，所以建議用契作的方式：</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技術還是會給，教當地農民怎麼種植蘆薈、鳳梨</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w:t>
      </w:r>
      <w:r w:rsidRPr="00C77E77">
        <w:rPr>
          <w:rFonts w:ascii="Times New Roman" w:eastAsia="標楷體" w:hAnsi="Times New Roman" w:cs="Times New Roman"/>
          <w:sz w:val="28"/>
          <w:szCs w:val="28"/>
        </w:rPr>
        <w:t xml:space="preserve"> (2)</w:t>
      </w:r>
      <w:r w:rsidRPr="00C77E77">
        <w:rPr>
          <w:rFonts w:ascii="Times New Roman" w:eastAsia="標楷體" w:hAnsi="Times New Roman" w:cs="Times New Roman"/>
          <w:sz w:val="28"/>
          <w:szCs w:val="28"/>
        </w:rPr>
        <w:t>重點是自己要能掌握通路，收購回來拿去賣。</w:t>
      </w:r>
    </w:p>
    <w:p w:rsidR="00DD4871" w:rsidRPr="00C77E77" w:rsidRDefault="00DD4871" w:rsidP="009551A7">
      <w:pPr>
        <w:pStyle w:val="ab"/>
        <w:spacing w:beforeLines="50" w:before="180" w:afterLines="50" w:after="180" w:line="500" w:lineRule="exact"/>
        <w:ind w:leftChars="0" w:left="7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味丹食品公司：</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這幾年越南農業的成長很緩慢。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灣應該很有機會可以幫忙，農科院也很想要藉此把新農業推到東協南亞國家，但是他們對當地的漁</w:t>
      </w:r>
      <w:r w:rsidRPr="00C77E77">
        <w:rPr>
          <w:rFonts w:ascii="Times New Roman" w:eastAsia="標楷體" w:hAnsi="Times New Roman" w:cs="Times New Roman"/>
          <w:sz w:val="28"/>
          <w:szCs w:val="28"/>
        </w:rPr>
        <w:lastRenderedPageBreak/>
        <w:t>業、農業、飼料等市場並不熟悉，也沒有管道打通環節，造成阻礙。</w:t>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在推動新農業推行的困難點有：</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越戰後土地被劃分的很小塊，沒辦法大規模推行。</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農民比較重視眼前的利益，不容易管理。</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即使</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灣人只想單純教當地農民技術，也都要先跟當地政府合作，通過申請、試種等程序才可以。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灣必須要由政府單位跟農委會出面，跟越南的農政單位、技術試驗所、農技隊伍等交涉才有機會。</w:t>
      </w:r>
    </w:p>
    <w:p w:rsidR="00DD4871" w:rsidRPr="00C77E77" w:rsidRDefault="00DD4871" w:rsidP="009551A7">
      <w:pPr>
        <w:pStyle w:val="ab"/>
        <w:spacing w:beforeLines="50" w:before="180" w:afterLines="50" w:after="180" w:line="500" w:lineRule="exact"/>
        <w:ind w:leftChars="0" w:left="7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平陽省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灣商會：</w:t>
      </w:r>
    </w:p>
    <w:p w:rsidR="00AB6442" w:rsidRPr="00C77E77" w:rsidRDefault="00FD0D5A" w:rsidP="00AB6442">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DD4871" w:rsidRPr="00C77E77">
        <w:rPr>
          <w:rFonts w:ascii="Times New Roman" w:eastAsia="標楷體" w:hAnsi="Times New Roman" w:cs="Times New Roman"/>
          <w:sz w:val="28"/>
          <w:szCs w:val="28"/>
        </w:rPr>
        <w:t>灣的農科會應該要找越南的農業局、平陽省書記等相關人士，直接談契作方式、技術傳授等細節，甚至直接爭取平陽省某部分的農業訂單。</w:t>
      </w:r>
      <w:r w:rsidRPr="00C77E77">
        <w:rPr>
          <w:rFonts w:ascii="Times New Roman" w:eastAsia="標楷體" w:hAnsi="Times New Roman" w:cs="Times New Roman"/>
          <w:sz w:val="28"/>
          <w:szCs w:val="28"/>
        </w:rPr>
        <w:t>臺</w:t>
      </w:r>
      <w:r w:rsidR="00DD4871" w:rsidRPr="00C77E77">
        <w:rPr>
          <w:rFonts w:ascii="Times New Roman" w:eastAsia="標楷體" w:hAnsi="Times New Roman" w:cs="Times New Roman"/>
          <w:sz w:val="28"/>
          <w:szCs w:val="28"/>
        </w:rPr>
        <w:t>商能提供協助，是在這個過程中幫忙出面邀請越南官員。</w:t>
      </w:r>
    </w:p>
    <w:p w:rsidR="00DD4871" w:rsidRPr="00C77E77" w:rsidRDefault="00AB6442" w:rsidP="00AB6442">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評估</w:t>
      </w:r>
      <w:r w:rsidR="00DD4871" w:rsidRPr="00C77E77">
        <w:rPr>
          <w:rFonts w:ascii="Times New Roman" w:eastAsia="標楷體" w:hAnsi="Times New Roman" w:cs="Times New Roman"/>
          <w:sz w:val="28"/>
          <w:szCs w:val="28"/>
        </w:rPr>
        <w:t>新農業南向發展對國內之影響</w:t>
      </w:r>
      <w:r w:rsidRPr="00C77E77">
        <w:rPr>
          <w:rFonts w:ascii="Times New Roman" w:eastAsia="標楷體" w:hAnsi="Times New Roman" w:cs="Times New Roman"/>
          <w:sz w:val="28"/>
          <w:szCs w:val="28"/>
        </w:rPr>
        <w:t>，目前</w:t>
      </w:r>
      <w:r w:rsidR="00DD4871" w:rsidRPr="00C77E77">
        <w:rPr>
          <w:rFonts w:ascii="Times New Roman" w:eastAsia="標楷體" w:hAnsi="Times New Roman" w:cs="Times New Roman"/>
          <w:sz w:val="28"/>
          <w:szCs w:val="28"/>
        </w:rPr>
        <w:t>政府已成立國家級的「</w:t>
      </w:r>
      <w:r w:rsidR="00FD0D5A" w:rsidRPr="00C77E77">
        <w:rPr>
          <w:rFonts w:ascii="Times New Roman" w:eastAsia="標楷體" w:hAnsi="Times New Roman" w:cs="Times New Roman"/>
          <w:sz w:val="28"/>
          <w:szCs w:val="28"/>
        </w:rPr>
        <w:t>臺</w:t>
      </w:r>
      <w:r w:rsidR="00DD4871" w:rsidRPr="00C77E77">
        <w:rPr>
          <w:rFonts w:ascii="Times New Roman" w:eastAsia="標楷體" w:hAnsi="Times New Roman" w:cs="Times New Roman"/>
          <w:sz w:val="28"/>
          <w:szCs w:val="28"/>
        </w:rPr>
        <w:t>灣農業國際開發公司」，採公辦民營方式，建立專業經理人制度，結合小農以契作的方法，選擇</w:t>
      </w:r>
      <w:r w:rsidR="00FD0D5A" w:rsidRPr="00C77E77">
        <w:rPr>
          <w:rFonts w:ascii="Times New Roman" w:eastAsia="標楷體" w:hAnsi="Times New Roman" w:cs="Times New Roman"/>
          <w:sz w:val="28"/>
          <w:szCs w:val="28"/>
        </w:rPr>
        <w:t>臺</w:t>
      </w:r>
      <w:r w:rsidR="00DD4871" w:rsidRPr="00C77E77">
        <w:rPr>
          <w:rFonts w:ascii="Times New Roman" w:eastAsia="標楷體" w:hAnsi="Times New Roman" w:cs="Times New Roman"/>
          <w:sz w:val="28"/>
          <w:szCs w:val="28"/>
        </w:rPr>
        <w:t>灣具有國際競爭力的農產品。例如鳳梨、鳳梨釋迦，在年底前成立十個專區，並將</w:t>
      </w:r>
      <w:r w:rsidR="00FD0D5A" w:rsidRPr="00C77E77">
        <w:rPr>
          <w:rFonts w:ascii="Times New Roman" w:eastAsia="標楷體" w:hAnsi="Times New Roman" w:cs="Times New Roman"/>
          <w:sz w:val="28"/>
          <w:szCs w:val="28"/>
        </w:rPr>
        <w:t>臺</w:t>
      </w:r>
      <w:r w:rsidR="00DD4871" w:rsidRPr="00C77E77">
        <w:rPr>
          <w:rFonts w:ascii="Times New Roman" w:eastAsia="標楷體" w:hAnsi="Times New Roman" w:cs="Times New Roman"/>
          <w:sz w:val="28"/>
          <w:szCs w:val="28"/>
        </w:rPr>
        <w:t>灣優質農產品結合政府新南向政策，行銷到東南亞及對</w:t>
      </w:r>
      <w:r w:rsidR="00FD0D5A" w:rsidRPr="00C77E77">
        <w:rPr>
          <w:rFonts w:ascii="Times New Roman" w:eastAsia="標楷體" w:hAnsi="Times New Roman" w:cs="Times New Roman"/>
          <w:sz w:val="28"/>
          <w:szCs w:val="28"/>
        </w:rPr>
        <w:t>臺</w:t>
      </w:r>
      <w:r w:rsidR="00DD4871" w:rsidRPr="00C77E77">
        <w:rPr>
          <w:rFonts w:ascii="Times New Roman" w:eastAsia="標楷體" w:hAnsi="Times New Roman" w:cs="Times New Roman"/>
          <w:sz w:val="28"/>
          <w:szCs w:val="28"/>
        </w:rPr>
        <w:t>灣農產品有興趣的中東地區等國家。</w:t>
      </w:r>
      <w:r w:rsidR="00DD4871" w:rsidRPr="00C77E77">
        <w:rPr>
          <w:rStyle w:val="a9"/>
          <w:rFonts w:ascii="Times New Roman" w:eastAsia="標楷體" w:hAnsi="Times New Roman" w:cs="Times New Roman"/>
          <w:sz w:val="28"/>
          <w:szCs w:val="28"/>
        </w:rPr>
        <w:footnoteReference w:id="160"/>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另外，農委會國際處陳俊言處長表示，「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灣農業國際開發公司」將來重心會放在南部，在南部設立集貨中心，把水果等季節性產品外銷，既可調節產銷，還能把農業資材、農機具、蘭花溫室等整廠輸出，避免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灣農產品出口過度依賴中國大陸單一市場。例如，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灣的石斑魚近年盛產價格大跌，將來可以透過農產出口公司，外銷「南向」到其他國家，解決產銷失衡問題。</w:t>
      </w:r>
      <w:r w:rsidRPr="00C77E77">
        <w:rPr>
          <w:rStyle w:val="a9"/>
          <w:rFonts w:ascii="Times New Roman" w:eastAsia="標楷體" w:hAnsi="Times New Roman" w:cs="Times New Roman"/>
          <w:sz w:val="28"/>
          <w:szCs w:val="28"/>
        </w:rPr>
        <w:footnoteReference w:id="161"/>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另一方面，農委會陳副主委表示「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灣農業國際開發公司」扮演對外農業生產投資的重要角色，例如</w:t>
      </w:r>
      <w:r w:rsidRPr="00C77E77">
        <w:rPr>
          <w:rFonts w:ascii="Times New Roman" w:eastAsia="標楷體" w:hAnsi="Times New Roman" w:cs="Times New Roman"/>
          <w:sz w:val="28"/>
          <w:szCs w:val="28"/>
        </w:rPr>
        <w:t>Zespri</w:t>
      </w:r>
      <w:r w:rsidRPr="00C77E77">
        <w:rPr>
          <w:rFonts w:ascii="Times New Roman" w:eastAsia="標楷體" w:hAnsi="Times New Roman" w:cs="Times New Roman"/>
          <w:sz w:val="28"/>
          <w:szCs w:val="28"/>
        </w:rPr>
        <w:t>在全球賣的奇異果，不見得只在紐西蘭生產，在全球各地都有契作生產，產品每年每個季節都</w:t>
      </w:r>
      <w:r w:rsidRPr="00C77E77">
        <w:rPr>
          <w:rFonts w:ascii="Times New Roman" w:eastAsia="標楷體" w:hAnsi="Times New Roman" w:cs="Times New Roman"/>
          <w:sz w:val="28"/>
          <w:szCs w:val="28"/>
        </w:rPr>
        <w:lastRenderedPageBreak/>
        <w:t>有，我國位北半球，若能在南半球尋找國家投資，利用我國農產品的專利及技術，可和各國互相搭配結合全球行銷。同時，農產品在海外都有生產投資，若遭遇極端氣候時，其他國家無法出口，就可設法從海外生產支援國內需求，確保國內糧食安全。</w:t>
      </w:r>
      <w:r w:rsidRPr="00C77E77">
        <w:rPr>
          <w:rStyle w:val="a9"/>
          <w:rFonts w:ascii="Times New Roman" w:eastAsia="標楷體" w:hAnsi="Times New Roman" w:cs="Times New Roman"/>
          <w:sz w:val="28"/>
          <w:szCs w:val="28"/>
        </w:rPr>
        <w:footnoteReference w:id="162"/>
      </w:r>
    </w:p>
    <w:p w:rsidR="00DD4871" w:rsidRPr="00C77E77" w:rsidRDefault="00DD4871" w:rsidP="009551A7">
      <w:pPr>
        <w:pStyle w:val="ab"/>
        <w:spacing w:beforeLines="50" w:before="180" w:afterLines="50" w:after="180" w:line="500" w:lineRule="exact"/>
        <w:ind w:leftChars="0" w:left="720"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根據上述分析，可以歸納出農業新南向政策對國內帶來幾項正面效益。一是分散風險，改變過去致力於開拓中國大陸的市場，必須增加市場及增加產業價值，故開發東協、穆斯林國家等新興市場。二是將來可以透過農產出口公司，外銷「南向」到其他國家，解決國內產銷失衡問題</w:t>
      </w:r>
      <w:r w:rsidRPr="00C77E77">
        <w:rPr>
          <w:rFonts w:ascii="Times New Roman" w:eastAsia="微軟正黑體" w:hAnsi="Times New Roman" w:cs="Times New Roman"/>
          <w:sz w:val="28"/>
          <w:szCs w:val="28"/>
        </w:rPr>
        <w:t>；</w:t>
      </w:r>
      <w:r w:rsidRPr="00C77E77">
        <w:rPr>
          <w:rFonts w:ascii="Times New Roman" w:eastAsia="標楷體" w:hAnsi="Times New Roman" w:cs="Times New Roman"/>
          <w:sz w:val="28"/>
          <w:szCs w:val="28"/>
        </w:rPr>
        <w:t>三是兼顧我國的糧食安全，可設法從海外生產支援國內需求。</w:t>
      </w:r>
    </w:p>
    <w:p w:rsidR="00B058B5" w:rsidRPr="00C77E77" w:rsidRDefault="00DD4871" w:rsidP="006F1AB4">
      <w:pPr>
        <w:pStyle w:val="ab"/>
        <w:spacing w:beforeLines="50" w:before="180" w:afterLines="50" w:after="180" w:line="500" w:lineRule="exact"/>
        <w:ind w:firstLineChars="198" w:firstLine="554"/>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最後，</w:t>
      </w:r>
      <w:r w:rsidR="001B65A8" w:rsidRPr="00C77E77">
        <w:rPr>
          <w:rFonts w:ascii="Times New Roman" w:eastAsia="標楷體" w:hAnsi="Times New Roman" w:cs="Times New Roman"/>
          <w:b/>
          <w:color w:val="000000" w:themeColor="text1"/>
          <w:sz w:val="28"/>
          <w:szCs w:val="28"/>
        </w:rPr>
        <w:t>長期</w:t>
      </w:r>
      <w:r w:rsidR="00B058B5" w:rsidRPr="00C77E77">
        <w:rPr>
          <w:rFonts w:ascii="Times New Roman" w:eastAsia="標楷體" w:hAnsi="Times New Roman" w:cs="Times New Roman"/>
          <w:color w:val="000000" w:themeColor="text1"/>
          <w:sz w:val="28"/>
          <w:szCs w:val="28"/>
        </w:rPr>
        <w:t>必須思考若協助東南亞與印度發展農業，未來其農產品是否會回銷到臺灣，打擊國內農業？建議排除農產品外銷關稅與非關稅障礙，運用零關稅進口原料，並利用農業技術</w:t>
      </w:r>
      <w:r w:rsidR="001B65A8" w:rsidRPr="00C77E77">
        <w:rPr>
          <w:rFonts w:ascii="Times New Roman" w:eastAsia="標楷體" w:hAnsi="Times New Roman" w:cs="Times New Roman"/>
          <w:color w:val="000000" w:themeColor="text1"/>
          <w:sz w:val="28"/>
          <w:szCs w:val="28"/>
        </w:rPr>
        <w:t>優勢，以互惠互補為東南亞農業交流主軸，建立定期諮商與合作機制，降低我農產品及農業科技之貿易與投資障礙，讓國內產品以更公平、合理、安全的條件進入當地市場</w:t>
      </w:r>
      <w:r w:rsidR="00B058B5" w:rsidRPr="00C77E77">
        <w:rPr>
          <w:rFonts w:ascii="Times New Roman" w:eastAsia="標楷體" w:hAnsi="Times New Roman" w:cs="Times New Roman"/>
          <w:color w:val="000000" w:themeColor="text1"/>
          <w:sz w:val="28"/>
          <w:szCs w:val="28"/>
        </w:rPr>
        <w:t>。另外，</w:t>
      </w:r>
      <w:r w:rsidR="001B65A8" w:rsidRPr="00C77E77">
        <w:rPr>
          <w:rFonts w:ascii="Times New Roman" w:eastAsia="標楷體" w:hAnsi="Times New Roman" w:cs="Times New Roman"/>
          <w:color w:val="000000" w:themeColor="text1"/>
          <w:sz w:val="28"/>
          <w:szCs w:val="28"/>
        </w:rPr>
        <w:t>應確保</w:t>
      </w:r>
      <w:r w:rsidR="00B058B5" w:rsidRPr="00C77E77">
        <w:rPr>
          <w:rFonts w:ascii="Times New Roman" w:eastAsia="標楷體" w:hAnsi="Times New Roman" w:cs="Times New Roman"/>
          <w:color w:val="000000" w:themeColor="text1"/>
          <w:sz w:val="28"/>
          <w:szCs w:val="28"/>
        </w:rPr>
        <w:t>臺灣農業技術、品種，與人才輸出的同時</w:t>
      </w:r>
      <w:r w:rsidR="001B65A8" w:rsidRPr="00C77E77">
        <w:rPr>
          <w:rFonts w:ascii="Times New Roman" w:eastAsia="標楷體" w:hAnsi="Times New Roman" w:cs="Times New Roman"/>
          <w:color w:val="000000" w:themeColor="text1"/>
          <w:sz w:val="28"/>
          <w:szCs w:val="28"/>
        </w:rPr>
        <w:t>亦能保證</w:t>
      </w:r>
      <w:r w:rsidR="00B058B5" w:rsidRPr="00C77E77">
        <w:rPr>
          <w:rFonts w:ascii="Times New Roman" w:eastAsia="標楷體" w:hAnsi="Times New Roman" w:cs="Times New Roman"/>
          <w:color w:val="000000" w:themeColor="text1"/>
          <w:sz w:val="28"/>
          <w:szCs w:val="28"/>
        </w:rPr>
        <w:t>農業品種與技術的智慧財產權，</w:t>
      </w:r>
      <w:r w:rsidR="006F1AB4" w:rsidRPr="00C77E77">
        <w:rPr>
          <w:rFonts w:ascii="Times New Roman" w:eastAsia="標楷體" w:hAnsi="Times New Roman" w:cs="Times New Roman"/>
          <w:color w:val="000000" w:themeColor="text1"/>
          <w:sz w:val="28"/>
          <w:szCs w:val="28"/>
        </w:rPr>
        <w:t>建議</w:t>
      </w:r>
      <w:r w:rsidR="00316D15" w:rsidRPr="00C77E77">
        <w:rPr>
          <w:rFonts w:ascii="Times New Roman" w:eastAsia="標楷體" w:hAnsi="Times New Roman" w:cs="Times New Roman"/>
          <w:color w:val="000000" w:themeColor="text1"/>
          <w:sz w:val="28"/>
          <w:szCs w:val="28"/>
        </w:rPr>
        <w:t>透過國際諮商談判爭取優惠彈性待遇加以</w:t>
      </w:r>
      <w:r w:rsidR="00B058B5" w:rsidRPr="00C77E77">
        <w:rPr>
          <w:rFonts w:ascii="Times New Roman" w:eastAsia="標楷體" w:hAnsi="Times New Roman" w:cs="Times New Roman"/>
          <w:color w:val="000000" w:themeColor="text1"/>
          <w:sz w:val="28"/>
          <w:szCs w:val="28"/>
        </w:rPr>
        <w:t>保護智慧財產權。</w:t>
      </w:r>
    </w:p>
    <w:p w:rsidR="007477FE" w:rsidRPr="00C77E77" w:rsidRDefault="007477FE" w:rsidP="007477FE">
      <w:pPr>
        <w:snapToGrid w:val="0"/>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color w:val="000000" w:themeColor="text1"/>
          <w:sz w:val="28"/>
          <w:szCs w:val="28"/>
        </w:rPr>
        <w:t>前文已依序呈現「</w:t>
      </w:r>
      <w:r w:rsidRPr="00C77E77">
        <w:rPr>
          <w:rFonts w:ascii="Times New Roman" w:eastAsia="標楷體" w:hAnsi="Times New Roman" w:cs="Times New Roman"/>
          <w:color w:val="000000" w:themeColor="text1"/>
          <w:sz w:val="28"/>
          <w:szCs w:val="28"/>
        </w:rPr>
        <w:t>10+2</w:t>
      </w:r>
      <w:r w:rsidRPr="00C77E77">
        <w:rPr>
          <w:rFonts w:ascii="Times New Roman" w:eastAsia="標楷體" w:hAnsi="Times New Roman" w:cs="Times New Roman"/>
          <w:color w:val="000000" w:themeColor="text1"/>
          <w:sz w:val="28"/>
          <w:szCs w:val="28"/>
        </w:rPr>
        <w:t>」產業南向發展之詳細資料，並據以提出可行之切入策略，基於政府資源有限，發展策略應有所聚焦，較易看到實際的效果。故本研究進一步從</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灣利基為出發點，分析各項產業南向發展對於</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灣本地經濟與就業的影響，及政府可協助各產業提升基礎能力的方案，供政府施政參考。</w:t>
      </w:r>
      <w:r w:rsidRPr="00C77E77">
        <w:rPr>
          <w:rFonts w:ascii="Times New Roman" w:eastAsia="標楷體" w:hAnsi="Times New Roman" w:cs="Times New Roman"/>
          <w:sz w:val="28"/>
          <w:szCs w:val="28"/>
        </w:rPr>
        <w:t xml:space="preserve"> </w:t>
      </w:r>
    </w:p>
    <w:p w:rsidR="007477FE" w:rsidRPr="00C77E77" w:rsidRDefault="007477FE" w:rsidP="007477FE">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p>
    <w:p w:rsidR="009551A7" w:rsidRPr="00C77E77" w:rsidRDefault="009551A7" w:rsidP="009551A7">
      <w:pPr>
        <w:pStyle w:val="af9"/>
        <w:jc w:val="left"/>
        <w:rPr>
          <w:color w:val="auto"/>
        </w:rPr>
      </w:pPr>
    </w:p>
    <w:p w:rsidR="00A21266" w:rsidRPr="00C77E77" w:rsidRDefault="00A21266" w:rsidP="00A21266">
      <w:pPr>
        <w:pStyle w:val="af9"/>
        <w:spacing w:before="50" w:after="50" w:line="500" w:lineRule="exact"/>
      </w:pPr>
      <w:bookmarkStart w:id="166" w:name="_Toc470676623"/>
      <w:r w:rsidRPr="00C77E77">
        <w:lastRenderedPageBreak/>
        <w:t>表</w:t>
      </w:r>
      <w:r w:rsidRPr="00C77E77">
        <w:t>5-2</w:t>
      </w:r>
      <w:r w:rsidR="00B850DB" w:rsidRPr="00C77E77">
        <w:t>-13</w:t>
      </w:r>
      <w:r w:rsidR="00B850DB" w:rsidRPr="00C77E77">
        <w:t>「</w:t>
      </w:r>
      <w:r w:rsidR="00B850DB" w:rsidRPr="00C77E77">
        <w:t>10+2</w:t>
      </w:r>
      <w:r w:rsidR="00B850DB" w:rsidRPr="00C77E77">
        <w:t>」產業對</w:t>
      </w:r>
      <w:r w:rsidR="00E524DA" w:rsidRPr="00C77E77">
        <w:t>臺</w:t>
      </w:r>
      <w:r w:rsidR="00B850DB" w:rsidRPr="00C77E77">
        <w:t>灣本土影響與</w:t>
      </w:r>
      <w:r w:rsidR="00611922" w:rsidRPr="00C77E77">
        <w:t>提升</w:t>
      </w:r>
      <w:r w:rsidR="00B850DB" w:rsidRPr="00C77E77">
        <w:t>基礎能力之建議</w:t>
      </w:r>
      <w:bookmarkEnd w:id="166"/>
    </w:p>
    <w:tbl>
      <w:tblPr>
        <w:tblStyle w:val="af4"/>
        <w:tblW w:w="5000" w:type="pct"/>
        <w:tblLook w:val="04A0" w:firstRow="1" w:lastRow="0" w:firstColumn="1" w:lastColumn="0" w:noHBand="0" w:noVBand="1"/>
      </w:tblPr>
      <w:tblGrid>
        <w:gridCol w:w="967"/>
        <w:gridCol w:w="1933"/>
        <w:gridCol w:w="3264"/>
        <w:gridCol w:w="3264"/>
      </w:tblGrid>
      <w:tr w:rsidR="007477FE" w:rsidRPr="00C77E77" w:rsidTr="007477FE">
        <w:tc>
          <w:tcPr>
            <w:tcW w:w="1538" w:type="pct"/>
            <w:gridSpan w:val="2"/>
            <w:tcBorders>
              <w:top w:val="single" w:sz="4" w:space="0" w:color="auto"/>
            </w:tcBorders>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p>
        </w:tc>
        <w:tc>
          <w:tcPr>
            <w:tcW w:w="1731" w:type="pct"/>
            <w:tcBorders>
              <w:top w:val="single" w:sz="4" w:space="0" w:color="auto"/>
            </w:tcBorders>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南向發展對</w:t>
            </w:r>
            <w:r w:rsidR="00E524DA" w:rsidRPr="00C77E77">
              <w:rPr>
                <w:rFonts w:ascii="Times New Roman" w:eastAsia="標楷體" w:hAnsi="Times New Roman" w:cs="Times New Roman"/>
                <w:b/>
                <w:color w:val="000000" w:themeColor="text1"/>
                <w:sz w:val="28"/>
                <w:szCs w:val="28"/>
              </w:rPr>
              <w:t>臺</w:t>
            </w:r>
            <w:r w:rsidRPr="00C77E77">
              <w:rPr>
                <w:rFonts w:ascii="Times New Roman" w:eastAsia="標楷體" w:hAnsi="Times New Roman" w:cs="Times New Roman"/>
                <w:b/>
                <w:color w:val="000000" w:themeColor="text1"/>
                <w:sz w:val="28"/>
                <w:szCs w:val="28"/>
              </w:rPr>
              <w:t>灣本地之影響</w:t>
            </w:r>
          </w:p>
        </w:tc>
        <w:tc>
          <w:tcPr>
            <w:tcW w:w="1731" w:type="pct"/>
            <w:tcBorders>
              <w:top w:val="single" w:sz="4" w:space="0" w:color="auto"/>
            </w:tcBorders>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政府助其提升基礎能力之方案</w:t>
            </w:r>
          </w:p>
        </w:tc>
      </w:tr>
      <w:tr w:rsidR="007477FE" w:rsidRPr="00C77E77" w:rsidTr="007477FE">
        <w:tc>
          <w:tcPr>
            <w:tcW w:w="1538" w:type="pct"/>
            <w:gridSpan w:val="2"/>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新農業</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拓展外銷、分散風險、兼顧糧食安全</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排除市場障礙，確保品種與技術的智財權</w:t>
            </w:r>
          </w:p>
        </w:tc>
      </w:tr>
      <w:tr w:rsidR="007477FE" w:rsidRPr="00C77E77" w:rsidTr="007477FE">
        <w:tc>
          <w:tcPr>
            <w:tcW w:w="1538" w:type="pct"/>
            <w:gridSpan w:val="2"/>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電子商務</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促進貿易，突破</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灣國內市場較小之侷限</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培養跨國銷售人才，發展特色化商品</w:t>
            </w:r>
          </w:p>
        </w:tc>
      </w:tr>
      <w:tr w:rsidR="007477FE" w:rsidRPr="00C77E77" w:rsidTr="007477FE">
        <w:tc>
          <w:tcPr>
            <w:tcW w:w="513" w:type="pct"/>
            <w:vMerge w:val="restart"/>
            <w:textDirection w:val="tbRlV"/>
          </w:tcPr>
          <w:p w:rsidR="007477FE" w:rsidRPr="00C77E77" w:rsidRDefault="007477FE" w:rsidP="00441968">
            <w:pPr>
              <w:snapToGrid w:val="0"/>
              <w:spacing w:line="440" w:lineRule="exact"/>
              <w:ind w:left="113" w:right="113"/>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kern w:val="0"/>
                <w:sz w:val="28"/>
                <w:szCs w:val="28"/>
              </w:rPr>
              <w:t>十大系統輸出方案</w:t>
            </w: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電子收費</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協助我專業人士將經驗能力拓展至海外</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協助取得海外公共標案或與第三國合作</w:t>
            </w:r>
          </w:p>
        </w:tc>
      </w:tr>
      <w:tr w:rsidR="007477FE" w:rsidRPr="00C77E77" w:rsidTr="007477FE">
        <w:tc>
          <w:tcPr>
            <w:tcW w:w="513" w:type="pct"/>
            <w:vMerge/>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智慧校園</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促進教育資源分享，並紓解師資過剩問題</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在</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建立示範區，並選特定地區導入示範</w:t>
            </w:r>
          </w:p>
        </w:tc>
      </w:tr>
      <w:tr w:rsidR="007477FE" w:rsidRPr="00C77E77" w:rsidTr="007477FE">
        <w:tc>
          <w:tcPr>
            <w:tcW w:w="513" w:type="pct"/>
            <w:vMerge/>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電子化政府</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增進相關人員知識與實務之交流</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在</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建立示範區，供外國行政改革參考</w:t>
            </w:r>
          </w:p>
        </w:tc>
      </w:tr>
      <w:tr w:rsidR="007477FE" w:rsidRPr="00C77E77" w:rsidTr="007477FE">
        <w:tc>
          <w:tcPr>
            <w:tcW w:w="513" w:type="pct"/>
            <w:vMerge/>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智慧物流</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突破國內市場較小之侷限，且可搭配電商</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在</w:t>
            </w:r>
            <w:r w:rsidR="00E524D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建立示範區，讓廠商充分練兵再輸出</w:t>
            </w:r>
          </w:p>
        </w:tc>
      </w:tr>
      <w:tr w:rsidR="007477FE" w:rsidRPr="00C77E77" w:rsidTr="007477FE">
        <w:tc>
          <w:tcPr>
            <w:tcW w:w="513" w:type="pct"/>
            <w:vMerge/>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雲端系統</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助業者從以國內市場為主的現況拓展海外</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提昇我資通訊系統整合服務企業核心能力</w:t>
            </w:r>
          </w:p>
        </w:tc>
      </w:tr>
      <w:tr w:rsidR="007477FE" w:rsidRPr="00C77E77" w:rsidTr="007477FE">
        <w:tc>
          <w:tcPr>
            <w:tcW w:w="513" w:type="pct"/>
            <w:vMerge/>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智慧醫療</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協助醫療觀光、智慧醫材業者海外拓銷</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推動醫療觀光、加強醫療院所之交流</w:t>
            </w:r>
          </w:p>
        </w:tc>
      </w:tr>
      <w:tr w:rsidR="007477FE" w:rsidRPr="00C77E77" w:rsidTr="007477FE">
        <w:tc>
          <w:tcPr>
            <w:tcW w:w="513" w:type="pct"/>
            <w:vMerge/>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太陽能</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協助製造業者擺脫薄利困境</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協助法規與金融服務，爭取公共標案</w:t>
            </w:r>
          </w:p>
        </w:tc>
      </w:tr>
      <w:tr w:rsidR="007477FE" w:rsidRPr="00C77E77" w:rsidTr="007477FE">
        <w:tc>
          <w:tcPr>
            <w:tcW w:w="513" w:type="pct"/>
            <w:vMerge/>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LED</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路燈、</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車用照明業者擴大市場</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協助法規與金融服務，爭取公共標案</w:t>
            </w:r>
          </w:p>
        </w:tc>
      </w:tr>
      <w:tr w:rsidR="007477FE" w:rsidRPr="00C77E77" w:rsidTr="007477FE">
        <w:tc>
          <w:tcPr>
            <w:tcW w:w="513" w:type="pct"/>
            <w:vMerge/>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綠色運輸</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協助自動機車、自動腳踏車業者擴大市場</w:t>
            </w:r>
          </w:p>
        </w:tc>
        <w:tc>
          <w:tcPr>
            <w:tcW w:w="1731" w:type="pct"/>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協助廠商形成跨國供應鏈</w:t>
            </w:r>
          </w:p>
        </w:tc>
      </w:tr>
      <w:tr w:rsidR="007477FE" w:rsidRPr="00C77E77" w:rsidTr="007477FE">
        <w:tc>
          <w:tcPr>
            <w:tcW w:w="513" w:type="pct"/>
            <w:vMerge/>
            <w:tcBorders>
              <w:bottom w:val="single" w:sz="4" w:space="0" w:color="auto"/>
            </w:tcBorders>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p>
        </w:tc>
        <w:tc>
          <w:tcPr>
            <w:tcW w:w="1025" w:type="pct"/>
            <w:tcBorders>
              <w:bottom w:val="single" w:sz="4" w:space="0" w:color="auto"/>
            </w:tcBorders>
            <w:vAlign w:val="center"/>
          </w:tcPr>
          <w:p w:rsidR="007477FE" w:rsidRPr="00C77E77" w:rsidRDefault="007477FE" w:rsidP="00441968">
            <w:pPr>
              <w:snapToGrid w:val="0"/>
              <w:spacing w:line="44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石化</w:t>
            </w:r>
          </w:p>
        </w:tc>
        <w:tc>
          <w:tcPr>
            <w:tcW w:w="1731" w:type="pct"/>
            <w:tcBorders>
              <w:bottom w:val="single" w:sz="4" w:space="0" w:color="auto"/>
            </w:tcBorders>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石化業者高值化可符合我國循環經濟方向</w:t>
            </w:r>
          </w:p>
        </w:tc>
        <w:tc>
          <w:tcPr>
            <w:tcW w:w="1731" w:type="pct"/>
            <w:tcBorders>
              <w:bottom w:val="single" w:sz="4" w:space="0" w:color="auto"/>
            </w:tcBorders>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協助業者爭取石化園區跨國合作開發案</w:t>
            </w:r>
          </w:p>
        </w:tc>
      </w:tr>
      <w:tr w:rsidR="007477FE" w:rsidRPr="00C77E77" w:rsidTr="007477FE">
        <w:tc>
          <w:tcPr>
            <w:tcW w:w="5000" w:type="pct"/>
            <w:gridSpan w:val="4"/>
            <w:tcBorders>
              <w:top w:val="single" w:sz="4" w:space="0" w:color="auto"/>
              <w:left w:val="nil"/>
              <w:bottom w:val="nil"/>
              <w:right w:val="nil"/>
            </w:tcBorders>
          </w:tcPr>
          <w:p w:rsidR="007477FE" w:rsidRPr="00C77E77" w:rsidRDefault="007477FE" w:rsidP="00441968">
            <w:pPr>
              <w:snapToGrid w:val="0"/>
              <w:spacing w:line="44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資料來源：本研究整理</w:t>
            </w:r>
          </w:p>
        </w:tc>
      </w:tr>
    </w:tbl>
    <w:p w:rsidR="00A21266" w:rsidRPr="00C77E77" w:rsidRDefault="00A21266" w:rsidP="009551A7">
      <w:pPr>
        <w:pStyle w:val="af9"/>
        <w:jc w:val="left"/>
        <w:rPr>
          <w:color w:val="auto"/>
        </w:rPr>
      </w:pPr>
    </w:p>
    <w:p w:rsidR="00A21266" w:rsidRPr="00C77E77" w:rsidRDefault="00A21266" w:rsidP="009551A7">
      <w:pPr>
        <w:pStyle w:val="af9"/>
        <w:jc w:val="left"/>
        <w:rPr>
          <w:color w:val="auto"/>
        </w:rPr>
      </w:pPr>
    </w:p>
    <w:p w:rsidR="00A21266" w:rsidRPr="00C77E77" w:rsidRDefault="00A21266" w:rsidP="009551A7">
      <w:pPr>
        <w:pStyle w:val="af9"/>
        <w:jc w:val="left"/>
        <w:rPr>
          <w:color w:val="auto"/>
        </w:rPr>
      </w:pPr>
    </w:p>
    <w:p w:rsidR="000E37C3" w:rsidRPr="00C77E77" w:rsidRDefault="00781721" w:rsidP="00764ED7">
      <w:pPr>
        <w:pStyle w:val="ab"/>
        <w:numPr>
          <w:ilvl w:val="0"/>
          <w:numId w:val="22"/>
        </w:numPr>
        <w:spacing w:beforeLines="50" w:before="180" w:afterLines="50" w:after="180" w:line="360" w:lineRule="auto"/>
        <w:ind w:leftChars="0"/>
        <w:jc w:val="both"/>
        <w:outlineLvl w:val="1"/>
        <w:rPr>
          <w:rFonts w:ascii="Times New Roman" w:eastAsia="標楷體" w:hAnsi="Times New Roman" w:cs="Times New Roman"/>
          <w:b/>
          <w:sz w:val="32"/>
          <w:szCs w:val="32"/>
        </w:rPr>
      </w:pPr>
      <w:bookmarkStart w:id="167" w:name="_Toc470676326"/>
      <w:r w:rsidRPr="00C77E77">
        <w:rPr>
          <w:rFonts w:ascii="Times New Roman" w:eastAsia="標楷體" w:hAnsi="Times New Roman" w:cs="Times New Roman"/>
          <w:b/>
          <w:sz w:val="32"/>
          <w:szCs w:val="32"/>
        </w:rPr>
        <w:lastRenderedPageBreak/>
        <w:t>新南向政策之相關建議</w:t>
      </w:r>
      <w:bookmarkEnd w:id="167"/>
    </w:p>
    <w:p w:rsidR="00E77DD6" w:rsidRPr="00C77E77" w:rsidRDefault="00E77DD6" w:rsidP="00E77DD6">
      <w:pPr>
        <w:widowControl/>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本研究已針對「</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合作發展提出整體佈局以及個別產業之策略建議，最後在本節評估我國新南向政策可能面對的其它外部因素，包括中國大陸一帶一路的影響，以及新加坡、日本與韓國等競爭對手國可供我借鏡之作法，並且評估近期</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FTAAP</w:t>
      </w:r>
      <w:r w:rsidRPr="00C77E77">
        <w:rPr>
          <w:rFonts w:ascii="Times New Roman" w:eastAsia="標楷體" w:hAnsi="Times New Roman" w:cs="Times New Roman"/>
          <w:sz w:val="28"/>
          <w:szCs w:val="28"/>
        </w:rPr>
        <w:t>之發展趨勢，作出相關建議。</w:t>
      </w:r>
    </w:p>
    <w:p w:rsidR="002E0017" w:rsidRPr="00C77E77" w:rsidRDefault="003C3DA7" w:rsidP="00E77DD6">
      <w:pPr>
        <w:widowControl/>
        <w:spacing w:beforeLines="50" w:before="180" w:afterLines="50" w:after="180"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一</w:t>
      </w:r>
      <w:r w:rsidR="002E0017" w:rsidRPr="00C77E77">
        <w:rPr>
          <w:rFonts w:ascii="Times New Roman" w:eastAsia="標楷體" w:hAnsi="Times New Roman" w:cs="Times New Roman"/>
          <w:sz w:val="28"/>
          <w:szCs w:val="28"/>
        </w:rPr>
        <w:t>、</w:t>
      </w:r>
      <w:r w:rsidRPr="00C77E77">
        <w:rPr>
          <w:rFonts w:ascii="Times New Roman" w:eastAsia="標楷體" w:hAnsi="Times New Roman" w:cs="Times New Roman"/>
          <w:b/>
          <w:sz w:val="28"/>
          <w:szCs w:val="28"/>
        </w:rPr>
        <w:t>中國大陸一</w:t>
      </w:r>
      <w:r w:rsidR="00E77DD6" w:rsidRPr="00C77E77">
        <w:rPr>
          <w:rFonts w:ascii="Times New Roman" w:eastAsia="標楷體" w:hAnsi="Times New Roman" w:cs="Times New Roman"/>
          <w:b/>
          <w:sz w:val="28"/>
          <w:szCs w:val="28"/>
        </w:rPr>
        <w:t>帶</w:t>
      </w:r>
      <w:r w:rsidRPr="00C77E77">
        <w:rPr>
          <w:rFonts w:ascii="Times New Roman" w:eastAsia="標楷體" w:hAnsi="Times New Roman" w:cs="Times New Roman"/>
          <w:b/>
          <w:sz w:val="28"/>
          <w:szCs w:val="28"/>
        </w:rPr>
        <w:t>一路對新南向政策之影響</w:t>
      </w:r>
      <w:r w:rsidR="00E77DD6" w:rsidRPr="00C77E77">
        <w:rPr>
          <w:rFonts w:ascii="Times New Roman" w:eastAsia="標楷體" w:hAnsi="Times New Roman" w:cs="Times New Roman"/>
          <w:b/>
          <w:sz w:val="28"/>
          <w:szCs w:val="28"/>
        </w:rPr>
        <w:t>（報告書全文如附件）</w:t>
      </w:r>
    </w:p>
    <w:p w:rsidR="00E77DD6" w:rsidRPr="00C77E77" w:rsidRDefault="00E77DD6" w:rsidP="00E77DD6">
      <w:pPr>
        <w:widowControl/>
        <w:spacing w:before="50" w:after="50" w:line="500" w:lineRule="exact"/>
        <w:ind w:firstLine="480"/>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中國大陸總書記習近平於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28</w:t>
      </w:r>
      <w:r w:rsidRPr="00C77E77">
        <w:rPr>
          <w:rFonts w:ascii="Times New Roman" w:eastAsia="標楷體" w:hAnsi="Times New Roman" w:cs="Times New Roman"/>
          <w:sz w:val="28"/>
          <w:szCs w:val="28"/>
        </w:rPr>
        <w:t>日透過國家發展改革委員會、外交部、商務部聯合發佈「推動共建絲綢之路經濟帶和</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世紀海上絲綢之路的願景與行動」（以下簡稱「一帶一路」）的新戰略構想，其中絲綢之路經濟帶將打通歐亞非大陸屏障，而</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世紀海上絲綢之路，則希望從中國大陸沿海出發，分別延伸至印度洋及南太平洋。「一帶一路」東接亞太經濟圈，西進歐洲經濟圈，沿途連通中亞、東南亞、南亞、西亞和東非等</w:t>
      </w:r>
      <w:r w:rsidRPr="00C77E77">
        <w:rPr>
          <w:rFonts w:ascii="Times New Roman" w:eastAsia="標楷體" w:hAnsi="Times New Roman" w:cs="Times New Roman"/>
          <w:sz w:val="28"/>
          <w:szCs w:val="28"/>
        </w:rPr>
        <w:t>64</w:t>
      </w:r>
      <w:r w:rsidRPr="00C77E77">
        <w:rPr>
          <w:rFonts w:ascii="Times New Roman" w:eastAsia="標楷體" w:hAnsi="Times New Roman" w:cs="Times New Roman"/>
          <w:sz w:val="28"/>
          <w:szCs w:val="28"/>
        </w:rPr>
        <w:t>個國家。沿線大多是新興經濟體和發展中國家，目前總人口約</w:t>
      </w:r>
      <w:r w:rsidRPr="00C77E77">
        <w:rPr>
          <w:rFonts w:ascii="Times New Roman" w:eastAsia="標楷體" w:hAnsi="Times New Roman" w:cs="Times New Roman"/>
          <w:sz w:val="28"/>
          <w:szCs w:val="28"/>
        </w:rPr>
        <w:t>44</w:t>
      </w:r>
      <w:r w:rsidRPr="00C77E77">
        <w:rPr>
          <w:rFonts w:ascii="Times New Roman" w:eastAsia="標楷體" w:hAnsi="Times New Roman" w:cs="Times New Roman"/>
          <w:sz w:val="28"/>
          <w:szCs w:val="28"/>
        </w:rPr>
        <w:t>億人，經濟總量約</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萬億美元。「一帶一路」路線圖如下圖</w:t>
      </w:r>
      <w:r w:rsidRPr="00C77E77">
        <w:rPr>
          <w:rFonts w:ascii="Times New Roman" w:eastAsia="標楷體" w:hAnsi="Times New Roman" w:cs="Times New Roman"/>
          <w:sz w:val="28"/>
          <w:szCs w:val="28"/>
        </w:rPr>
        <w:t>5-3-1</w:t>
      </w:r>
      <w:r w:rsidRPr="00C77E77">
        <w:rPr>
          <w:rFonts w:ascii="Times New Roman" w:eastAsia="標楷體" w:hAnsi="Times New Roman" w:cs="Times New Roman"/>
          <w:sz w:val="28"/>
          <w:szCs w:val="28"/>
        </w:rPr>
        <w:t>所示。</w:t>
      </w:r>
    </w:p>
    <w:p w:rsidR="00E77DD6" w:rsidRPr="00C77E77" w:rsidRDefault="00E77DD6" w:rsidP="00E77DD6">
      <w:pPr>
        <w:widowControl/>
        <w:spacing w:before="50" w:after="50"/>
        <w:jc w:val="both"/>
        <w:rPr>
          <w:rFonts w:ascii="Times New Roman" w:eastAsia="標楷體" w:hAnsi="Times New Roman" w:cs="Times New Roman"/>
          <w:b/>
          <w:sz w:val="28"/>
          <w:szCs w:val="28"/>
        </w:rPr>
      </w:pPr>
      <w:r w:rsidRPr="00C77E77">
        <w:rPr>
          <w:rFonts w:ascii="Times New Roman" w:eastAsia="標楷體" w:hAnsi="Times New Roman" w:cs="Times New Roman"/>
          <w:b/>
          <w:noProof/>
          <w:sz w:val="28"/>
          <w:szCs w:val="28"/>
        </w:rPr>
        <w:drawing>
          <wp:inline distT="0" distB="0" distL="0" distR="0" wp14:anchorId="46CECDFE">
            <wp:extent cx="5838190" cy="3180715"/>
            <wp:effectExtent l="0" t="0" r="0" b="63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8190" cy="3180715"/>
                    </a:xfrm>
                    <a:prstGeom prst="rect">
                      <a:avLst/>
                    </a:prstGeom>
                    <a:noFill/>
                  </pic:spPr>
                </pic:pic>
              </a:graphicData>
            </a:graphic>
          </wp:inline>
        </w:drawing>
      </w:r>
    </w:p>
    <w:p w:rsidR="00E77DD6" w:rsidRPr="00C77E77" w:rsidRDefault="00E77DD6" w:rsidP="0008027D">
      <w:pPr>
        <w:pStyle w:val="af7"/>
        <w:spacing w:line="0" w:lineRule="atLeast"/>
      </w:pPr>
      <w:bookmarkStart w:id="168" w:name="_Toc470676652"/>
      <w:r w:rsidRPr="00C77E77">
        <w:t>圖</w:t>
      </w:r>
      <w:r w:rsidRPr="00C77E77">
        <w:t>5-3-1</w:t>
      </w:r>
      <w:r w:rsidRPr="00C77E77">
        <w:t>「一帶一路」路線圖</w:t>
      </w:r>
      <w:bookmarkEnd w:id="168"/>
    </w:p>
    <w:p w:rsidR="00E77DD6" w:rsidRPr="00C77E77" w:rsidRDefault="00E77DD6" w:rsidP="0008027D">
      <w:pPr>
        <w:widowControl/>
        <w:spacing w:line="0" w:lineRule="atLeas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資料來源：鉅亨網</w:t>
      </w:r>
    </w:p>
    <w:p w:rsidR="00E77DD6" w:rsidRPr="00C77E77" w:rsidRDefault="00E77DD6" w:rsidP="0001327A">
      <w:pPr>
        <w:pStyle w:val="ab"/>
        <w:widowControl/>
        <w:numPr>
          <w:ilvl w:val="0"/>
          <w:numId w:val="133"/>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lastRenderedPageBreak/>
        <w:t>「一帶一路」與我「新南向政策」之關聯性</w:t>
      </w:r>
    </w:p>
    <w:p w:rsidR="00E77DD6" w:rsidRPr="00C77E77" w:rsidRDefault="00E77DD6" w:rsidP="00E77DD6">
      <w:pPr>
        <w:widowControl/>
        <w:spacing w:beforeLines="50" w:before="180" w:afterLines="50" w:after="180" w:line="500" w:lineRule="exact"/>
        <w:ind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雖然新南向政策各項措施已經積極的展開，但是不可諱言，新南向的推動過程可能遭受來自中國大陸的龐大阻力。以下分別就新南向政策與中國大陸「一帶一路」戰略中的相關性進行比較。</w:t>
      </w:r>
    </w:p>
    <w:p w:rsidR="00E77DD6" w:rsidRPr="00C77E77" w:rsidRDefault="00E77DD6" w:rsidP="0001327A">
      <w:pPr>
        <w:pStyle w:val="ab"/>
        <w:widowControl/>
        <w:numPr>
          <w:ilvl w:val="0"/>
          <w:numId w:val="134"/>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「一帶一路」與新南向政策之推出皆為因應國際與區域整合之趨勢，故有地域重疊之現象。</w:t>
      </w:r>
    </w:p>
    <w:p w:rsidR="00E77DD6" w:rsidRPr="00C77E77" w:rsidRDefault="00E77DD6" w:rsidP="00E77DD6">
      <w:pPr>
        <w:widowControl/>
        <w:spacing w:beforeLines="50" w:before="180" w:afterLines="50" w:after="180" w:line="500" w:lineRule="exact"/>
        <w:ind w:left="48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帶一路」規劃範圍分別以其北方、西南、內陸、沿海、及港澳為橋樑，展開其對外幅射的經貿戰略，其中西南部份是利用廣西與東協國家陸海相鄰的獨特優勢，發展北部灣經濟區和珠江－西江經濟帶，建立西南、中南地區開放發展的戰略支點；並發揮雲南區位優勢，推進與周邊國家的國際運輸通道建設，打造大湄公河次區域經濟合作新高地，建設成為面向南亞、東南亞的輻射中心。且推進西藏與尼泊爾等國家邊境貿易和旅遊文化合作。「一帶一路」戰略的對外訴求，是中國大陸與絲路、太平洋沿海等歐亞非國家分享優質產能，共商專案投資、共建基礎設施、共用合作成果，內容包括道路聯通、貿易暢通、貨幣流通、政策溝通、人心相通等「五通」。</w:t>
      </w:r>
    </w:p>
    <w:p w:rsidR="00E77DD6" w:rsidRPr="00C77E77" w:rsidRDefault="00E77DD6" w:rsidP="0001327A">
      <w:pPr>
        <w:pStyle w:val="ab"/>
        <w:widowControl/>
        <w:numPr>
          <w:ilvl w:val="0"/>
          <w:numId w:val="134"/>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「一帶一路」提供的資金挹注、人才培育措施，可能影響我新南向政策對東協、南亞國家的號召力。</w:t>
      </w:r>
    </w:p>
    <w:p w:rsidR="00E77DD6" w:rsidRPr="00C77E77" w:rsidRDefault="00E77DD6" w:rsidP="00E77DD6">
      <w:pPr>
        <w:pStyle w:val="ab"/>
        <w:widowControl/>
        <w:spacing w:beforeLines="50" w:before="180" w:afterLines="50" w:after="180" w:line="500" w:lineRule="exact"/>
        <w:ind w:leftChars="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體認到「一帶一路」沿線國家國情、宗教信仰、地緣政治、民心社情等較為複雜，因此相當重視民族和文化理解的相關教育，目前經中國大陸教育部批准的境外辦學有廈門大學馬來西亞分校、寮國蘇州大學、雲南財經大學曼谷商學院和北京語言大學東京學院等；同時，還與</w:t>
      </w:r>
      <w:r w:rsidRPr="00C77E77">
        <w:rPr>
          <w:rFonts w:ascii="Times New Roman" w:eastAsia="標楷體" w:hAnsi="Times New Roman" w:cs="Times New Roman"/>
          <w:sz w:val="28"/>
          <w:szCs w:val="28"/>
        </w:rPr>
        <w:t>180</w:t>
      </w:r>
      <w:r w:rsidRPr="00C77E77">
        <w:rPr>
          <w:rFonts w:ascii="Times New Roman" w:eastAsia="標楷體" w:hAnsi="Times New Roman" w:cs="Times New Roman"/>
          <w:sz w:val="28"/>
          <w:szCs w:val="28"/>
        </w:rPr>
        <w:t>多個國家和地區建立了雙邊和多邊教育交流合作關係，與</w:t>
      </w:r>
      <w:r w:rsidRPr="00C77E77">
        <w:rPr>
          <w:rFonts w:ascii="Times New Roman" w:eastAsia="標楷體" w:hAnsi="Times New Roman" w:cs="Times New Roman"/>
          <w:sz w:val="28"/>
          <w:szCs w:val="28"/>
        </w:rPr>
        <w:t>41</w:t>
      </w:r>
      <w:r w:rsidRPr="00C77E77">
        <w:rPr>
          <w:rFonts w:ascii="Times New Roman" w:eastAsia="標楷體" w:hAnsi="Times New Roman" w:cs="Times New Roman"/>
          <w:sz w:val="28"/>
          <w:szCs w:val="28"/>
        </w:rPr>
        <w:t>個國家和地區簽署了學歷學位互認協定，主要皆分佈在東南亞國家。同時，中國大陸實施「雙十萬學生流動計畫」，目標是</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年達成中國和東協國家雙向留學生均達到</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萬人規模（目前東協國家留學生約為</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萬人）。</w:t>
      </w:r>
      <w:r w:rsidRPr="00C77E77">
        <w:rPr>
          <w:rFonts w:ascii="Times New Roman" w:eastAsia="標楷體" w:hAnsi="Times New Roman" w:cs="Times New Roman"/>
          <w:sz w:val="28"/>
          <w:szCs w:val="28"/>
        </w:rPr>
        <w:lastRenderedPageBreak/>
        <w:t>至</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月之統計數據，中國大陸接收外國留學生的院校達</w:t>
      </w:r>
      <w:r w:rsidRPr="00C77E77">
        <w:rPr>
          <w:rFonts w:ascii="Times New Roman" w:eastAsia="標楷體" w:hAnsi="Times New Roman" w:cs="Times New Roman"/>
          <w:sz w:val="28"/>
          <w:szCs w:val="28"/>
        </w:rPr>
        <w:t>700</w:t>
      </w:r>
      <w:r w:rsidRPr="00C77E77">
        <w:rPr>
          <w:rFonts w:ascii="Times New Roman" w:eastAsia="標楷體" w:hAnsi="Times New Roman" w:cs="Times New Roman"/>
          <w:sz w:val="28"/>
          <w:szCs w:val="28"/>
        </w:rPr>
        <w:t>多所，留學生來源地排名前</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位的國家中，有泰國、越南、印尼、哈薩克和巴基斯坦等</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個「一帶一路」沿線國家。且針對「一帶一路」沿線國家所提供的中國政府獎學金數量，超過中國政府獎學金總數的</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w:t>
      </w:r>
    </w:p>
    <w:p w:rsidR="00E77DD6" w:rsidRPr="00C77E77" w:rsidRDefault="00E77DD6" w:rsidP="0001327A">
      <w:pPr>
        <w:pStyle w:val="ab"/>
        <w:numPr>
          <w:ilvl w:val="0"/>
          <w:numId w:val="134"/>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由於東協、南亞多為發展中國家，「一帶一路」以基礎建設為主，新南向政策則籌劃系統整合輸出團隊。</w:t>
      </w:r>
    </w:p>
    <w:p w:rsidR="00E77DD6" w:rsidRPr="00C77E77" w:rsidRDefault="00E77DD6" w:rsidP="00E77DD6">
      <w:pPr>
        <w:pStyle w:val="ab"/>
        <w:widowControl/>
        <w:spacing w:beforeLines="50" w:before="180" w:afterLines="50" w:after="180" w:line="500" w:lineRule="exact"/>
        <w:ind w:leftChars="0" w:firstLine="4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的「一帶一路」希望藉由共同建設國際骨幹通道建設，逐步連接亞歐非之間的基礎設施網路，同時藉由增加向鄰國輸出基礎建設的機會，有效提升自身基礎建設產能。中國大陸為了展現實施「一帶一路」基礎設施互聯互通的決心，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月發佈《一帶一路中國企業路線圖》，檢視中央企業進駐「一帶一路」沿線國家的現況。若以建設內容觀察，主要以電力建設、建材生產為主，除了在周邊國家建設的水電相關建設總裝機容量近</w:t>
      </w:r>
      <w:r w:rsidRPr="00C77E77">
        <w:rPr>
          <w:rFonts w:ascii="Times New Roman" w:eastAsia="標楷體" w:hAnsi="Times New Roman" w:cs="Times New Roman"/>
          <w:sz w:val="28"/>
          <w:szCs w:val="28"/>
        </w:rPr>
        <w:t>1,000</w:t>
      </w:r>
      <w:r w:rsidRPr="00C77E77">
        <w:rPr>
          <w:rFonts w:ascii="Times New Roman" w:eastAsia="標楷體" w:hAnsi="Times New Roman" w:cs="Times New Roman"/>
          <w:sz w:val="28"/>
          <w:szCs w:val="28"/>
        </w:rPr>
        <w:t>萬千瓦之外，央企在馬來西亞、柬埔寨、蒙古等亦有鋼材、水泥、玻璃等建材生産線，並以水泥技術工程及裝備全球市場佔有率達到</w:t>
      </w:r>
      <w:r w:rsidRPr="00C77E77">
        <w:rPr>
          <w:rFonts w:ascii="Times New Roman" w:eastAsia="標楷體" w:hAnsi="Times New Roman" w:cs="Times New Roman"/>
          <w:sz w:val="28"/>
          <w:szCs w:val="28"/>
        </w:rPr>
        <w:t>45</w:t>
      </w:r>
      <w:r w:rsidRPr="00C77E77">
        <w:rPr>
          <w:rFonts w:ascii="Times New Roman" w:eastAsia="標楷體" w:hAnsi="Times New Roman" w:cs="Times New Roman"/>
          <w:sz w:val="28"/>
          <w:szCs w:val="28"/>
        </w:rPr>
        <w:t>％以上為最多。</w:t>
      </w:r>
    </w:p>
    <w:p w:rsidR="00E77DD6" w:rsidRPr="00C77E77" w:rsidRDefault="00E77DD6" w:rsidP="0001327A">
      <w:pPr>
        <w:pStyle w:val="ab"/>
        <w:widowControl/>
        <w:numPr>
          <w:ilvl w:val="0"/>
          <w:numId w:val="133"/>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「一帶一路」之影響評估與政策建議</w:t>
      </w:r>
    </w:p>
    <w:p w:rsidR="00E77DD6" w:rsidRPr="00C77E77" w:rsidRDefault="00E77DD6" w:rsidP="0001327A">
      <w:pPr>
        <w:pStyle w:val="ab"/>
        <w:widowControl/>
        <w:numPr>
          <w:ilvl w:val="0"/>
          <w:numId w:val="135"/>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從「一帶一路」的運作情況區分各國與中國大陸之親疏遠近關係</w:t>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雖然中國大陸試圖用雙邊合作來減少阻力，但許多國家的國內民意仍出現排中的言論。以中南半島的高鐵運作現況來看，可以發現東南亞</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國與南亞</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國對於中國大陸推行「一帶一路」的反應各不相同。總體而言，經濟程度較為落後，在政治上更需要中國大陸支持的緬甸、寮國、柬埔寨、巴基斯坦等國，對於「一帶一路」的態度明顯友好；經濟發展較佳，政治上採取在美中之間避險的泰國、印尼、馬來西亞、新加坡等國則是採取審慎友好的態度；而對中國大陸國力上升充滿疑慮的越南、菲律賓、印度等國，則明顯是採取保留的態度。越南、菲律賓、印度等國，便因為對中國大陸的國力上升充滿疑慮，故在高鐵的選擇上更傾向日本。而面對「一帶一路」的態度也會</w:t>
      </w:r>
      <w:r w:rsidRPr="00C77E77">
        <w:rPr>
          <w:rFonts w:ascii="Times New Roman" w:eastAsia="標楷體" w:hAnsi="Times New Roman" w:cs="Times New Roman"/>
          <w:sz w:val="28"/>
          <w:szCs w:val="28"/>
        </w:rPr>
        <w:lastRenderedPageBreak/>
        <w:t>受到這些國家的內部政治因素影響，如菲律賓在新任總統上臺後，一改過去的親美態度，轉而向中方示好，便是一個從保留態度轉向審慎友好的經典例子。</w:t>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事實上，這種小國對於鄰近大國的疑慮並不限於這幾個國家，其他接受中國大陸高鐵興建案的國家亦有此種疑慮，只是在經濟誘因上不得不進行妥協。就此而論，我國做為強鄰之側的小國，與東南亞及南亞各國同樣對中國大陸的權力上升感到切身之患，在面對中國大陸「大國崛起」、強勢輸出高鐵外交的同時，亦應積極發展與東南亞及南亞各國的實質關係。由於我國長年以來的經貿實力發展，以及臺灣位於東亞海空運中樞地位，在區域經貿上原本即應該扮演重要的角色。尤其臺商在區域與全球仍是活躍的，不僅逐漸創造與發展品牌，也以國際代工者的角色在產業界創造出藍海空間，成為國際產業鏈中重要的一環。我國應該善用此一優勢，透過與全球及區域的綿密產業供需鏈，在強化兩岸經貿發展的同時，掌握我國與東南亞及南亞區域進一步發展的契機。</w:t>
      </w:r>
    </w:p>
    <w:p w:rsidR="00E77DD6" w:rsidRPr="00C77E77" w:rsidRDefault="00E77DD6" w:rsidP="0001327A">
      <w:pPr>
        <w:pStyle w:val="ab"/>
        <w:widowControl/>
        <w:numPr>
          <w:ilvl w:val="0"/>
          <w:numId w:val="135"/>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系統整合方面有部分競爭、部分合作的關係。</w:t>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在我國十大系統輸出中，中國大陸的一帶一路戰略與我國的新南向政策，將會出現部分產業競爭、部分產業合作的競合關係。大陸在太陽光電、</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照明光電及電動車上，便有相當強勁的競爭優勢，在整個綠能產業上，由於兩岸的產業結構類似，無論是針對東南亞及南亞此一新興市場之貿易輸出或投資設廠，恐怕皆是競爭多於合作。而且中國大陸又有東協</w:t>
      </w:r>
      <w:r w:rsidRPr="00C77E77">
        <w:rPr>
          <w:rFonts w:ascii="Times New Roman" w:eastAsia="標楷體" w:hAnsi="Times New Roman" w:cs="Times New Roman"/>
          <w:sz w:val="28"/>
          <w:szCs w:val="28"/>
        </w:rPr>
        <w:t>10+1</w:t>
      </w:r>
      <w:r w:rsidRPr="00C77E77">
        <w:rPr>
          <w:rFonts w:ascii="Times New Roman" w:eastAsia="標楷體" w:hAnsi="Times New Roman" w:cs="Times New Roman"/>
          <w:sz w:val="28"/>
          <w:szCs w:val="28"/>
        </w:rPr>
        <w:t>等關稅優勢，對於我國產業的市場進入更為不利，更遑論如太陽光電、電動汽車等產業，中國大陸產業的商品本身就比我國產業的商品更具競爭力。</w:t>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但是，在電子商務、新農業部分，基本上與中國大陸的「一帶一路」政策並無牴觸之處，另外我國在電子化政府、智慧校園、智慧醫療等產業上又明顯較中國大陸更有競爭優勢，未來不但能推向中國大陸，更應擴展至東南亞及南亞等新興市場，發展實質合作。</w:t>
      </w:r>
    </w:p>
    <w:p w:rsidR="00E77DD6" w:rsidRPr="00C77E77" w:rsidRDefault="00E77DD6" w:rsidP="0001327A">
      <w:pPr>
        <w:pStyle w:val="ab"/>
        <w:widowControl/>
        <w:numPr>
          <w:ilvl w:val="0"/>
          <w:numId w:val="135"/>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lastRenderedPageBreak/>
        <w:t>「一帶一路」與新南向政策並非互斥的零和競爭，可積極合作</w:t>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兩岸雙方皆在不同程度上意識到東南亞及南亞此一新興市場的重要性，故提出類似的政策戰略，加強在東南亞及南亞的布局。兩岸在基礎建設的工程上仍有相當大的合作空間，我國雖然有許多大型建設之興建經驗，但由於量體有限，若要試圖單獨承攬一個大型工程，恐怕仍是力有未逮。舉例而言，印尼首都雅加達的捷運興建工程，便是由日本三井住友建設承造，但在實際施工部分，由於印尼勞工缺乏操作打通捷運地底隧道的潛盾機的相關技能；而臺灣一些公司在建設臺北捷運及高雄捷運時累積豐富經驗。因此，日本企業找上擁有豐富捷運建設經驗的臺灣孟韋工程有限公司參與雅加達捷運建造。</w:t>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類似</w:t>
      </w:r>
      <w:r w:rsidR="008B3CB4" w:rsidRPr="00C77E77">
        <w:rPr>
          <w:rFonts w:ascii="Times New Roman" w:eastAsia="標楷體" w:hAnsi="Times New Roman" w:cs="Times New Roman"/>
          <w:sz w:val="28"/>
          <w:szCs w:val="28"/>
        </w:rPr>
        <w:t>的合作模式是否可以複製至中國大陸在東南亞及南亞地區的高鐵外交，</w:t>
      </w:r>
      <w:r w:rsidRPr="00C77E77">
        <w:rPr>
          <w:rFonts w:ascii="Times New Roman" w:eastAsia="標楷體" w:hAnsi="Times New Roman" w:cs="Times New Roman"/>
          <w:sz w:val="28"/>
          <w:szCs w:val="28"/>
        </w:rPr>
        <w:t>值得進一步的思考與規劃。例如中國大陸在承攬「一帶一路」之高鐵興建案時，可將部分工程分包由臺灣公司來承攬，或者由臺灣的企業來提供鋼材或水泥等基礎建材，抑或是由臺灣來提供通訊零件等中間商品。臺灣有雪山隧道、高鐵、五楊高架、雪山隧道等大型公共工程經驗，也累積了許多承包基礎建設的能力及能量，實應利用此次一帶一路商機，配合亞投行之設立，結合過往兩岸經濟合作模式，協助臺灣工程運用一帶一路商機走出國際，持續累積承作大型基礎建設能力，進一步擴大臺灣承攬國際工程的能量與籌碼。</w:t>
      </w:r>
    </w:p>
    <w:p w:rsidR="00E77DD6" w:rsidRPr="00C77E77" w:rsidRDefault="00E77DD6" w:rsidP="000B7C94">
      <w:pPr>
        <w:widowControl/>
        <w:spacing w:beforeLines="50" w:before="180" w:afterLines="50" w:after="180" w:line="500" w:lineRule="exact"/>
        <w:ind w:firstLine="36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兩岸亦可合作開發印度市場，因為印度對於中國大陸存有相當程度的疑慮，不信任中國大陸的手機晶片，</w:t>
      </w:r>
      <w:r w:rsidRPr="00C77E77">
        <w:rPr>
          <w:rFonts w:ascii="Times New Roman" w:eastAsia="標楷體" w:hAnsi="Times New Roman" w:cs="Times New Roman"/>
          <w:color w:val="000000" w:themeColor="text1"/>
          <w:sz w:val="28"/>
          <w:szCs w:val="28"/>
        </w:rPr>
        <w:t>恐怕有資安問題，再加上印度本身的保護主義盛行，外國要打入當地市場不易。</w:t>
      </w:r>
      <w:r w:rsidR="000B7C94" w:rsidRPr="00C77E77">
        <w:rPr>
          <w:rFonts w:ascii="Times New Roman" w:eastAsia="標楷體" w:hAnsi="Times New Roman" w:cs="Times New Roman"/>
          <w:color w:val="000000" w:themeColor="text1"/>
          <w:sz w:val="28"/>
          <w:szCs w:val="28"/>
        </w:rPr>
        <w:t>臺灣除可考量自行開發印度的手機市場以外，也可以在印度發展兩岸手機產業鏈的分工生產模式，由</w:t>
      </w:r>
      <w:r w:rsidR="00E524DA" w:rsidRPr="00C77E77">
        <w:rPr>
          <w:rFonts w:ascii="Times New Roman" w:eastAsia="標楷體" w:hAnsi="Times New Roman" w:cs="Times New Roman"/>
          <w:color w:val="000000" w:themeColor="text1"/>
          <w:sz w:val="28"/>
          <w:szCs w:val="28"/>
        </w:rPr>
        <w:t>臺</w:t>
      </w:r>
      <w:r w:rsidR="000B7C94" w:rsidRPr="00C77E77">
        <w:rPr>
          <w:rFonts w:ascii="Times New Roman" w:eastAsia="標楷體" w:hAnsi="Times New Roman" w:cs="Times New Roman"/>
          <w:color w:val="000000" w:themeColor="text1"/>
          <w:sz w:val="28"/>
          <w:szCs w:val="28"/>
        </w:rPr>
        <w:t>灣在當地負責半導體和晶片技術，並由</w:t>
      </w:r>
      <w:r w:rsidRPr="00C77E77">
        <w:rPr>
          <w:rFonts w:ascii="Times New Roman" w:eastAsia="標楷體" w:hAnsi="Times New Roman" w:cs="Times New Roman"/>
          <w:color w:val="000000" w:themeColor="text1"/>
          <w:sz w:val="28"/>
          <w:szCs w:val="28"/>
        </w:rPr>
        <w:t>中國大陸在當地組裝。</w:t>
      </w:r>
    </w:p>
    <w:p w:rsidR="00E77DD6" w:rsidRPr="00C77E77" w:rsidRDefault="00FD0D5A" w:rsidP="0001327A">
      <w:pPr>
        <w:pStyle w:val="ab"/>
        <w:widowControl/>
        <w:numPr>
          <w:ilvl w:val="0"/>
          <w:numId w:val="135"/>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臺</w:t>
      </w:r>
      <w:r w:rsidR="00E77DD6" w:rsidRPr="00C77E77">
        <w:rPr>
          <w:rFonts w:ascii="Times New Roman" w:eastAsia="標楷體" w:hAnsi="Times New Roman" w:cs="Times New Roman"/>
          <w:b/>
          <w:sz w:val="28"/>
          <w:szCs w:val="28"/>
        </w:rPr>
        <w:t>灣比中國更富有優勢的其它產業</w:t>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穆迪認為印度要轉型，必須將農業人口移到製造業，但印度沒有技術，所以擬了</w:t>
      </w:r>
      <w:r w:rsidRPr="00C77E77">
        <w:rPr>
          <w:rFonts w:ascii="Times New Roman" w:eastAsia="標楷體" w:hAnsi="Times New Roman" w:cs="Times New Roman"/>
          <w:sz w:val="28"/>
          <w:szCs w:val="28"/>
        </w:rPr>
        <w:t>made in India</w:t>
      </w:r>
      <w:r w:rsidRPr="00C77E77">
        <w:rPr>
          <w:rFonts w:ascii="Times New Roman" w:eastAsia="標楷體" w:hAnsi="Times New Roman" w:cs="Times New Roman"/>
          <w:sz w:val="28"/>
          <w:szCs w:val="28"/>
        </w:rPr>
        <w:t>，歡迎各國來印度製造。印度外匯赤字第一大為石油、第二大為黃金、第三大屬</w:t>
      </w:r>
      <w:r w:rsidRPr="00C77E77">
        <w:rPr>
          <w:rFonts w:ascii="Times New Roman" w:eastAsia="標楷體" w:hAnsi="Times New Roman" w:cs="Times New Roman"/>
          <w:sz w:val="28"/>
          <w:szCs w:val="28"/>
        </w:rPr>
        <w:t>ICT</w:t>
      </w:r>
      <w:r w:rsidRPr="00C77E77">
        <w:rPr>
          <w:rFonts w:ascii="Times New Roman" w:eastAsia="標楷體" w:hAnsi="Times New Roman" w:cs="Times New Roman"/>
          <w:sz w:val="28"/>
          <w:szCs w:val="28"/>
        </w:rPr>
        <w:t>產品，印度決定從第三個開始解決，韓、日、中技術都不錯，但韓日有自己的體系，不大外售別人，而印度和中國大陸有邊境問題，關係較緊張，所以穆迪認為臺灣是他的最佳夥伴。臺灣的</w:t>
      </w:r>
      <w:r w:rsidRPr="00C77E77">
        <w:rPr>
          <w:rFonts w:ascii="Times New Roman" w:eastAsia="標楷體" w:hAnsi="Times New Roman" w:cs="Times New Roman"/>
          <w:sz w:val="28"/>
          <w:szCs w:val="28"/>
        </w:rPr>
        <w:t xml:space="preserve">ICT </w:t>
      </w:r>
      <w:r w:rsidRPr="00C77E77">
        <w:rPr>
          <w:rFonts w:ascii="Times New Roman" w:eastAsia="標楷體" w:hAnsi="Times New Roman" w:cs="Times New Roman"/>
          <w:sz w:val="28"/>
          <w:szCs w:val="28"/>
        </w:rPr>
        <w:t>解決方案在印度有口碑，但因為印度人軟體方面不錯，若是能將硬體搭配軟體就可以進行整套輸出。</w:t>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另外，印度在</w:t>
      </w:r>
      <w:r w:rsidRPr="00C77E77">
        <w:rPr>
          <w:rFonts w:ascii="Times New Roman" w:eastAsia="標楷體" w:hAnsi="Times New Roman" w:cs="Times New Roman"/>
          <w:sz w:val="28"/>
          <w:szCs w:val="28"/>
        </w:rPr>
        <w:t>33</w:t>
      </w:r>
      <w:r w:rsidRPr="00C77E77">
        <w:rPr>
          <w:rFonts w:ascii="Times New Roman" w:eastAsia="標楷體" w:hAnsi="Times New Roman" w:cs="Times New Roman"/>
          <w:sz w:val="28"/>
          <w:szCs w:val="28"/>
        </w:rPr>
        <w:t>個城市推</w:t>
      </w:r>
      <w:r w:rsidRPr="00C77E77">
        <w:rPr>
          <w:rFonts w:ascii="Times New Roman" w:eastAsia="標楷體" w:hAnsi="Times New Roman" w:cs="Times New Roman"/>
          <w:sz w:val="28"/>
          <w:szCs w:val="28"/>
        </w:rPr>
        <w:t>smart city</w:t>
      </w:r>
      <w:r w:rsidRPr="00C77E77">
        <w:rPr>
          <w:rFonts w:ascii="Times New Roman" w:eastAsia="標楷體" w:hAnsi="Times New Roman" w:cs="Times New Roman"/>
          <w:sz w:val="28"/>
          <w:szCs w:val="28"/>
        </w:rPr>
        <w:t>，業者把裡面的發展項目篩選成最有發展潛力的</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個產業，包括：智慧監控、智慧路燈、無線網路、國防安全、環保衛生。這</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個產業不需要跟中國大陸推的基礎建設競爭，所以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灣是非常有機會的。印度的軍用品還相當落後，很多都是跟以色列購買的。印度不可能跟中國大陸在國防安全產業方面有所合作，就算是一般民用的水壩，也不可能跟大陸合作。而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灣因為不會造成威脅或不安，所以可以去談像是對講機、軍床等的外銷或技術轉移。另外，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灣也應該每年都去參加國防安全展以增加瞭解。</w:t>
      </w:r>
      <w:r w:rsidRPr="00C77E77">
        <w:rPr>
          <w:rStyle w:val="a9"/>
          <w:rFonts w:ascii="Times New Roman" w:eastAsia="標楷體" w:hAnsi="Times New Roman" w:cs="Times New Roman"/>
          <w:sz w:val="28"/>
          <w:szCs w:val="28"/>
        </w:rPr>
        <w:footnoteReference w:id="163"/>
      </w:r>
    </w:p>
    <w:p w:rsidR="00E77DD6" w:rsidRPr="00C77E77" w:rsidRDefault="00E77DD6" w:rsidP="00E77DD6">
      <w:pPr>
        <w:widowControl/>
        <w:spacing w:beforeLines="50" w:before="180" w:afterLines="50" w:after="180" w:line="500" w:lineRule="exact"/>
        <w:ind w:firstLine="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最後，開拓環保衛生產業，將會是可長可遠的合作，</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灣可以協助印度改善生活水平、提升生活素質，例如：淨水系統、公共廁所、垃圾處理、自來水系統等。</w:t>
      </w:r>
    </w:p>
    <w:p w:rsidR="003C3DA7" w:rsidRPr="00C77E77" w:rsidRDefault="003C3DA7" w:rsidP="002E0017">
      <w:pPr>
        <w:widowControl/>
        <w:spacing w:beforeLines="50" w:before="180" w:afterLines="50" w:after="180" w:line="500" w:lineRule="exact"/>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二、新加坡、日本、韓國可供我國借鏡之作法</w:t>
      </w:r>
    </w:p>
    <w:p w:rsidR="00E078C6" w:rsidRPr="00C77E77" w:rsidRDefault="00E078C6" w:rsidP="0001327A">
      <w:pPr>
        <w:pStyle w:val="ab"/>
        <w:widowControl/>
        <w:numPr>
          <w:ilvl w:val="0"/>
          <w:numId w:val="132"/>
        </w:numPr>
        <w:spacing w:before="50" w:after="5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新加坡</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新加坡擁有超過半數之高階技術人力（</w:t>
      </w:r>
      <w:r w:rsidRPr="00C77E77">
        <w:rPr>
          <w:rFonts w:ascii="Times New Roman" w:eastAsia="標楷體" w:hAnsi="Times New Roman" w:cs="Times New Roman"/>
          <w:sz w:val="28"/>
          <w:szCs w:val="28"/>
        </w:rPr>
        <w:t>55</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，該國在人才培養、網羅與留任方面之競爭力，全球排名第二且為亞太地區居冠。受惠於自身戰略性地理位置、政府強力支持以及與亞洲市場之緊密連結，新加坡作為新創公司中心之地位，逐漸受到全球矚目；</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年全球新創公司生態環境排名，新加坡獲得全球排名第十並位居亞洲榜首。同時，擁有具創</w:t>
      </w:r>
      <w:r w:rsidRPr="00C77E77">
        <w:rPr>
          <w:rFonts w:ascii="Times New Roman" w:eastAsia="標楷體" w:hAnsi="Times New Roman" w:cs="Times New Roman"/>
          <w:sz w:val="28"/>
          <w:szCs w:val="28"/>
        </w:rPr>
        <w:lastRenderedPageBreak/>
        <w:t>新能力之人力並具備利於創新之環境，加以政經環境安定、經濟發展穩定，可望促進新加坡於先進製造技術、航空工程、數位經濟、醫藥生技之發展。</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新加坡被譽為世界發展資通訊技術之典範，該國自</w:t>
      </w:r>
      <w:r w:rsidRPr="00C77E77">
        <w:rPr>
          <w:rFonts w:ascii="Times New Roman" w:eastAsia="標楷體" w:hAnsi="Times New Roman" w:cs="Times New Roman"/>
          <w:sz w:val="28"/>
          <w:szCs w:val="28"/>
        </w:rPr>
        <w:t>1981</w:t>
      </w:r>
      <w:r w:rsidRPr="00C77E77">
        <w:rPr>
          <w:rFonts w:ascii="Times New Roman" w:eastAsia="標楷體" w:hAnsi="Times New Roman" w:cs="Times New Roman"/>
          <w:sz w:val="28"/>
          <w:szCs w:val="28"/>
        </w:rPr>
        <w:t>年起發展「國家電腦化、國家資訊化、建設智能島」，截至目前已連續兩年被評選為世界排名第二、亞洲排名第一之最具備網際網絡條件國家，且為當前全球最先進的電信樞紐之一，擁有完善基礎設施及超過</w:t>
      </w:r>
      <w:r w:rsidRPr="00C77E77">
        <w:rPr>
          <w:rFonts w:ascii="Times New Roman" w:eastAsia="標楷體" w:hAnsi="Times New Roman" w:cs="Times New Roman"/>
          <w:sz w:val="28"/>
          <w:szCs w:val="28"/>
        </w:rPr>
        <w:t>6,200</w:t>
      </w:r>
      <w:r w:rsidRPr="00C77E77">
        <w:rPr>
          <w:rFonts w:ascii="Times New Roman" w:eastAsia="標楷體" w:hAnsi="Times New Roman" w:cs="Times New Roman"/>
          <w:sz w:val="28"/>
          <w:szCs w:val="28"/>
        </w:rPr>
        <w:t>個無線熱點，成為發展或推廣新手機科技之理想平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。新加坡於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年啟動「智慧國」計畫，成立「新創天地」（</w:t>
      </w:r>
      <w:r w:rsidRPr="00C77E77">
        <w:rPr>
          <w:rFonts w:ascii="Times New Roman" w:eastAsia="標楷體" w:hAnsi="Times New Roman" w:cs="Times New Roman"/>
          <w:sz w:val="28"/>
          <w:szCs w:val="28"/>
        </w:rPr>
        <w:t>BASH)</w:t>
      </w:r>
      <w:r w:rsidRPr="00C77E77">
        <w:rPr>
          <w:rFonts w:ascii="Times New Roman" w:eastAsia="標楷體" w:hAnsi="Times New Roman" w:cs="Times New Roman"/>
          <w:sz w:val="28"/>
          <w:szCs w:val="28"/>
        </w:rPr>
        <w:t>提供科技新創公司共享辦公空間之交流平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，並成立「異構網」（</w:t>
      </w:r>
      <w:r w:rsidRPr="00C77E77">
        <w:rPr>
          <w:rFonts w:ascii="Times New Roman" w:eastAsia="標楷體" w:hAnsi="Times New Roman" w:cs="Times New Roman"/>
          <w:sz w:val="28"/>
          <w:szCs w:val="28"/>
        </w:rPr>
        <w:t>One-north)</w:t>
      </w:r>
      <w:r w:rsidRPr="00C77E77">
        <w:rPr>
          <w:rFonts w:ascii="Times New Roman" w:eastAsia="標楷體" w:hAnsi="Times New Roman" w:cs="Times New Roman"/>
          <w:sz w:val="28"/>
          <w:szCs w:val="28"/>
        </w:rPr>
        <w:t>實驗室以確保使用者之行動網路與無線網路轉換順暢，朝向建構新一代智慧島邁進。</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綜上，新加坡在資通訊相關的電子收費、電子化政府、智慧校園、智慧物流與智慧健康照護等產業發展上，具備東南亞翹楚之競爭力，與臺灣實力旗鼓相當。</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新加坡政府已於</w:t>
      </w:r>
      <w:r w:rsidRPr="00C77E77">
        <w:rPr>
          <w:rFonts w:ascii="Times New Roman" w:eastAsia="標楷體" w:hAnsi="Times New Roman" w:cs="Times New Roman"/>
          <w:sz w:val="28"/>
          <w:szCs w:val="28"/>
        </w:rPr>
        <w:t>1998</w:t>
      </w:r>
      <w:r w:rsidRPr="00C77E77">
        <w:rPr>
          <w:rFonts w:ascii="Times New Roman" w:eastAsia="標楷體" w:hAnsi="Times New Roman" w:cs="Times New Roman"/>
          <w:sz w:val="28"/>
          <w:szCs w:val="28"/>
        </w:rPr>
        <w:t>年開始實施電子道路定價策略（</w:t>
      </w:r>
      <w:r w:rsidRPr="00C77E77">
        <w:rPr>
          <w:rFonts w:ascii="Times New Roman" w:eastAsia="標楷體" w:hAnsi="Times New Roman" w:cs="Times New Roman"/>
          <w:sz w:val="28"/>
          <w:szCs w:val="28"/>
        </w:rPr>
        <w:t>Electronic Road Pricing, ERP</w:t>
      </w:r>
      <w:r w:rsidRPr="00C77E77">
        <w:rPr>
          <w:rFonts w:ascii="Times New Roman" w:eastAsia="標楷體" w:hAnsi="Times New Roman" w:cs="Times New Roman"/>
          <w:sz w:val="28"/>
          <w:szCs w:val="28"/>
        </w:rPr>
        <w:t>）徵收市街道路的通行費，相當於我國的</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，我國可從</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延伸的其他智慧服務著手與新加坡進行交流。新加坡電子化政府的發展在世界上名列前茅（</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年為全球第一而臺灣為第十），又身為東協一員，再挾帶著地利之便，其在推廣電子化政府產業時相對我國較有優勢。此外，新加坡在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年以投入</w:t>
      </w:r>
      <w:r w:rsidRPr="00C77E77">
        <w:rPr>
          <w:rFonts w:ascii="Times New Roman" w:eastAsia="標楷體" w:hAnsi="Times New Roman" w:cs="Times New Roman"/>
          <w:sz w:val="28"/>
          <w:szCs w:val="28"/>
        </w:rPr>
        <w:t>6,600</w:t>
      </w:r>
      <w:r w:rsidRPr="00C77E77">
        <w:rPr>
          <w:rFonts w:ascii="Times New Roman" w:eastAsia="標楷體" w:hAnsi="Times New Roman" w:cs="Times New Roman"/>
          <w:sz w:val="28"/>
          <w:szCs w:val="28"/>
        </w:rPr>
        <w:t>億美金打造智慧校園，我國可以參考新加坡現行發展之經驗，做為我推廣海外市場之借鏡。新加坡物流系統的建置與通訊網絡聯繫的便利性在亞洲名列前茅，加上作為國際重要轉運港與金融中心，是電商業者進軍亞太市場的理想入口，也是臺灣學習的對象。</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石化產業方面，受惠於絕佳的地理位置及貿易充分自由，新加坡在</w:t>
      </w:r>
      <w:r w:rsidRPr="00C77E77">
        <w:rPr>
          <w:rFonts w:ascii="Times New Roman" w:eastAsia="標楷體" w:hAnsi="Times New Roman" w:cs="Times New Roman"/>
          <w:sz w:val="28"/>
          <w:szCs w:val="28"/>
        </w:rPr>
        <w:t>1980</w:t>
      </w:r>
      <w:r w:rsidRPr="00C77E77">
        <w:rPr>
          <w:rFonts w:ascii="Times New Roman" w:eastAsia="標楷體" w:hAnsi="Times New Roman" w:cs="Times New Roman"/>
          <w:sz w:val="28"/>
          <w:szCs w:val="28"/>
        </w:rPr>
        <w:t>年代早期已成為世界重要的煉油中心，並以填海造陸方式於</w:t>
      </w:r>
      <w:r w:rsidRPr="00C77E77">
        <w:rPr>
          <w:rFonts w:ascii="Times New Roman" w:eastAsia="標楷體" w:hAnsi="Times New Roman" w:cs="Times New Roman"/>
          <w:sz w:val="28"/>
          <w:szCs w:val="28"/>
        </w:rPr>
        <w:t>1995</w:t>
      </w:r>
      <w:r w:rsidRPr="00C77E77">
        <w:rPr>
          <w:rFonts w:ascii="Times New Roman" w:eastAsia="標楷體" w:hAnsi="Times New Roman" w:cs="Times New Roman"/>
          <w:sz w:val="28"/>
          <w:szCs w:val="28"/>
        </w:rPr>
        <w:lastRenderedPageBreak/>
        <w:t>年著手建立裕廊島石化園區，提供完善的基礎設施與管理服務，輔以租稅優惠，允許外資企業對當地工廠擁有</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所有權且利潤全數返還，吸引眾多外國投資者進駐。同時，建立化學加工技術中心及化學工程科學院作為研發中心，支援跨國大企業相互合作，並鼓勵科技人才移民至新加坡，成功吸引跨國廠商進駐。</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相較之下，新加坡已經擁有發展完善的零售業實體店及便利的公共交通，因此新加坡電子商務成長可能是東協國家中成長最慢的，且將面對的挑戰包括：人口老化、勞動市場緊縮、遊客增幅滯緩及營運成本高漲等。</w:t>
      </w:r>
    </w:p>
    <w:p w:rsidR="00E77DD6" w:rsidRPr="00C77E77" w:rsidRDefault="00E77DD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p>
    <w:p w:rsidR="00E078C6" w:rsidRPr="00C77E77" w:rsidRDefault="00E078C6" w:rsidP="0001327A">
      <w:pPr>
        <w:pStyle w:val="ab"/>
        <w:widowControl/>
        <w:numPr>
          <w:ilvl w:val="0"/>
          <w:numId w:val="132"/>
        </w:numPr>
        <w:spacing w:before="50" w:after="50" w:line="500" w:lineRule="exact"/>
        <w:ind w:leftChars="0" w:left="20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日本</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根據日本央行數據顯示，截至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年底，日本對東協國家的投資額較</w:t>
      </w:r>
      <w:r w:rsidRPr="00C77E77">
        <w:rPr>
          <w:rFonts w:ascii="Times New Roman" w:eastAsia="標楷體" w:hAnsi="Times New Roman" w:cs="Times New Roman"/>
          <w:sz w:val="28"/>
          <w:szCs w:val="28"/>
        </w:rPr>
        <w:t>2010</w:t>
      </w:r>
      <w:r w:rsidRPr="00C77E77">
        <w:rPr>
          <w:rFonts w:ascii="Times New Roman" w:eastAsia="標楷體" w:hAnsi="Times New Roman" w:cs="Times New Roman"/>
          <w:sz w:val="28"/>
          <w:szCs w:val="28"/>
        </w:rPr>
        <w:t>年的數據增加了近</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倍之多，約</w:t>
      </w:r>
      <w:r w:rsidRPr="00C77E77">
        <w:rPr>
          <w:rFonts w:ascii="Times New Roman" w:eastAsia="標楷體" w:hAnsi="Times New Roman" w:cs="Times New Roman"/>
          <w:sz w:val="28"/>
          <w:szCs w:val="28"/>
        </w:rPr>
        <w:t>20.1</w:t>
      </w:r>
      <w:r w:rsidRPr="00C77E77">
        <w:rPr>
          <w:rFonts w:ascii="Times New Roman" w:eastAsia="標楷體" w:hAnsi="Times New Roman" w:cs="Times New Roman"/>
          <w:sz w:val="28"/>
          <w:szCs w:val="28"/>
        </w:rPr>
        <w:t>兆日圓（約合</w:t>
      </w:r>
      <w:r w:rsidRPr="00C77E77">
        <w:rPr>
          <w:rFonts w:ascii="Times New Roman" w:eastAsia="標楷體" w:hAnsi="Times New Roman" w:cs="Times New Roman"/>
          <w:sz w:val="28"/>
          <w:szCs w:val="28"/>
        </w:rPr>
        <w:t>1,809</w:t>
      </w:r>
      <w:r w:rsidRPr="00C77E77">
        <w:rPr>
          <w:rFonts w:ascii="Times New Roman" w:eastAsia="標楷體" w:hAnsi="Times New Roman" w:cs="Times New Roman"/>
          <w:sz w:val="28"/>
          <w:szCs w:val="28"/>
        </w:rPr>
        <w:t>億美元），</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年日本對東協</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國的投資額已經連續第</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年超過中國大陸和香港。</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實際的投資方式上，日本以地方政府為核心，與東南亞各國的地方政府及開發商洽商合作，在東南亞開闢專屬的工業園區。而這些工業園區以支援轄內的中小企業為主，創造安全、完善與優惠的租賃條件。例如東京都大田區與川崎市在泰國，琦玉縣、神奈川縣在越南，大阪府在印尼等，地方政府對於中小企業經營投資東南亞的支援，大幅降低了中小企業的風險和成本，也支援了中央政府的工作。</w:t>
      </w:r>
      <w:r w:rsidRPr="00C77E77">
        <w:rPr>
          <w:rFonts w:ascii="Times New Roman" w:eastAsia="標楷體" w:hAnsi="Times New Roman" w:cs="Times New Roman"/>
          <w:sz w:val="28"/>
          <w:szCs w:val="28"/>
        </w:rPr>
        <w:t xml:space="preserve"> </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日資企業對東南亞新興國家的投資，其角色也有所改變：由進佔當地市場，轉為將東協國家作為進軍世界市場的生產基地。即採取在日本做研究開發，東南亞國家生產，然後再銷往美國和歐洲的營運模式。除了製造業以外，消費水準日益增高的新興國家的國內市場，也是日本服務業積極開拓的市場，例如大型零售業、百貨公司，如：伊勢丹、東急、</w:t>
      </w:r>
      <w:r w:rsidRPr="00C77E77">
        <w:rPr>
          <w:rFonts w:ascii="Times New Roman" w:eastAsia="標楷體" w:hAnsi="Times New Roman" w:cs="Times New Roman"/>
          <w:sz w:val="28"/>
          <w:szCs w:val="28"/>
        </w:rPr>
        <w:lastRenderedPageBreak/>
        <w:t>崇光，超級市場八百半、佳速克等，都已在東南亞國家投資。</w:t>
      </w:r>
      <w:r w:rsidRPr="00C77E77">
        <w:rPr>
          <w:rFonts w:ascii="Times New Roman" w:eastAsia="標楷體" w:hAnsi="Times New Roman" w:cs="Times New Roman"/>
          <w:sz w:val="28"/>
          <w:szCs w:val="28"/>
        </w:rPr>
        <w:t xml:space="preserve"> </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時，日本政府也很重視人才的培育。日本政府在泰國設立工業大學，一方面為泰國提升製造業高階人力，另一方面也為自己在泰國的汽車產業培訓人才，甚至還可以解決其國內大專院校教師過剩的問題，是典型的三贏安排。</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我國政府協助企業規劃東協區域布局時，亦可參考日本企業「泰國加</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之做法，不僅止於投資單一東協國家，而是依據不同產品特性進行分散投資：若產品屬性為小巧功能型，投資高價位的馬來西亞及泰國；若屬大量生產之產品，則投資低價位的越南和柬埔寨。以日本運輸機械產業為例，日本企業多將引擎廠房設於泰國而傳動系統廠房設於菲律賓，善用東協各國彼此零組件免關稅或低關稅之優勢，集中零組件生產據點，建構運輸機械產業相互供給的生產體制。</w:t>
      </w:r>
      <w:r w:rsidRPr="00C77E77">
        <w:rPr>
          <w:rStyle w:val="a9"/>
          <w:rFonts w:ascii="Times New Roman" w:eastAsia="標楷體" w:hAnsi="Times New Roman" w:cs="Times New Roman"/>
          <w:sz w:val="28"/>
          <w:szCs w:val="28"/>
        </w:rPr>
        <w:footnoteReference w:id="164"/>
      </w:r>
    </w:p>
    <w:p w:rsidR="00E078C6" w:rsidRPr="00C77E77" w:rsidRDefault="00E078C6" w:rsidP="0001327A">
      <w:pPr>
        <w:pStyle w:val="ab"/>
        <w:widowControl/>
        <w:numPr>
          <w:ilvl w:val="0"/>
          <w:numId w:val="132"/>
        </w:numPr>
        <w:spacing w:before="50" w:after="50" w:line="500" w:lineRule="exact"/>
        <w:ind w:leftChars="0" w:left="20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韓國</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東南亞是韓國在亞洲僅次中國大陸的第二大投資區。短短幾年，韓國大舉進軍，在東南亞的投資從電子、造船到煉鋼。</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韓國的經濟策略是與外交戰略結合在一起，係以韓國資金影響東南亞局勢。例如，</w:t>
      </w:r>
      <w:r w:rsidRPr="00C77E77">
        <w:rPr>
          <w:rFonts w:ascii="Times New Roman" w:eastAsia="標楷體" w:hAnsi="Times New Roman" w:cs="Times New Roman"/>
          <w:sz w:val="28"/>
          <w:szCs w:val="28"/>
        </w:rPr>
        <w:t>1997</w:t>
      </w:r>
      <w:r w:rsidRPr="00C77E77">
        <w:rPr>
          <w:rFonts w:ascii="Times New Roman" w:eastAsia="標楷體" w:hAnsi="Times New Roman" w:cs="Times New Roman"/>
          <w:sz w:val="28"/>
          <w:szCs w:val="28"/>
        </w:rPr>
        <w:t>年後韓國對柬國的援助日益增加，至今韓國已在柬埔寨四號公路邊建設大型造鎮計劃。韓國浦項鋼廠（</w:t>
      </w:r>
      <w:r w:rsidRPr="00C77E77">
        <w:rPr>
          <w:rFonts w:ascii="Times New Roman" w:eastAsia="標楷體" w:hAnsi="Times New Roman" w:cs="Times New Roman"/>
          <w:sz w:val="28"/>
          <w:szCs w:val="28"/>
        </w:rPr>
        <w:t>Posco</w:t>
      </w:r>
      <w:r w:rsidRPr="00C77E77">
        <w:rPr>
          <w:rFonts w:ascii="Times New Roman" w:eastAsia="標楷體" w:hAnsi="Times New Roman" w:cs="Times New Roman"/>
          <w:sz w:val="28"/>
          <w:szCs w:val="28"/>
        </w:rPr>
        <w:t>）、大宇汽車等在越南的投資的投資金額亦非常可觀，涵蓋西湖的都市計劃案、電廠、造船廠、油田開發等。其它如菲律賓也得到韓援，由韓國外交部下的國際協力團</w:t>
      </w:r>
      <w:r w:rsidRPr="00C77E77">
        <w:rPr>
          <w:rFonts w:ascii="Times New Roman" w:eastAsia="標楷體" w:hAnsi="Times New Roman" w:cs="Times New Roman"/>
          <w:sz w:val="28"/>
          <w:szCs w:val="28"/>
        </w:rPr>
        <w:t>KOICA</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Korea International Cooperation Agency</w:t>
      </w:r>
      <w:r w:rsidRPr="00C77E77">
        <w:rPr>
          <w:rFonts w:ascii="Times New Roman" w:eastAsia="標楷體" w:hAnsi="Times New Roman" w:cs="Times New Roman"/>
          <w:sz w:val="28"/>
          <w:szCs w:val="28"/>
        </w:rPr>
        <w:t>）在菲律賓大小島嶼捐助大型醫院、</w:t>
      </w:r>
      <w:r w:rsidRPr="00C77E77">
        <w:rPr>
          <w:rFonts w:ascii="Times New Roman" w:eastAsia="標楷體" w:hAnsi="Times New Roman" w:cs="Times New Roman"/>
          <w:sz w:val="28"/>
          <w:szCs w:val="28"/>
        </w:rPr>
        <w:t>IT Center</w:t>
      </w:r>
      <w:r w:rsidRPr="00C77E77">
        <w:rPr>
          <w:rFonts w:ascii="Times New Roman" w:eastAsia="標楷體" w:hAnsi="Times New Roman" w:cs="Times New Roman"/>
          <w:sz w:val="28"/>
          <w:szCs w:val="28"/>
        </w:rPr>
        <w:t>、職業訓練所、機場與道路。</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0"/>
          <w:szCs w:val="20"/>
          <w:vertAlign w:val="superscript"/>
        </w:rPr>
      </w:pPr>
      <w:r w:rsidRPr="00C77E77">
        <w:rPr>
          <w:rFonts w:ascii="Times New Roman" w:eastAsia="標楷體" w:hAnsi="Times New Roman" w:cs="Times New Roman"/>
          <w:sz w:val="28"/>
          <w:szCs w:val="28"/>
        </w:rPr>
        <w:t>同時，韓國也投入巨大資金瞄準東南亞龐大的內需市場，在東南亞隨處可見韓國產品的巨大廣告牌，從消費類電子產品的三星手機、</w:t>
      </w:r>
      <w:r w:rsidRPr="00C77E77">
        <w:rPr>
          <w:rFonts w:ascii="Times New Roman" w:eastAsia="標楷體" w:hAnsi="Times New Roman" w:cs="Times New Roman"/>
          <w:sz w:val="28"/>
          <w:szCs w:val="28"/>
        </w:rPr>
        <w:t>LG</w:t>
      </w:r>
      <w:r w:rsidRPr="00C77E77">
        <w:rPr>
          <w:rFonts w:ascii="Times New Roman" w:eastAsia="標楷體" w:hAnsi="Times New Roman" w:cs="Times New Roman"/>
          <w:sz w:val="28"/>
          <w:szCs w:val="28"/>
        </w:rPr>
        <w:t>空</w:t>
      </w:r>
      <w:r w:rsidRPr="00C77E77">
        <w:rPr>
          <w:rFonts w:ascii="Times New Roman" w:eastAsia="標楷體" w:hAnsi="Times New Roman" w:cs="Times New Roman"/>
          <w:sz w:val="28"/>
          <w:szCs w:val="28"/>
        </w:rPr>
        <w:lastRenderedPageBreak/>
        <w:t>調、現代汽車到電視、電冰箱和洗衣機，將韓國產品塑造成為身分地位的象徵。</w:t>
      </w:r>
      <w:r w:rsidRPr="00C77E77">
        <w:rPr>
          <w:rFonts w:ascii="Times New Roman" w:hAnsi="Times New Roman" w:cs="Times New Roman"/>
          <w:sz w:val="20"/>
          <w:szCs w:val="20"/>
          <w:vertAlign w:val="superscript"/>
        </w:rPr>
        <w:footnoteReference w:id="165"/>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如今，東南亞已成為韓國實施軟實力外交的重要區域。</w:t>
      </w:r>
      <w:r w:rsidRPr="00C77E77">
        <w:rPr>
          <w:rFonts w:ascii="Times New Roman" w:eastAsia="標楷體" w:hAnsi="Times New Roman" w:cs="Times New Roman"/>
          <w:sz w:val="28"/>
          <w:szCs w:val="28"/>
        </w:rPr>
        <w:t>1994</w:t>
      </w:r>
      <w:r w:rsidRPr="00C77E77">
        <w:rPr>
          <w:rFonts w:ascii="Times New Roman" w:eastAsia="標楷體" w:hAnsi="Times New Roman" w:cs="Times New Roman"/>
          <w:sz w:val="28"/>
          <w:szCs w:val="28"/>
        </w:rPr>
        <w:t>年韓國政府提出把發展文化外交作為其「世界化」戰略的重要支撐。</w:t>
      </w:r>
      <w:r w:rsidRPr="00C77E77">
        <w:rPr>
          <w:rFonts w:ascii="Times New Roman" w:eastAsia="標楷體" w:hAnsi="Times New Roman" w:cs="Times New Roman"/>
          <w:sz w:val="28"/>
          <w:szCs w:val="28"/>
        </w:rPr>
        <w:t>1998</w:t>
      </w:r>
      <w:r w:rsidRPr="00C77E77">
        <w:rPr>
          <w:rFonts w:ascii="Times New Roman" w:eastAsia="標楷體" w:hAnsi="Times New Roman" w:cs="Times New Roman"/>
          <w:sz w:val="28"/>
          <w:szCs w:val="28"/>
        </w:rPr>
        <w:t>年韓國提出「文化立國」戰略，文化外交更富進取性，並由美歐等西方國家進一步向亞洲國家擴展，著力打造「文化韓國」形象。</w:t>
      </w:r>
      <w:r w:rsidRPr="00C77E77">
        <w:rPr>
          <w:rFonts w:ascii="Times New Roman" w:hAnsi="Times New Roman" w:cs="Times New Roman"/>
          <w:vertAlign w:val="superscript"/>
        </w:rPr>
        <w:footnoteReference w:id="166"/>
      </w:r>
      <w:r w:rsidRPr="00C77E77">
        <w:rPr>
          <w:rFonts w:ascii="Times New Roman" w:eastAsia="標楷體" w:hAnsi="Times New Roman" w:cs="Times New Roman"/>
          <w:sz w:val="28"/>
          <w:szCs w:val="28"/>
        </w:rPr>
        <w:t>李明博曾聲稱，要將韓國的利益與「人類共同的價值觀」相結合，「讓韓國成為向世界輸出新價值的一流發達國家」。</w:t>
      </w:r>
      <w:r w:rsidRPr="00C77E77">
        <w:rPr>
          <w:rFonts w:ascii="Times New Roman" w:hAnsi="Times New Roman" w:cs="Times New Roman"/>
          <w:vertAlign w:val="superscript"/>
        </w:rPr>
        <w:footnoteReference w:id="167"/>
      </w:r>
      <w:r w:rsidRPr="00C77E77">
        <w:rPr>
          <w:rFonts w:ascii="Times New Roman" w:eastAsia="標楷體" w:hAnsi="Times New Roman" w:cs="Times New Roman"/>
          <w:sz w:val="28"/>
          <w:szCs w:val="28"/>
        </w:rPr>
        <w:t>韓國對東南亞的軟實力外交還包括體育外交，韓國傳統的跆拳道等體育項目使東南亞國家深切感受到韓國作為新興工業化國家的活力。傳統文化與現代因素的結合，使得近年來以韓國影視劇為代表的流行文化在東南亞迅速傳播。這種以文化為載體的公共外交，有助於增強東南亞民眾和社會政治精英對於韓國的認知和親近感。</w:t>
      </w:r>
    </w:p>
    <w:p w:rsidR="00E078C6" w:rsidRPr="00C77E77" w:rsidRDefault="00E078C6" w:rsidP="00E078C6">
      <w:pPr>
        <w:pStyle w:val="ab"/>
        <w:spacing w:beforeLines="50" w:before="180" w:afterLines="50" w:after="180" w:line="500" w:lineRule="exact"/>
        <w:ind w:firstLineChars="198" w:firstLine="55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依據日前韓國進出口銀行海外經濟研究所發佈「韓流出口影響分析與金融支援方案」報告，韓國文化產業出口每增加</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美元，可帶動韓國化妝品、汽車等相關商品的出口增加</w:t>
      </w:r>
      <w:r w:rsidRPr="00C77E77">
        <w:rPr>
          <w:rFonts w:ascii="Times New Roman" w:eastAsia="標楷體" w:hAnsi="Times New Roman" w:cs="Times New Roman"/>
          <w:sz w:val="28"/>
          <w:szCs w:val="28"/>
        </w:rPr>
        <w:t>421</w:t>
      </w:r>
      <w:r w:rsidRPr="00C77E77">
        <w:rPr>
          <w:rFonts w:ascii="Times New Roman" w:eastAsia="標楷體" w:hAnsi="Times New Roman" w:cs="Times New Roman"/>
          <w:sz w:val="28"/>
          <w:szCs w:val="28"/>
        </w:rPr>
        <w:t>美元，稱之為「四倍效應」，顯示出影視或音樂所帶來的驚人經濟效益。臺灣可以韓為師，設法再創一波跨產業的「新臺流」。</w:t>
      </w:r>
    </w:p>
    <w:p w:rsidR="003C3DA7" w:rsidRPr="00C77E77" w:rsidRDefault="00D21F60" w:rsidP="002E0017">
      <w:pPr>
        <w:widowControl/>
        <w:spacing w:beforeLines="50" w:before="180" w:afterLines="50" w:after="180" w:line="500" w:lineRule="exact"/>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三、區域整合</w:t>
      </w:r>
      <w:r w:rsidR="003C3DA7" w:rsidRPr="00C77E77">
        <w:rPr>
          <w:rFonts w:ascii="Times New Roman" w:eastAsia="標楷體" w:hAnsi="Times New Roman" w:cs="Times New Roman"/>
          <w:b/>
          <w:sz w:val="28"/>
          <w:szCs w:val="28"/>
        </w:rPr>
        <w:t>趨勢對新南向政策之影響</w:t>
      </w:r>
    </w:p>
    <w:p w:rsidR="003C3DA7" w:rsidRPr="00C77E77" w:rsidRDefault="003C3DA7" w:rsidP="003C3DA7">
      <w:pPr>
        <w:pStyle w:val="ab"/>
        <w:spacing w:line="500" w:lineRule="exact"/>
        <w:ind w:leftChars="0" w:left="0" w:firstLineChars="202" w:firstLine="566"/>
        <w:jc w:val="both"/>
        <w:rPr>
          <w:rFonts w:ascii="Times New Roman" w:eastAsia="標楷體" w:hAnsi="Times New Roman" w:cs="Times New Roman"/>
          <w:sz w:val="28"/>
        </w:rPr>
      </w:pPr>
      <w:r w:rsidRPr="00C77E77">
        <w:rPr>
          <w:rFonts w:ascii="Times New Roman" w:eastAsia="標楷體" w:hAnsi="Times New Roman" w:cs="Times New Roman"/>
          <w:sz w:val="28"/>
        </w:rPr>
        <w:t>亞太地區的區域經濟整合，大致可以分為三個部分，由美國主導的跨太平洋夥伴協定（</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）、由中國大陸與東協主導的區域全面經濟夥伴協定（</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），以及正籌措深化成亞太自由貿易區（</w:t>
      </w:r>
      <w:r w:rsidRPr="00C77E77">
        <w:rPr>
          <w:rFonts w:ascii="Times New Roman" w:eastAsia="標楷體" w:hAnsi="Times New Roman" w:cs="Times New Roman"/>
          <w:sz w:val="28"/>
        </w:rPr>
        <w:t>FTAAP</w:t>
      </w:r>
      <w:r w:rsidRPr="00C77E77">
        <w:rPr>
          <w:rFonts w:ascii="Times New Roman" w:eastAsia="標楷體" w:hAnsi="Times New Roman" w:cs="Times New Roman"/>
          <w:sz w:val="28"/>
        </w:rPr>
        <w:t>）的亞太經濟合作會</w:t>
      </w:r>
      <w:r w:rsidRPr="00C77E77">
        <w:rPr>
          <w:rFonts w:ascii="Times New Roman" w:eastAsia="標楷體" w:hAnsi="Times New Roman" w:cs="Times New Roman"/>
          <w:sz w:val="28"/>
        </w:rPr>
        <w:lastRenderedPageBreak/>
        <w:t>議（</w:t>
      </w:r>
      <w:r w:rsidRPr="00C77E77">
        <w:rPr>
          <w:rFonts w:ascii="Times New Roman" w:eastAsia="標楷體" w:hAnsi="Times New Roman" w:cs="Times New Roman"/>
          <w:sz w:val="28"/>
        </w:rPr>
        <w:t>APEC</w:t>
      </w:r>
      <w:r w:rsidRPr="00C77E77">
        <w:rPr>
          <w:rFonts w:ascii="Times New Roman" w:eastAsia="標楷體" w:hAnsi="Times New Roman" w:cs="Times New Roman"/>
          <w:sz w:val="28"/>
        </w:rPr>
        <w:t>）。</w:t>
      </w:r>
    </w:p>
    <w:p w:rsidR="003C3DA7" w:rsidRPr="00C77E77" w:rsidRDefault="003C3DA7" w:rsidP="003C3DA7">
      <w:pPr>
        <w:pStyle w:val="ab"/>
        <w:spacing w:line="500" w:lineRule="exact"/>
        <w:ind w:leftChars="0" w:left="0" w:firstLineChars="202" w:firstLine="566"/>
        <w:jc w:val="both"/>
        <w:rPr>
          <w:rFonts w:ascii="Times New Roman" w:eastAsia="標楷體" w:hAnsi="Times New Roman" w:cs="Times New Roman"/>
          <w:sz w:val="28"/>
        </w:rPr>
      </w:pPr>
      <w:r w:rsidRPr="00C77E77">
        <w:rPr>
          <w:rFonts w:ascii="Times New Roman" w:eastAsia="標楷體" w:hAnsi="Times New Roman" w:cs="Times New Roman"/>
          <w:sz w:val="28"/>
        </w:rPr>
        <w:t>目前，</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的進度暫時領先，於</w:t>
      </w:r>
      <w:r w:rsidRPr="00C77E77">
        <w:rPr>
          <w:rFonts w:ascii="Times New Roman" w:eastAsia="標楷體" w:hAnsi="Times New Roman" w:cs="Times New Roman"/>
          <w:sz w:val="28"/>
        </w:rPr>
        <w:t>2016</w:t>
      </w:r>
      <w:r w:rsidRPr="00C77E77">
        <w:rPr>
          <w:rFonts w:ascii="Times New Roman" w:eastAsia="標楷體" w:hAnsi="Times New Roman" w:cs="Times New Roman"/>
          <w:sz w:val="28"/>
        </w:rPr>
        <w:t>年</w:t>
      </w:r>
      <w:r w:rsidRPr="00C77E77">
        <w:rPr>
          <w:rFonts w:ascii="Times New Roman" w:eastAsia="標楷體" w:hAnsi="Times New Roman" w:cs="Times New Roman"/>
          <w:sz w:val="28"/>
        </w:rPr>
        <w:t>2</w:t>
      </w:r>
      <w:r w:rsidRPr="00C77E77">
        <w:rPr>
          <w:rFonts w:ascii="Times New Roman" w:eastAsia="標楷體" w:hAnsi="Times New Roman" w:cs="Times New Roman"/>
          <w:sz w:val="28"/>
        </w:rPr>
        <w:t>月已正式簽署，並等待各國完成國內批准程序。在兩年後，只要占全體會員國</w:t>
      </w:r>
      <w:r w:rsidRPr="00C77E77">
        <w:rPr>
          <w:rFonts w:ascii="Times New Roman" w:eastAsia="標楷體" w:hAnsi="Times New Roman" w:cs="Times New Roman"/>
          <w:sz w:val="28"/>
        </w:rPr>
        <w:t>GDP 85%</w:t>
      </w:r>
      <w:r w:rsidRPr="00C77E77">
        <w:rPr>
          <w:rFonts w:ascii="Times New Roman" w:eastAsia="標楷體" w:hAnsi="Times New Roman" w:cs="Times New Roman"/>
          <w:sz w:val="28"/>
        </w:rPr>
        <w:t>的六個締約國完成批准程序，</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就會自動生效。然而，由於美國的占比為</w:t>
      </w:r>
      <w:r w:rsidRPr="00C77E77">
        <w:rPr>
          <w:rFonts w:ascii="Times New Roman" w:eastAsia="標楷體" w:hAnsi="Times New Roman" w:cs="Times New Roman"/>
          <w:sz w:val="28"/>
        </w:rPr>
        <w:t>60.25%</w:t>
      </w:r>
      <w:r w:rsidRPr="00C77E77">
        <w:rPr>
          <w:rFonts w:ascii="Times New Roman" w:eastAsia="標楷體" w:hAnsi="Times New Roman" w:cs="Times New Roman"/>
          <w:sz w:val="28"/>
        </w:rPr>
        <w:t>，因此美國的態度至為關鍵。由於美國新任總統當選人川普在選舉期間曾明確反對</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，這讓許多人對</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的前景堪憂。</w:t>
      </w:r>
    </w:p>
    <w:p w:rsidR="003C3DA7" w:rsidRPr="00C77E77" w:rsidRDefault="003C3DA7" w:rsidP="003C3DA7">
      <w:pPr>
        <w:pStyle w:val="ab"/>
        <w:spacing w:line="500" w:lineRule="exact"/>
        <w:ind w:leftChars="0" w:left="0" w:firstLineChars="202" w:firstLine="566"/>
        <w:jc w:val="both"/>
        <w:rPr>
          <w:rFonts w:ascii="Times New Roman" w:eastAsia="標楷體" w:hAnsi="Times New Roman" w:cs="Times New Roman"/>
          <w:sz w:val="28"/>
        </w:rPr>
      </w:pPr>
      <w:r w:rsidRPr="00C77E77">
        <w:rPr>
          <w:rFonts w:ascii="Times New Roman" w:eastAsia="標楷體" w:hAnsi="Times New Roman" w:cs="Times New Roman"/>
          <w:sz w:val="28"/>
        </w:rPr>
        <w:t>RCEP</w:t>
      </w:r>
      <w:r w:rsidRPr="00C77E77">
        <w:rPr>
          <w:rFonts w:ascii="Times New Roman" w:eastAsia="標楷體" w:hAnsi="Times New Roman" w:cs="Times New Roman"/>
          <w:sz w:val="28"/>
        </w:rPr>
        <w:t>的進度雖然有所延宕，但整體而言卻比</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的未來更為樂觀，由東協為主體的</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連結了中國大陸、日本、韓國、印度與紐澳。在川普當選之後，許多國家對</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的前景不抱樂觀，紛紛將視野轉向</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。事實上，對</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灣而言，</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的涵蓋面雖然比較大，佔全球</w:t>
      </w:r>
      <w:r w:rsidRPr="00C77E77">
        <w:rPr>
          <w:rFonts w:ascii="Times New Roman" w:eastAsia="標楷體" w:hAnsi="Times New Roman" w:cs="Times New Roman"/>
          <w:sz w:val="28"/>
        </w:rPr>
        <w:t>GDP</w:t>
      </w:r>
      <w:r w:rsidRPr="00C77E77">
        <w:rPr>
          <w:rFonts w:ascii="Times New Roman" w:eastAsia="標楷體" w:hAnsi="Times New Roman" w:cs="Times New Roman"/>
          <w:sz w:val="28"/>
        </w:rPr>
        <w:t>的</w:t>
      </w:r>
      <w:r w:rsidRPr="00C77E77">
        <w:rPr>
          <w:rFonts w:ascii="Times New Roman" w:eastAsia="標楷體" w:hAnsi="Times New Roman" w:cs="Times New Roman"/>
          <w:sz w:val="28"/>
        </w:rPr>
        <w:t>38%</w:t>
      </w:r>
      <w:r w:rsidRPr="00C77E77">
        <w:rPr>
          <w:rFonts w:ascii="Times New Roman" w:eastAsia="標楷體" w:hAnsi="Times New Roman" w:cs="Times New Roman"/>
          <w:sz w:val="28"/>
        </w:rPr>
        <w:t>，但只佔</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灣總貿易額的</w:t>
      </w:r>
      <w:r w:rsidRPr="00C77E77">
        <w:rPr>
          <w:rFonts w:ascii="Times New Roman" w:eastAsia="標楷體" w:hAnsi="Times New Roman" w:cs="Times New Roman"/>
          <w:sz w:val="28"/>
        </w:rPr>
        <w:t>35%</w:t>
      </w:r>
      <w:r w:rsidRPr="00C77E77">
        <w:rPr>
          <w:rFonts w:ascii="Times New Roman" w:eastAsia="標楷體" w:hAnsi="Times New Roman" w:cs="Times New Roman"/>
          <w:sz w:val="28"/>
        </w:rPr>
        <w:t>左右，而</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則佔</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灣總貿易額的</w:t>
      </w:r>
      <w:r w:rsidRPr="00C77E77">
        <w:rPr>
          <w:rFonts w:ascii="Times New Roman" w:eastAsia="標楷體" w:hAnsi="Times New Roman" w:cs="Times New Roman"/>
          <w:sz w:val="28"/>
        </w:rPr>
        <w:t>57%</w:t>
      </w:r>
      <w:r w:rsidRPr="00C77E77">
        <w:rPr>
          <w:rFonts w:ascii="Times New Roman" w:eastAsia="標楷體" w:hAnsi="Times New Roman" w:cs="Times New Roman"/>
          <w:sz w:val="28"/>
        </w:rPr>
        <w:t>左右。</w:t>
      </w:r>
      <w:r w:rsidRPr="00C77E77">
        <w:rPr>
          <w:rStyle w:val="a9"/>
          <w:rFonts w:ascii="Times New Roman" w:eastAsia="標楷體" w:hAnsi="Times New Roman" w:cs="Times New Roman"/>
          <w:sz w:val="28"/>
        </w:rPr>
        <w:footnoteReference w:id="168"/>
      </w:r>
      <w:r w:rsidRPr="00C77E77">
        <w:rPr>
          <w:rFonts w:ascii="Times New Roman" w:eastAsia="標楷體" w:hAnsi="Times New Roman" w:cs="Times New Roman"/>
          <w:sz w:val="28"/>
        </w:rPr>
        <w:t>換言之，加入</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在經濟上對</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灣更為有利。</w:t>
      </w:r>
    </w:p>
    <w:p w:rsidR="003C3DA7" w:rsidRPr="00C77E77" w:rsidRDefault="003C3DA7" w:rsidP="003C3DA7">
      <w:pPr>
        <w:pStyle w:val="ab"/>
        <w:spacing w:line="500" w:lineRule="exact"/>
        <w:ind w:leftChars="0" w:left="0" w:firstLineChars="202" w:firstLine="566"/>
        <w:jc w:val="both"/>
        <w:rPr>
          <w:rFonts w:ascii="Times New Roman" w:eastAsia="標楷體" w:hAnsi="Times New Roman" w:cs="Times New Roman"/>
          <w:sz w:val="28"/>
        </w:rPr>
      </w:pPr>
      <w:r w:rsidRPr="00C77E77">
        <w:rPr>
          <w:rFonts w:ascii="Times New Roman" w:eastAsia="標楷體" w:hAnsi="Times New Roman" w:cs="Times New Roman"/>
          <w:sz w:val="28"/>
        </w:rPr>
        <w:t>值得注意的是，就新南向政策的目標國而言，越南、馬來西亞、新加坡、汶萊、紐西蘭、澳洲這六國是同時加入</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與</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。泰國、寮國、柬埔寨、緬甸、印尼、菲律賓、印度這七國是僅在</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而未在</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中。以新南向政策而論，</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對新南向政策的影響似乎大於</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，因為</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幾乎涵蓋了新南向政策的所有國家，當</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此一區域經貿整合逐漸成形鞏固，則</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灣便會被排除於整個東亞經貿體系之外。在未與新南向政國家家簽署投保協議或</w:t>
      </w:r>
      <w:r w:rsidRPr="00C77E77">
        <w:rPr>
          <w:rFonts w:ascii="Times New Roman" w:eastAsia="標楷體" w:hAnsi="Times New Roman" w:cs="Times New Roman"/>
          <w:sz w:val="28"/>
        </w:rPr>
        <w:t>FTA</w:t>
      </w:r>
      <w:r w:rsidRPr="00C77E77">
        <w:rPr>
          <w:rFonts w:ascii="Times New Roman" w:eastAsia="標楷體" w:hAnsi="Times New Roman" w:cs="Times New Roman"/>
          <w:sz w:val="28"/>
        </w:rPr>
        <w:t>的情況下，光是關稅一項，便讓</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灣在</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經貿體系中處於極為不利的地位。</w:t>
      </w:r>
    </w:p>
    <w:p w:rsidR="003C3DA7" w:rsidRPr="00C77E77" w:rsidRDefault="003C3DA7" w:rsidP="003C3DA7">
      <w:pPr>
        <w:pStyle w:val="ab"/>
        <w:spacing w:line="500" w:lineRule="exact"/>
        <w:ind w:leftChars="0" w:left="0" w:firstLineChars="202" w:firstLine="566"/>
        <w:jc w:val="both"/>
        <w:rPr>
          <w:rFonts w:ascii="Times New Roman" w:eastAsia="標楷體" w:hAnsi="Times New Roman" w:cs="Times New Roman"/>
          <w:sz w:val="28"/>
        </w:rPr>
      </w:pPr>
      <w:r w:rsidRPr="00C77E77">
        <w:rPr>
          <w:rFonts w:ascii="Times New Roman" w:eastAsia="標楷體" w:hAnsi="Times New Roman" w:cs="Times New Roman"/>
          <w:sz w:val="28"/>
        </w:rPr>
        <w:t>然而，</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對新南向政策的影響亦不容忽視。</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被稱為</w:t>
      </w:r>
      <w:r w:rsidRPr="00C77E77">
        <w:rPr>
          <w:rFonts w:ascii="Times New Roman" w:eastAsia="標楷體" w:hAnsi="Times New Roman" w:cs="Times New Roman"/>
          <w:sz w:val="28"/>
        </w:rPr>
        <w:t>21</w:t>
      </w:r>
      <w:r w:rsidRPr="00C77E77">
        <w:rPr>
          <w:rFonts w:ascii="Times New Roman" w:eastAsia="標楷體" w:hAnsi="Times New Roman" w:cs="Times New Roman"/>
          <w:sz w:val="28"/>
        </w:rPr>
        <w:t>世紀高標準、高規格的國際協定，其在許多議題上的開放程度更勝</w:t>
      </w:r>
      <w:r w:rsidRPr="00C77E77">
        <w:rPr>
          <w:rFonts w:ascii="Times New Roman" w:eastAsia="標楷體" w:hAnsi="Times New Roman" w:cs="Times New Roman"/>
          <w:sz w:val="28"/>
        </w:rPr>
        <w:t>WTO</w:t>
      </w:r>
      <w:r w:rsidRPr="00C77E77">
        <w:rPr>
          <w:rFonts w:ascii="Times New Roman" w:eastAsia="標楷體" w:hAnsi="Times New Roman" w:cs="Times New Roman"/>
          <w:sz w:val="28"/>
        </w:rPr>
        <w:t>，而且還有許多超越</w:t>
      </w:r>
      <w:r w:rsidRPr="00C77E77">
        <w:rPr>
          <w:rFonts w:ascii="Times New Roman" w:eastAsia="標楷體" w:hAnsi="Times New Roman" w:cs="Times New Roman"/>
          <w:sz w:val="28"/>
        </w:rPr>
        <w:t>WTO</w:t>
      </w:r>
      <w:r w:rsidRPr="00C77E77">
        <w:rPr>
          <w:rFonts w:ascii="Times New Roman" w:eastAsia="標楷體" w:hAnsi="Times New Roman" w:cs="Times New Roman"/>
          <w:sz w:val="28"/>
        </w:rPr>
        <w:t>的新興議題，在開放議題的深度與廣度超過了</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，而且新南向政策中亦有六個國家加入</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。雖然現在</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的推動似乎受到一點阻礙，但長期而言，</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仍是一個對於我國推動新南向政策的不確定因素。以</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第</w:t>
      </w:r>
      <w:r w:rsidRPr="00C77E77">
        <w:rPr>
          <w:rFonts w:ascii="Times New Roman" w:eastAsia="標楷體" w:hAnsi="Times New Roman" w:cs="Times New Roman"/>
          <w:sz w:val="28"/>
        </w:rPr>
        <w:t>17</w:t>
      </w:r>
      <w:r w:rsidRPr="00C77E77">
        <w:rPr>
          <w:rFonts w:ascii="Times New Roman" w:eastAsia="標楷體" w:hAnsi="Times New Roman" w:cs="Times New Roman"/>
          <w:sz w:val="28"/>
        </w:rPr>
        <w:t>章政府控制事業為例，我國本擬以中鋼、</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船、中油等政府控制</w:t>
      </w:r>
      <w:r w:rsidRPr="00C77E77">
        <w:rPr>
          <w:rFonts w:ascii="Times New Roman" w:eastAsia="標楷體" w:hAnsi="Times New Roman" w:cs="Times New Roman"/>
          <w:sz w:val="28"/>
        </w:rPr>
        <w:lastRenderedPageBreak/>
        <w:t>事業帶頭經營新南向，但如果我國加入</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，那在進入越南、馬來西亞等國時，便會受到</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的相關規範影響，必須排除政府的非商業援助等因素。我國亦須因此調整我國的新南向政策經濟策略。</w:t>
      </w:r>
    </w:p>
    <w:p w:rsidR="003C3DA7" w:rsidRPr="00C77E77" w:rsidRDefault="003C3DA7" w:rsidP="003C3DA7">
      <w:pPr>
        <w:pStyle w:val="ab"/>
        <w:spacing w:line="500" w:lineRule="exact"/>
        <w:ind w:leftChars="0" w:left="0" w:firstLineChars="202" w:firstLine="566"/>
        <w:jc w:val="both"/>
        <w:rPr>
          <w:rFonts w:ascii="Times New Roman" w:eastAsia="標楷體" w:hAnsi="Times New Roman" w:cs="Times New Roman"/>
          <w:sz w:val="28"/>
        </w:rPr>
      </w:pPr>
      <w:r w:rsidRPr="00C77E77">
        <w:rPr>
          <w:rFonts w:ascii="Times New Roman" w:eastAsia="標楷體" w:hAnsi="Times New Roman" w:cs="Times New Roman"/>
          <w:sz w:val="28"/>
        </w:rPr>
        <w:t>最後，關於</w:t>
      </w:r>
      <w:r w:rsidRPr="00C77E77">
        <w:rPr>
          <w:rFonts w:ascii="Times New Roman" w:eastAsia="標楷體" w:hAnsi="Times New Roman" w:cs="Times New Roman"/>
          <w:sz w:val="28"/>
        </w:rPr>
        <w:t>FTAAP</w:t>
      </w:r>
      <w:r w:rsidRPr="00C77E77">
        <w:rPr>
          <w:rFonts w:ascii="Times New Roman" w:eastAsia="標楷體" w:hAnsi="Times New Roman" w:cs="Times New Roman"/>
          <w:sz w:val="28"/>
        </w:rPr>
        <w:t>。</w:t>
      </w:r>
      <w:r w:rsidRPr="00C77E77">
        <w:rPr>
          <w:rFonts w:ascii="Times New Roman" w:eastAsia="標楷體" w:hAnsi="Times New Roman" w:cs="Times New Roman"/>
          <w:sz w:val="28"/>
        </w:rPr>
        <w:t>2014</w:t>
      </w:r>
      <w:r w:rsidRPr="00C77E77">
        <w:rPr>
          <w:rFonts w:ascii="Times New Roman" w:eastAsia="標楷體" w:hAnsi="Times New Roman" w:cs="Times New Roman"/>
          <w:sz w:val="28"/>
        </w:rPr>
        <w:t>年北京</w:t>
      </w:r>
      <w:r w:rsidRPr="00C77E77">
        <w:rPr>
          <w:rFonts w:ascii="Times New Roman" w:eastAsia="標楷體" w:hAnsi="Times New Roman" w:cs="Times New Roman"/>
          <w:sz w:val="28"/>
        </w:rPr>
        <w:t>APEC</w:t>
      </w:r>
      <w:r w:rsidRPr="00C77E77">
        <w:rPr>
          <w:rFonts w:ascii="Times New Roman" w:eastAsia="標楷體" w:hAnsi="Times New Roman" w:cs="Times New Roman"/>
          <w:sz w:val="28"/>
        </w:rPr>
        <w:t>領導人高峰會就啟動</w:t>
      </w:r>
      <w:r w:rsidRPr="00C77E77">
        <w:rPr>
          <w:rFonts w:ascii="Times New Roman" w:eastAsia="標楷體" w:hAnsi="Times New Roman" w:cs="Times New Roman"/>
          <w:sz w:val="28"/>
        </w:rPr>
        <w:t>FTAAP</w:t>
      </w:r>
      <w:r w:rsidRPr="00C77E77">
        <w:rPr>
          <w:rFonts w:ascii="Times New Roman" w:eastAsia="標楷體" w:hAnsi="Times New Roman" w:cs="Times New Roman"/>
          <w:sz w:val="28"/>
        </w:rPr>
        <w:t>的進程達成共識，成為除了</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與</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之外的第三個推動中的亞太經貿區域整合組織。但，與前二者不同的是，由於我國目前已經是</w:t>
      </w:r>
      <w:r w:rsidRPr="00C77E77">
        <w:rPr>
          <w:rFonts w:ascii="Times New Roman" w:eastAsia="標楷體" w:hAnsi="Times New Roman" w:cs="Times New Roman"/>
          <w:sz w:val="28"/>
        </w:rPr>
        <w:t>APEC</w:t>
      </w:r>
      <w:r w:rsidRPr="00C77E77">
        <w:rPr>
          <w:rFonts w:ascii="Times New Roman" w:eastAsia="標楷體" w:hAnsi="Times New Roman" w:cs="Times New Roman"/>
          <w:sz w:val="28"/>
        </w:rPr>
        <w:t>成員，故理所當然應是</w:t>
      </w:r>
      <w:r w:rsidRPr="00C77E77">
        <w:rPr>
          <w:rFonts w:ascii="Times New Roman" w:eastAsia="標楷體" w:hAnsi="Times New Roman" w:cs="Times New Roman"/>
          <w:sz w:val="28"/>
        </w:rPr>
        <w:t>FTAAP</w:t>
      </w:r>
      <w:r w:rsidRPr="00C77E77">
        <w:rPr>
          <w:rFonts w:ascii="Times New Roman" w:eastAsia="標楷體" w:hAnsi="Times New Roman" w:cs="Times New Roman"/>
          <w:sz w:val="28"/>
        </w:rPr>
        <w:t>的創始成員國。同時，</w:t>
      </w:r>
      <w:r w:rsidRPr="00C77E77">
        <w:rPr>
          <w:rFonts w:ascii="Times New Roman" w:eastAsia="標楷體" w:hAnsi="Times New Roman" w:cs="Times New Roman"/>
          <w:sz w:val="28"/>
        </w:rPr>
        <w:t>FTAAP</w:t>
      </w:r>
      <w:r w:rsidRPr="00C77E77">
        <w:rPr>
          <w:rFonts w:ascii="Times New Roman" w:eastAsia="標楷體" w:hAnsi="Times New Roman" w:cs="Times New Roman"/>
          <w:sz w:val="28"/>
        </w:rPr>
        <w:t>不但包含美國、中國大陸、日本、韓國等我國主要貿易國，在新南向政策的目標國中，越南、泰國、馬來西亞、新加坡、汶萊、印尼、菲律賓、紐西蘭、澳洲等九國皆包含在內，惟南亞諸國被排除在外。</w:t>
      </w:r>
    </w:p>
    <w:p w:rsidR="003C3DA7" w:rsidRPr="00C77E77" w:rsidRDefault="003C3DA7" w:rsidP="003C3DA7">
      <w:pPr>
        <w:pStyle w:val="ab"/>
        <w:spacing w:line="500" w:lineRule="exact"/>
        <w:ind w:leftChars="0" w:left="0" w:firstLineChars="202" w:firstLine="566"/>
        <w:jc w:val="both"/>
        <w:rPr>
          <w:rFonts w:ascii="Times New Roman" w:eastAsia="標楷體" w:hAnsi="Times New Roman" w:cs="Times New Roman"/>
          <w:sz w:val="28"/>
        </w:rPr>
      </w:pPr>
      <w:r w:rsidRPr="00C77E77">
        <w:rPr>
          <w:rFonts w:ascii="Times New Roman" w:eastAsia="標楷體" w:hAnsi="Times New Roman" w:cs="Times New Roman"/>
          <w:sz w:val="28"/>
        </w:rPr>
        <w:t>因此，我國應極力爭取加入</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或</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，同時應大力推動</w:t>
      </w:r>
      <w:r w:rsidRPr="00C77E77">
        <w:rPr>
          <w:rFonts w:ascii="Times New Roman" w:eastAsia="標楷體" w:hAnsi="Times New Roman" w:cs="Times New Roman"/>
          <w:sz w:val="28"/>
        </w:rPr>
        <w:t>FTAAP</w:t>
      </w:r>
      <w:r w:rsidRPr="00C77E77">
        <w:rPr>
          <w:rFonts w:ascii="Times New Roman" w:eastAsia="標楷體" w:hAnsi="Times New Roman" w:cs="Times New Roman"/>
          <w:sz w:val="28"/>
        </w:rPr>
        <w:t>的整合進程，以避免我國在亞太經貿區域整合中被邊緣化。</w:t>
      </w:r>
    </w:p>
    <w:p w:rsidR="003C3DA7" w:rsidRPr="00C77E77" w:rsidRDefault="003C3DA7" w:rsidP="003C3DA7">
      <w:pPr>
        <w:pStyle w:val="ab"/>
        <w:spacing w:line="500" w:lineRule="exact"/>
        <w:ind w:leftChars="0" w:left="0" w:firstLineChars="202" w:firstLine="566"/>
        <w:jc w:val="both"/>
        <w:rPr>
          <w:rFonts w:ascii="Times New Roman" w:eastAsia="標楷體" w:hAnsi="Times New Roman" w:cs="Times New Roman"/>
          <w:sz w:val="28"/>
        </w:rPr>
      </w:pPr>
      <w:r w:rsidRPr="00C77E77">
        <w:rPr>
          <w:rFonts w:ascii="Times New Roman" w:eastAsia="標楷體" w:hAnsi="Times New Roman" w:cs="Times New Roman"/>
          <w:sz w:val="28"/>
        </w:rPr>
        <w:t>除了積極參與多邊區域經貿整合組織之外，我國亦可推動與東協國家及印度等國簽訂雙邊投保協議或</w:t>
      </w:r>
      <w:r w:rsidRPr="00C77E77">
        <w:rPr>
          <w:rFonts w:ascii="Times New Roman" w:eastAsia="標楷體" w:hAnsi="Times New Roman" w:cs="Times New Roman"/>
          <w:sz w:val="28"/>
        </w:rPr>
        <w:t>FTA</w:t>
      </w:r>
      <w:r w:rsidRPr="00C77E77">
        <w:rPr>
          <w:rFonts w:ascii="Times New Roman" w:eastAsia="標楷體" w:hAnsi="Times New Roman" w:cs="Times New Roman"/>
          <w:sz w:val="28"/>
        </w:rPr>
        <w:t>，如此對於我國推動新南向政策將有根本上的助益。目前我國僅與新加坡及紐西蘭簽訂</w:t>
      </w:r>
      <w:r w:rsidRPr="00C77E77">
        <w:rPr>
          <w:rFonts w:ascii="Times New Roman" w:eastAsia="標楷體" w:hAnsi="Times New Roman" w:cs="Times New Roman"/>
          <w:sz w:val="28"/>
        </w:rPr>
        <w:t>FTA</w:t>
      </w:r>
      <w:r w:rsidRPr="00C77E77">
        <w:rPr>
          <w:rFonts w:ascii="Times New Roman" w:eastAsia="標楷體" w:hAnsi="Times New Roman" w:cs="Times New Roman"/>
          <w:sz w:val="28"/>
        </w:rPr>
        <w:t>，這使得我國在與東協及印度等國進行雙邊貿易時，往往會受到關稅的阻礙，大幅削減我國產品的市場競爭力，同時也增加了我國企業外移前往當地投資的誘因。因此，除了積極參與多邊的經貿組織外，亦需深化雙邊的交流與合作，尤其是當加入</w:t>
      </w:r>
      <w:r w:rsidRPr="00C77E77">
        <w:rPr>
          <w:rFonts w:ascii="Times New Roman" w:eastAsia="標楷體" w:hAnsi="Times New Roman" w:cs="Times New Roman"/>
          <w:sz w:val="28"/>
        </w:rPr>
        <w:t>RCEP</w:t>
      </w:r>
      <w:r w:rsidRPr="00C77E77">
        <w:rPr>
          <w:rFonts w:ascii="Times New Roman" w:eastAsia="標楷體" w:hAnsi="Times New Roman" w:cs="Times New Roman"/>
          <w:sz w:val="28"/>
        </w:rPr>
        <w:t>或</w:t>
      </w:r>
      <w:r w:rsidRPr="00C77E77">
        <w:rPr>
          <w:rFonts w:ascii="Times New Roman" w:eastAsia="標楷體" w:hAnsi="Times New Roman" w:cs="Times New Roman"/>
          <w:sz w:val="28"/>
        </w:rPr>
        <w:t>TPP</w:t>
      </w:r>
      <w:r w:rsidRPr="00C77E77">
        <w:rPr>
          <w:rFonts w:ascii="Times New Roman" w:eastAsia="標楷體" w:hAnsi="Times New Roman" w:cs="Times New Roman"/>
          <w:sz w:val="28"/>
        </w:rPr>
        <w:t>的談判遭遇困難時，個別的多組雙邊關係強化，更為我國避免被邊緣化的解決之道。</w:t>
      </w:r>
    </w:p>
    <w:p w:rsidR="00ED0B65" w:rsidRPr="00C77E77" w:rsidRDefault="00ED0B65" w:rsidP="002E0017">
      <w:pPr>
        <w:widowControl/>
        <w:spacing w:beforeLines="50" w:before="180" w:afterLines="50" w:after="180" w:line="500" w:lineRule="exact"/>
        <w:rPr>
          <w:rFonts w:ascii="Times New Roman" w:eastAsia="標楷體" w:hAnsi="Times New Roman" w:cs="Times New Roman"/>
          <w:sz w:val="28"/>
          <w:szCs w:val="28"/>
        </w:rPr>
      </w:pPr>
    </w:p>
    <w:p w:rsidR="00ED0B65" w:rsidRPr="00C77E77" w:rsidRDefault="00ED0B65">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3C3DA7" w:rsidRPr="00C77E77" w:rsidRDefault="003C3DA7" w:rsidP="002E0017">
      <w:pPr>
        <w:widowControl/>
        <w:spacing w:beforeLines="50" w:before="180" w:afterLines="50" w:after="180" w:line="500" w:lineRule="exact"/>
        <w:rPr>
          <w:rFonts w:ascii="Times New Roman" w:eastAsia="標楷體" w:hAnsi="Times New Roman" w:cs="Times New Roman"/>
          <w:sz w:val="28"/>
          <w:szCs w:val="28"/>
        </w:rPr>
      </w:pPr>
    </w:p>
    <w:p w:rsidR="00781721" w:rsidRPr="00C77E77" w:rsidRDefault="00781721">
      <w:pPr>
        <w:widowControl/>
        <w:rPr>
          <w:rFonts w:ascii="Times New Roman" w:eastAsia="標楷體" w:hAnsi="Times New Roman" w:cs="Times New Roman"/>
          <w:b/>
          <w:sz w:val="32"/>
          <w:szCs w:val="32"/>
        </w:rPr>
      </w:pPr>
      <w:r w:rsidRPr="00C77E77">
        <w:rPr>
          <w:rFonts w:ascii="Times New Roman" w:eastAsia="標楷體" w:hAnsi="Times New Roman" w:cs="Times New Roman"/>
          <w:b/>
          <w:sz w:val="32"/>
          <w:szCs w:val="32"/>
        </w:rPr>
        <w:br w:type="page"/>
      </w:r>
    </w:p>
    <w:p w:rsidR="004E1F92" w:rsidRPr="00C77E77" w:rsidRDefault="00781721" w:rsidP="00781721">
      <w:pPr>
        <w:pStyle w:val="1"/>
        <w:spacing w:beforeLines="50" w:afterLines="50" w:line="500" w:lineRule="exact"/>
        <w:rPr>
          <w:rFonts w:ascii="Times New Roman" w:eastAsia="標楷體" w:hAnsi="Times New Roman" w:cs="Times New Roman"/>
          <w:sz w:val="36"/>
          <w:szCs w:val="36"/>
        </w:rPr>
      </w:pPr>
      <w:bookmarkStart w:id="169" w:name="_Toc470676327"/>
      <w:r w:rsidRPr="00C77E77">
        <w:rPr>
          <w:rFonts w:ascii="Times New Roman" w:eastAsia="標楷體" w:hAnsi="Times New Roman" w:cs="Times New Roman"/>
          <w:sz w:val="36"/>
          <w:szCs w:val="36"/>
        </w:rPr>
        <w:lastRenderedPageBreak/>
        <w:t>參考資料</w:t>
      </w:r>
      <w:bookmarkEnd w:id="169"/>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Asian Development Bank, 2016. </w:t>
      </w:r>
      <w:r w:rsidRPr="00C77E77">
        <w:rPr>
          <w:rFonts w:ascii="Times New Roman" w:eastAsia="標楷體" w:hAnsi="Times New Roman" w:cs="Times New Roman"/>
          <w:i/>
          <w:sz w:val="28"/>
          <w:szCs w:val="28"/>
        </w:rPr>
        <w:t>Asian Development Outlook 2016: Asia’s Potential Growth</w:t>
      </w:r>
      <w:r w:rsidRPr="00C77E77">
        <w:rPr>
          <w:rFonts w:ascii="Times New Roman" w:eastAsia="標楷體" w:hAnsi="Times New Roman" w:cs="Times New Roman"/>
          <w:sz w:val="28"/>
          <w:szCs w:val="28"/>
        </w:rPr>
        <w:t>. Manila: Asian Development.</w:t>
      </w:r>
    </w:p>
    <w:p w:rsidR="00C7775D" w:rsidRPr="00C77E77" w:rsidRDefault="00C7775D" w:rsidP="00781721">
      <w:pPr>
        <w:spacing w:beforeLines="50" w:before="180" w:afterLines="50" w:after="180" w:line="500" w:lineRule="exact"/>
        <w:ind w:left="426" w:hangingChars="152" w:hanging="426"/>
        <w:rPr>
          <w:rStyle w:val="aa"/>
          <w:rFonts w:ascii="Times New Roman" w:eastAsia="標楷體" w:hAnsi="Times New Roman" w:cs="Times New Roman"/>
          <w:color w:val="auto"/>
          <w:sz w:val="28"/>
          <w:szCs w:val="28"/>
          <w:u w:val="none"/>
        </w:rPr>
      </w:pPr>
      <w:r w:rsidRPr="00C77E77">
        <w:rPr>
          <w:rStyle w:val="aa"/>
          <w:rFonts w:ascii="Times New Roman" w:eastAsia="標楷體" w:hAnsi="Times New Roman" w:cs="Times New Roman"/>
          <w:color w:val="auto"/>
          <w:sz w:val="28"/>
          <w:szCs w:val="28"/>
          <w:u w:val="none"/>
        </w:rPr>
        <w:t>Fan, Chen Cheng, IEK, 2016., “2016 Taiwan Industrial Outlook- Petrochemical Industry”.</w:t>
      </w:r>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Gartnet, 2016. “Gartner Says Public Cloud Services in India Forecast to Reach $1.26 Billion in 2016.” May 5. </w:t>
      </w:r>
      <w:hyperlink r:id="rId73" w:history="1">
        <w:r w:rsidRPr="00C77E77">
          <w:rPr>
            <w:rStyle w:val="aa"/>
            <w:rFonts w:ascii="Times New Roman" w:eastAsia="標楷體" w:hAnsi="Times New Roman" w:cs="Times New Roman"/>
            <w:sz w:val="28"/>
            <w:szCs w:val="28"/>
            <w:u w:val="none"/>
          </w:rPr>
          <w:t>http://www.gartner.com/newsroom/id/3308117</w:t>
        </w:r>
      </w:hyperlink>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IMF, 2016/04. </w:t>
      </w:r>
      <w:r w:rsidRPr="00C77E77">
        <w:rPr>
          <w:rFonts w:ascii="Times New Roman" w:eastAsia="標楷體" w:hAnsi="Times New Roman" w:cs="Times New Roman"/>
          <w:i/>
          <w:sz w:val="28"/>
          <w:szCs w:val="28"/>
        </w:rPr>
        <w:t>Regional Economic Outlook- Asia and Pacific</w:t>
      </w:r>
      <w:r w:rsidRPr="00C77E77">
        <w:rPr>
          <w:rFonts w:ascii="Times New Roman" w:eastAsia="標楷體" w:hAnsi="Times New Roman" w:cs="Times New Roman"/>
          <w:sz w:val="28"/>
          <w:szCs w:val="28"/>
        </w:rPr>
        <w:t>.</w:t>
      </w:r>
    </w:p>
    <w:p w:rsidR="00C7775D" w:rsidRPr="00C77E77" w:rsidRDefault="00C7775D"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iThome 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CIO</w:t>
      </w:r>
      <w:r w:rsidRPr="00C77E77">
        <w:rPr>
          <w:rFonts w:ascii="Times New Roman" w:eastAsia="標楷體" w:hAnsi="Times New Roman" w:cs="Times New Roman"/>
          <w:sz w:val="28"/>
          <w:szCs w:val="28"/>
        </w:rPr>
        <w:t>大調查，</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，雲端採用趨勢分析，</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17</w:t>
      </w:r>
      <w:r w:rsidRPr="00C77E77">
        <w:rPr>
          <w:rFonts w:ascii="Times New Roman" w:eastAsia="標楷體" w:hAnsi="Times New Roman" w:cs="Times New Roman"/>
          <w:sz w:val="28"/>
          <w:szCs w:val="28"/>
        </w:rPr>
        <w:t>日。</w:t>
      </w:r>
      <w:hyperlink r:id="rId74" w:history="1">
        <w:r w:rsidRPr="00C77E77">
          <w:rPr>
            <w:rStyle w:val="aa"/>
            <w:rFonts w:ascii="Times New Roman" w:eastAsia="標楷體" w:hAnsi="Times New Roman" w:cs="Times New Roman"/>
            <w:sz w:val="28"/>
            <w:szCs w:val="28"/>
            <w:u w:val="none"/>
          </w:rPr>
          <w:t>http://www.ithome.com.tw/article/94084</w:t>
        </w:r>
      </w:hyperlink>
    </w:p>
    <w:p w:rsidR="00C7775D" w:rsidRPr="00C77E77" w:rsidRDefault="00C7775D"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LEDinside</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東南亞</w:t>
      </w:r>
      <w:r w:rsidRPr="00C77E77">
        <w:rPr>
          <w:rStyle w:val="aa"/>
          <w:rFonts w:ascii="Times New Roman" w:eastAsia="標楷體" w:hAnsi="Times New Roman" w:cs="Times New Roman"/>
          <w:color w:val="000000" w:themeColor="text1"/>
          <w:sz w:val="28"/>
          <w:szCs w:val="28"/>
          <w:u w:val="none"/>
        </w:rPr>
        <w:t>LED</w:t>
      </w:r>
      <w:r w:rsidRPr="00C77E77">
        <w:rPr>
          <w:rStyle w:val="aa"/>
          <w:rFonts w:ascii="Times New Roman" w:eastAsia="標楷體" w:hAnsi="Times New Roman" w:cs="Times New Roman"/>
          <w:color w:val="000000" w:themeColor="text1"/>
          <w:sz w:val="28"/>
          <w:szCs w:val="28"/>
          <w:u w:val="none"/>
        </w:rPr>
        <w:t>照明市場規模及趨勢分析〉，</w:t>
      </w:r>
      <w:r w:rsidRPr="00C77E77">
        <w:rPr>
          <w:rStyle w:val="aa"/>
          <w:rFonts w:ascii="Times New Roman" w:eastAsia="標楷體" w:hAnsi="Times New Roman" w:cs="Times New Roman"/>
          <w:color w:val="000000" w:themeColor="text1"/>
          <w:sz w:val="28"/>
          <w:szCs w:val="28"/>
          <w:u w:val="none"/>
        </w:rPr>
        <w:t>2016/4/12</w:t>
      </w:r>
      <w:r w:rsidRPr="00C77E77">
        <w:rPr>
          <w:rStyle w:val="aa"/>
          <w:rFonts w:ascii="Times New Roman" w:eastAsia="標楷體" w:hAnsi="Times New Roman" w:cs="Times New Roman"/>
          <w:color w:val="000000" w:themeColor="text1"/>
          <w:sz w:val="28"/>
          <w:szCs w:val="28"/>
          <w:u w:val="none"/>
        </w:rPr>
        <w:t>：</w:t>
      </w:r>
      <w:hyperlink r:id="rId75" w:history="1">
        <w:r w:rsidRPr="00C77E77">
          <w:rPr>
            <w:rStyle w:val="aa"/>
            <w:rFonts w:ascii="Times New Roman" w:eastAsia="標楷體" w:hAnsi="Times New Roman" w:cs="Times New Roman"/>
            <w:sz w:val="28"/>
            <w:szCs w:val="28"/>
            <w:u w:val="none"/>
          </w:rPr>
          <w:t>http://www.ledinside.com.tw/research/20160412-32372.html</w:t>
        </w:r>
      </w:hyperlink>
    </w:p>
    <w:p w:rsidR="00C7775D" w:rsidRPr="00C77E77" w:rsidRDefault="00C7775D"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MoneyDJ</w:t>
      </w:r>
      <w:r w:rsidRPr="00C77E77">
        <w:rPr>
          <w:rFonts w:ascii="Times New Roman" w:eastAsia="標楷體" w:hAnsi="Times New Roman" w:cs="Times New Roman"/>
          <w:sz w:val="28"/>
          <w:szCs w:val="28"/>
        </w:rPr>
        <w:t>理財網，〈印度信賴工業公司（</w:t>
      </w:r>
      <w:r w:rsidRPr="00C77E77">
        <w:rPr>
          <w:rFonts w:ascii="Times New Roman" w:eastAsia="標楷體" w:hAnsi="Times New Roman" w:cs="Times New Roman"/>
          <w:sz w:val="28"/>
          <w:szCs w:val="28"/>
        </w:rPr>
        <w:t>RPL</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 xml:space="preserve"> </w:t>
      </w:r>
      <w:r w:rsidRPr="00C77E77">
        <w:rPr>
          <w:rStyle w:val="aa"/>
          <w:rFonts w:ascii="Times New Roman" w:eastAsia="標楷體" w:hAnsi="Times New Roman" w:cs="Times New Roman"/>
          <w:sz w:val="28"/>
          <w:szCs w:val="28"/>
          <w:u w:val="none"/>
        </w:rPr>
        <w:t>http://www.moneydj.com/KMDJ/Wiki/wikiViewer.aspx?keyid=c</w:t>
      </w:r>
      <w:smartTag w:uri="urn:schemas-microsoft-com:office:smarttags" w:element="chmetcnv">
        <w:smartTagPr>
          <w:attr w:name="TCSC" w:val="0"/>
          <w:attr w:name="NumberType" w:val="1"/>
          <w:attr w:name="Negative" w:val="False"/>
          <w:attr w:name="HasSpace" w:val="False"/>
          <w:attr w:name="SourceValue" w:val="732368"/>
          <w:attr w:name="UnitName" w:val="C"/>
        </w:smartTagPr>
        <w:r w:rsidRPr="00C77E77">
          <w:rPr>
            <w:rStyle w:val="aa"/>
            <w:rFonts w:ascii="Times New Roman" w:eastAsia="標楷體" w:hAnsi="Times New Roman" w:cs="Times New Roman"/>
            <w:sz w:val="28"/>
            <w:szCs w:val="28"/>
            <w:u w:val="none"/>
          </w:rPr>
          <w:t>732368c</w:t>
        </w:r>
      </w:smartTag>
      <w:smartTag w:uri="urn:schemas-microsoft-com:office:smarttags" w:element="chmetcnv">
        <w:smartTagPr>
          <w:attr w:name="TCSC" w:val="0"/>
          <w:attr w:name="NumberType" w:val="1"/>
          <w:attr w:name="Negative" w:val="True"/>
          <w:attr w:name="HasSpace" w:val="False"/>
          <w:attr w:name="SourceValue" w:val="991"/>
          <w:attr w:name="UnitName" w:val="C"/>
        </w:smartTagPr>
        <w:r w:rsidRPr="00C77E77">
          <w:rPr>
            <w:rStyle w:val="aa"/>
            <w:rFonts w:ascii="Times New Roman" w:eastAsia="標楷體" w:hAnsi="Times New Roman" w:cs="Times New Roman"/>
            <w:sz w:val="28"/>
            <w:szCs w:val="28"/>
            <w:u w:val="none"/>
          </w:rPr>
          <w:t>-991c</w:t>
        </w:r>
      </w:smartTag>
      <w:smartTag w:uri="urn:schemas-microsoft-com:office:smarttags" w:element="chmetcnv">
        <w:smartTagPr>
          <w:attr w:name="TCSC" w:val="0"/>
          <w:attr w:name="NumberType" w:val="1"/>
          <w:attr w:name="Negative" w:val="True"/>
          <w:attr w:name="HasSpace" w:val="False"/>
          <w:attr w:name="SourceValue" w:val="46"/>
          <w:attr w:name="UnitName" w:val="F"/>
        </w:smartTagPr>
        <w:r w:rsidRPr="00C77E77">
          <w:rPr>
            <w:rStyle w:val="aa"/>
            <w:rFonts w:ascii="Times New Roman" w:eastAsia="標楷體" w:hAnsi="Times New Roman" w:cs="Times New Roman"/>
            <w:sz w:val="28"/>
            <w:szCs w:val="28"/>
            <w:u w:val="none"/>
          </w:rPr>
          <w:t>-46f</w:t>
        </w:r>
      </w:smartTag>
      <w:r w:rsidRPr="00C77E77">
        <w:rPr>
          <w:rStyle w:val="aa"/>
          <w:rFonts w:ascii="Times New Roman" w:eastAsia="標楷體" w:hAnsi="Times New Roman" w:cs="Times New Roman"/>
          <w:sz w:val="28"/>
          <w:szCs w:val="28"/>
          <w:u w:val="none"/>
        </w:rPr>
        <w:t>3-be05</w:t>
      </w:r>
      <w:smartTag w:uri="urn:schemas-microsoft-com:office:smarttags" w:element="chmetcnv">
        <w:smartTagPr>
          <w:attr w:name="TCSC" w:val="0"/>
          <w:attr w:name="NumberType" w:val="1"/>
          <w:attr w:name="Negative" w:val="True"/>
          <w:attr w:name="HasSpace" w:val="False"/>
          <w:attr w:name="SourceValue" w:val="4"/>
          <w:attr w:name="UnitName" w:val="F"/>
        </w:smartTagPr>
        <w:r w:rsidRPr="00C77E77">
          <w:rPr>
            <w:rStyle w:val="aa"/>
            <w:rFonts w:ascii="Times New Roman" w:eastAsia="標楷體" w:hAnsi="Times New Roman" w:cs="Times New Roman"/>
            <w:sz w:val="28"/>
            <w:szCs w:val="28"/>
            <w:u w:val="none"/>
          </w:rPr>
          <w:t>-4f</w:t>
        </w:r>
      </w:smartTag>
      <w:smartTag w:uri="urn:schemas-microsoft-com:office:smarttags" w:element="chmetcnv">
        <w:smartTagPr>
          <w:attr w:name="TCSC" w:val="0"/>
          <w:attr w:name="NumberType" w:val="1"/>
          <w:attr w:name="Negative" w:val="False"/>
          <w:attr w:name="HasSpace" w:val="False"/>
          <w:attr w:name="SourceValue" w:val="6"/>
          <w:attr w:name="UnitName" w:val="C"/>
        </w:smartTagPr>
        <w:r w:rsidRPr="00C77E77">
          <w:rPr>
            <w:rStyle w:val="aa"/>
            <w:rFonts w:ascii="Times New Roman" w:eastAsia="標楷體" w:hAnsi="Times New Roman" w:cs="Times New Roman"/>
            <w:sz w:val="28"/>
            <w:szCs w:val="28"/>
            <w:u w:val="none"/>
          </w:rPr>
          <w:t>6c</w:t>
        </w:r>
      </w:smartTag>
      <w:r w:rsidRPr="00C77E77">
        <w:rPr>
          <w:rStyle w:val="aa"/>
          <w:rFonts w:ascii="Times New Roman" w:eastAsia="標楷體" w:hAnsi="Times New Roman" w:cs="Times New Roman"/>
          <w:sz w:val="28"/>
          <w:szCs w:val="28"/>
          <w:u w:val="none"/>
        </w:rPr>
        <w:t>a</w:t>
      </w:r>
      <w:smartTag w:uri="urn:schemas-microsoft-com:office:smarttags" w:element="chmetcnv">
        <w:smartTagPr>
          <w:attr w:name="TCSC" w:val="0"/>
          <w:attr w:name="NumberType" w:val="1"/>
          <w:attr w:name="Negative" w:val="False"/>
          <w:attr w:name="HasSpace" w:val="False"/>
          <w:attr w:name="SourceValue" w:val="69"/>
          <w:attr w:name="UnitName" w:val="C"/>
        </w:smartTagPr>
        <w:r w:rsidRPr="00C77E77">
          <w:rPr>
            <w:rStyle w:val="aa"/>
            <w:rFonts w:ascii="Times New Roman" w:eastAsia="標楷體" w:hAnsi="Times New Roman" w:cs="Times New Roman"/>
            <w:sz w:val="28"/>
            <w:szCs w:val="28"/>
            <w:u w:val="none"/>
          </w:rPr>
          <w:t>069c</w:t>
        </w:r>
      </w:smartTag>
      <w:r w:rsidRPr="00C77E77">
        <w:rPr>
          <w:rStyle w:val="aa"/>
          <w:rFonts w:ascii="Times New Roman" w:eastAsia="標楷體" w:hAnsi="Times New Roman" w:cs="Times New Roman"/>
          <w:sz w:val="28"/>
          <w:szCs w:val="28"/>
          <w:u w:val="none"/>
        </w:rPr>
        <w:t>678</w:t>
      </w:r>
      <w:r w:rsidRPr="00C77E77">
        <w:rPr>
          <w:rFonts w:ascii="Times New Roman" w:eastAsia="標楷體" w:hAnsi="Times New Roman" w:cs="Times New Roman"/>
          <w:sz w:val="28"/>
          <w:szCs w:val="28"/>
        </w:rPr>
        <w:t>。</w:t>
      </w:r>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SmartM</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，〈南亞電商系列報導：新加坡</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為何不可忽視新加坡電商？他們超級愛買，支付系統更是東南亞最健全〉，</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18</w:t>
      </w:r>
      <w:r w:rsidRPr="00C77E77">
        <w:rPr>
          <w:rFonts w:ascii="Times New Roman" w:eastAsia="標楷體" w:hAnsi="Times New Roman" w:cs="Times New Roman"/>
          <w:sz w:val="28"/>
          <w:szCs w:val="28"/>
        </w:rPr>
        <w:t>日。</w:t>
      </w:r>
      <w:hyperlink r:id="rId76" w:history="1">
        <w:r w:rsidRPr="00C77E77">
          <w:rPr>
            <w:rStyle w:val="aa"/>
            <w:rFonts w:ascii="Times New Roman" w:eastAsia="標楷體" w:hAnsi="Times New Roman" w:cs="Times New Roman"/>
            <w:sz w:val="28"/>
            <w:szCs w:val="28"/>
            <w:u w:val="none"/>
          </w:rPr>
          <w:t>https://www.smartm.com.tw/article/31343731cea3</w:t>
        </w:r>
      </w:hyperlink>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TechNews</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，〈印度是雲端處女地</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微軟擬前進開設資料中心〉，</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日。</w:t>
      </w:r>
      <w:hyperlink r:id="rId77" w:history="1">
        <w:r w:rsidRPr="00C77E77">
          <w:rPr>
            <w:rStyle w:val="aa"/>
            <w:rFonts w:ascii="Times New Roman" w:eastAsia="標楷體" w:hAnsi="Times New Roman" w:cs="Times New Roman"/>
            <w:sz w:val="28"/>
            <w:szCs w:val="28"/>
            <w:u w:val="none"/>
          </w:rPr>
          <w:t>http://technews.tw/2014/08/06/microsoft-expected-set-data-center-in-india/</w:t>
        </w:r>
      </w:hyperlink>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kern w:val="0"/>
          <w:sz w:val="28"/>
          <w:szCs w:val="28"/>
        </w:rPr>
      </w:pPr>
      <w:r w:rsidRPr="00C77E77">
        <w:rPr>
          <w:rFonts w:ascii="Times New Roman" w:eastAsia="標楷體" w:hAnsi="Times New Roman" w:cs="Times New Roman"/>
          <w:sz w:val="28"/>
          <w:szCs w:val="28"/>
        </w:rPr>
        <w:t xml:space="preserve">The Central Intelligence Agency, “India,” The World Factbook, </w:t>
      </w:r>
      <w:hyperlink r:id="rId78" w:history="1">
        <w:r w:rsidRPr="00C77E77">
          <w:rPr>
            <w:rStyle w:val="aa"/>
            <w:rFonts w:ascii="Times New Roman" w:eastAsia="標楷體" w:hAnsi="Times New Roman" w:cs="Times New Roman"/>
            <w:kern w:val="0"/>
            <w:sz w:val="28"/>
            <w:szCs w:val="28"/>
            <w:u w:val="none"/>
          </w:rPr>
          <w:t>https://www.cia.gov/library/publications/the-world-factbook/geos/print_in.ht</w:t>
        </w:r>
        <w:r w:rsidRPr="00C77E77">
          <w:rPr>
            <w:rStyle w:val="aa"/>
            <w:rFonts w:ascii="Times New Roman" w:eastAsia="標楷體" w:hAnsi="Times New Roman" w:cs="Times New Roman"/>
            <w:kern w:val="0"/>
            <w:sz w:val="28"/>
            <w:szCs w:val="28"/>
            <w:u w:val="none"/>
          </w:rPr>
          <w:lastRenderedPageBreak/>
          <w:t>ml</w:t>
        </w:r>
      </w:hyperlink>
      <w:r w:rsidRPr="00C77E77">
        <w:rPr>
          <w:rFonts w:ascii="Times New Roman" w:eastAsia="標楷體" w:hAnsi="Times New Roman" w:cs="Times New Roman"/>
          <w:kern w:val="0"/>
          <w:sz w:val="28"/>
          <w:szCs w:val="28"/>
        </w:rPr>
        <w:t xml:space="preserve">  </w:t>
      </w:r>
      <w:r w:rsidRPr="00C77E77">
        <w:rPr>
          <w:rFonts w:ascii="Times New Roman" w:eastAsia="標楷體" w:hAnsi="Times New Roman" w:cs="Times New Roman"/>
          <w:kern w:val="0"/>
          <w:sz w:val="28"/>
          <w:szCs w:val="28"/>
        </w:rPr>
        <w:t>查詢日期：</w:t>
      </w:r>
      <w:r w:rsidRPr="00C77E77">
        <w:rPr>
          <w:rFonts w:ascii="Times New Roman" w:eastAsia="標楷體" w:hAnsi="Times New Roman" w:cs="Times New Roman"/>
          <w:kern w:val="0"/>
          <w:sz w:val="28"/>
          <w:szCs w:val="28"/>
        </w:rPr>
        <w:t>2016/7/28</w:t>
      </w:r>
      <w:r w:rsidRPr="00C77E77">
        <w:rPr>
          <w:rFonts w:ascii="Times New Roman" w:eastAsia="標楷體" w:hAnsi="Times New Roman" w:cs="Times New Roman"/>
          <w:kern w:val="0"/>
          <w:sz w:val="28"/>
          <w:szCs w:val="28"/>
        </w:rPr>
        <w:t>。</w:t>
      </w:r>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The Economist, 2016. “India online.” March 5. </w:t>
      </w:r>
      <w:hyperlink r:id="rId79" w:history="1">
        <w:r w:rsidRPr="00C77E77">
          <w:rPr>
            <w:rStyle w:val="aa"/>
            <w:rFonts w:ascii="Times New Roman" w:eastAsia="標楷體" w:hAnsi="Times New Roman" w:cs="Times New Roman"/>
            <w:sz w:val="28"/>
            <w:szCs w:val="28"/>
            <w:u w:val="none"/>
          </w:rPr>
          <w:t>http://www.economist.com/news/leaders/21693925-battle-indias-e-commerce-market-about-much-more-retailing-india-online</w:t>
        </w:r>
      </w:hyperlink>
    </w:p>
    <w:p w:rsidR="00C7775D" w:rsidRPr="00C77E77" w:rsidRDefault="00C7775D"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 xml:space="preserve">United Nations E-Government Survey 2016 &amp; 2014  </w:t>
      </w:r>
      <w:hyperlink r:id="rId80" w:history="1">
        <w:r w:rsidRPr="00C77E77">
          <w:rPr>
            <w:rStyle w:val="aa"/>
            <w:rFonts w:ascii="Times New Roman" w:eastAsia="標楷體" w:hAnsi="Times New Roman" w:cs="Times New Roman"/>
            <w:sz w:val="28"/>
            <w:szCs w:val="28"/>
            <w:u w:val="none"/>
          </w:rPr>
          <w:t>http://workspace.unpan.org/sites/Internet/Documents/UNPAN96407.pdf</w:t>
        </w:r>
      </w:hyperlink>
      <w:r w:rsidRPr="00C77E77">
        <w:rPr>
          <w:rFonts w:ascii="Times New Roman" w:eastAsia="標楷體" w:hAnsi="Times New Roman" w:cs="Times New Roman"/>
          <w:sz w:val="28"/>
          <w:szCs w:val="28"/>
        </w:rPr>
        <w:t xml:space="preserve"> </w:t>
      </w:r>
      <w:hyperlink r:id="rId81" w:history="1">
        <w:r w:rsidRPr="00C77E77">
          <w:rPr>
            <w:rStyle w:val="aa"/>
            <w:rFonts w:ascii="Times New Roman" w:eastAsia="標楷體" w:hAnsi="Times New Roman" w:cs="Times New Roman"/>
            <w:sz w:val="28"/>
            <w:szCs w:val="28"/>
            <w:u w:val="none"/>
          </w:rPr>
          <w:t>https://publicadministration.un.org/egovkb/Portals/egovkb/Documents/un/2014-Survey/E-Gov_Complete_Survey-2014.pdf</w:t>
        </w:r>
      </w:hyperlink>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United Nations, 2003. World Public Sector Report 2003: E-government at the Crossroads. </w:t>
      </w:r>
      <w:hyperlink r:id="rId82" w:history="1">
        <w:r w:rsidRPr="00C77E77">
          <w:rPr>
            <w:rStyle w:val="aa"/>
            <w:rFonts w:ascii="Times New Roman" w:eastAsia="標楷體" w:hAnsi="Times New Roman" w:cs="Times New Roman"/>
            <w:sz w:val="28"/>
            <w:szCs w:val="28"/>
            <w:u w:val="none"/>
          </w:rPr>
          <w:t>https://publicadministration.un.org/publications/content/PDFs/E-Library%20Archives/World%20Public%20Sector%20Report%20series/World%20Public%20Sector%20Report.2003.pdf</w:t>
        </w:r>
      </w:hyperlink>
      <w:r w:rsidRPr="00C77E77">
        <w:rPr>
          <w:rFonts w:ascii="Times New Roman" w:eastAsia="標楷體" w:hAnsi="Times New Roman" w:cs="Times New Roman"/>
          <w:sz w:val="28"/>
          <w:szCs w:val="28"/>
        </w:rPr>
        <w:t xml:space="preserve">  </w:t>
      </w:r>
    </w:p>
    <w:p w:rsidR="00C7775D" w:rsidRPr="00C77E77" w:rsidRDefault="00C7775D"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World Bank, 2005. A Definition of E*Government. 3/23. </w:t>
      </w:r>
      <w:hyperlink r:id="rId83" w:history="1">
        <w:r w:rsidRPr="00C77E77">
          <w:rPr>
            <w:rStyle w:val="aa"/>
            <w:rFonts w:ascii="Times New Roman" w:eastAsia="標楷體" w:hAnsi="Times New Roman" w:cs="Times New Roman"/>
            <w:sz w:val="28"/>
            <w:szCs w:val="28"/>
            <w:u w:val="none"/>
          </w:rPr>
          <w:t>http://www.egov4dev.org/success/definitions.shtml</w:t>
        </w:r>
      </w:hyperlink>
      <w:r w:rsidRPr="00C77E77">
        <w:rPr>
          <w:rFonts w:ascii="Times New Roman" w:eastAsia="標楷體" w:hAnsi="Times New Roman" w:cs="Times New Roman"/>
          <w:sz w:val="28"/>
          <w:szCs w:val="28"/>
        </w:rPr>
        <w:t xml:space="preserve"> </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工商時報，</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，〈英業達拓點</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相中日本東南亞〉，</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31</w:t>
      </w:r>
      <w:r w:rsidRPr="00C77E77">
        <w:rPr>
          <w:rFonts w:ascii="Times New Roman" w:eastAsia="標楷體" w:hAnsi="Times New Roman" w:cs="Times New Roman"/>
          <w:sz w:val="28"/>
          <w:szCs w:val="28"/>
        </w:rPr>
        <w:t>日。</w:t>
      </w:r>
      <w:hyperlink r:id="rId84" w:history="1">
        <w:r w:rsidRPr="00C77E77">
          <w:rPr>
            <w:rStyle w:val="aa"/>
            <w:rFonts w:ascii="Times New Roman" w:eastAsia="標楷體" w:hAnsi="Times New Roman" w:cs="Times New Roman"/>
            <w:sz w:val="28"/>
            <w:szCs w:val="28"/>
            <w:u w:val="none"/>
          </w:rPr>
          <w:t>http://www.chinatimes.com/newspapers/20150331001210-260204</w:t>
        </w:r>
      </w:hyperlink>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工商時報，</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，〈中菲行物流集團</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名列亞太第三方物流前十強〉，</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日。</w:t>
      </w:r>
      <w:hyperlink r:id="rId85" w:history="1">
        <w:r w:rsidRPr="00C77E77">
          <w:rPr>
            <w:rStyle w:val="aa"/>
            <w:rFonts w:ascii="Times New Roman" w:eastAsia="標楷體" w:hAnsi="Times New Roman" w:cs="Times New Roman"/>
            <w:sz w:val="28"/>
            <w:szCs w:val="28"/>
            <w:u w:val="none"/>
          </w:rPr>
          <w:t>http://www.chinatimes.com/realtimenews/20160425003998-260410</w:t>
        </w:r>
      </w:hyperlink>
      <w:r w:rsidRPr="00C77E77">
        <w:rPr>
          <w:rFonts w:ascii="Times New Roman" w:eastAsia="標楷體" w:hAnsi="Times New Roman" w:cs="Times New Roman"/>
          <w:sz w:val="28"/>
          <w:szCs w:val="28"/>
        </w:rPr>
        <w:t xml:space="preserve"> </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工商時報，</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，〈近</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年我對東協出口額</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擴大</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成〉，</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日。</w:t>
      </w:r>
      <w:hyperlink r:id="rId86" w:history="1">
        <w:r w:rsidRPr="00C77E77">
          <w:rPr>
            <w:rStyle w:val="aa"/>
            <w:rFonts w:ascii="Times New Roman" w:eastAsia="標楷體" w:hAnsi="Times New Roman" w:cs="Times New Roman"/>
            <w:sz w:val="28"/>
            <w:szCs w:val="28"/>
            <w:u w:val="none"/>
          </w:rPr>
          <w:t>http://www.chinatimes.com/newspapers/20160223000050-260202</w:t>
        </w:r>
      </w:hyperlink>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查詢日期：</w:t>
      </w:r>
      <w:r w:rsidRPr="00C77E77">
        <w:rPr>
          <w:rFonts w:ascii="Times New Roman" w:eastAsia="標楷體" w:hAnsi="Times New Roman" w:cs="Times New Roman"/>
          <w:sz w:val="28"/>
          <w:szCs w:val="28"/>
        </w:rPr>
        <w:t>2016/5/8</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工商時報，</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，〈購買力平價後</w:t>
      </w:r>
      <w:r w:rsidRPr="00C77E77">
        <w:rPr>
          <w:rFonts w:ascii="Times New Roman" w:eastAsia="標楷體" w:hAnsi="Times New Roman" w:cs="Times New Roman"/>
          <w:sz w:val="28"/>
          <w:szCs w:val="28"/>
        </w:rPr>
        <w:t>... IMF:</w:t>
      </w:r>
      <w:r w:rsidRPr="00C77E77">
        <w:rPr>
          <w:rFonts w:ascii="Times New Roman" w:eastAsia="標楷體" w:hAnsi="Times New Roman" w:cs="Times New Roman"/>
          <w:sz w:val="28"/>
          <w:szCs w:val="28"/>
        </w:rPr>
        <w:t>經濟規模</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大陸稱王〉，</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日，</w:t>
      </w:r>
      <w:r w:rsidRPr="00C77E77">
        <w:rPr>
          <w:rFonts w:ascii="Times New Roman" w:eastAsia="標楷體" w:hAnsi="Times New Roman" w:cs="Times New Roman"/>
          <w:sz w:val="28"/>
          <w:szCs w:val="28"/>
        </w:rPr>
        <w:t>A10</w:t>
      </w:r>
      <w:r w:rsidRPr="00C77E77">
        <w:rPr>
          <w:rFonts w:ascii="Times New Roman" w:eastAsia="標楷體" w:hAnsi="Times New Roman" w:cs="Times New Roman"/>
          <w:sz w:val="28"/>
          <w:szCs w:val="28"/>
        </w:rPr>
        <w:t>版。</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中央社，</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，〈賣水果到東協</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臺中與嘉里物流簽備忘錄〉，</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13</w:t>
      </w:r>
      <w:r w:rsidRPr="00C77E77">
        <w:rPr>
          <w:rFonts w:ascii="Times New Roman" w:eastAsia="標楷體" w:hAnsi="Times New Roman" w:cs="Times New Roman"/>
          <w:sz w:val="28"/>
          <w:szCs w:val="28"/>
        </w:rPr>
        <w:t>日。</w:t>
      </w:r>
      <w:r w:rsidRPr="00C77E77">
        <w:rPr>
          <w:rFonts w:ascii="Times New Roman" w:eastAsia="標楷體" w:hAnsi="Times New Roman" w:cs="Times New Roman"/>
          <w:sz w:val="28"/>
          <w:szCs w:val="28"/>
        </w:rPr>
        <w:t xml:space="preserve"> </w:t>
      </w:r>
      <w:hyperlink r:id="rId87" w:history="1">
        <w:r w:rsidRPr="00C77E77">
          <w:rPr>
            <w:rStyle w:val="aa"/>
            <w:rFonts w:ascii="Times New Roman" w:eastAsia="標楷體" w:hAnsi="Times New Roman" w:cs="Times New Roman"/>
            <w:sz w:val="28"/>
            <w:szCs w:val="28"/>
            <w:u w:val="none"/>
          </w:rPr>
          <w:t>http://udn.com/news/story/3/1626007</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中時電子報，</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，〈臺北港國際物流</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掀成車海運革命〉，</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日。</w:t>
      </w:r>
      <w:hyperlink r:id="rId88" w:history="1">
        <w:r w:rsidRPr="00C77E77">
          <w:rPr>
            <w:rStyle w:val="aa"/>
            <w:rFonts w:ascii="Times New Roman" w:eastAsia="標楷體" w:hAnsi="Times New Roman" w:cs="Times New Roman"/>
            <w:sz w:val="28"/>
            <w:szCs w:val="28"/>
            <w:u w:val="none"/>
          </w:rPr>
          <w:t>http://www.chinatimes.com/newspapers/20150504000170-260204</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中華民國交通部臺灣區國道高速公路局，〈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年運作狀況總表〉，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日。</w:t>
      </w:r>
      <w:hyperlink r:id="rId89" w:history="1">
        <w:r w:rsidRPr="00C77E77">
          <w:rPr>
            <w:rStyle w:val="aa"/>
            <w:rFonts w:ascii="Times New Roman" w:eastAsia="標楷體" w:hAnsi="Times New Roman" w:cs="Times New Roman"/>
            <w:sz w:val="28"/>
            <w:szCs w:val="28"/>
            <w:u w:val="none"/>
          </w:rPr>
          <w:t>https://www.freeway.gov.tw/UserFiles/File/2016%E5%B9%B4%E5%90%84%E6%9C%88%E4%BB%BDETC%E9%81%8B%E4%BD%9C%E7%8B%80%E6%B3%81%E7%B8%BD%E8%A1%A81050704.pdf</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中華民國交通部臺灣區國道高速公路局，〈臺灣之光</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喜上加喜</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再傳捷報</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臺灣計程電子收費推動成果榮獲</w:t>
      </w:r>
      <w:r w:rsidRPr="00C77E77">
        <w:rPr>
          <w:rFonts w:ascii="Times New Roman" w:eastAsia="標楷體" w:hAnsi="Times New Roman" w:cs="Times New Roman"/>
          <w:sz w:val="28"/>
          <w:szCs w:val="28"/>
        </w:rPr>
        <w:t>IBTTA</w:t>
      </w:r>
      <w:r w:rsidRPr="00C77E77">
        <w:rPr>
          <w:rFonts w:ascii="Times New Roman" w:eastAsia="標楷體" w:hAnsi="Times New Roman" w:cs="Times New Roman"/>
          <w:sz w:val="28"/>
          <w:szCs w:val="28"/>
        </w:rPr>
        <w:t>年度最高榮譽首獎〉，</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31</w:t>
      </w:r>
      <w:r w:rsidRPr="00C77E77">
        <w:rPr>
          <w:rFonts w:ascii="Times New Roman" w:eastAsia="標楷體" w:hAnsi="Times New Roman" w:cs="Times New Roman"/>
          <w:sz w:val="28"/>
          <w:szCs w:val="28"/>
        </w:rPr>
        <w:t>日。</w:t>
      </w:r>
      <w:hyperlink r:id="rId90" w:history="1">
        <w:r w:rsidRPr="00C77E77">
          <w:rPr>
            <w:rStyle w:val="aa"/>
            <w:rFonts w:ascii="Times New Roman" w:eastAsia="標楷體" w:hAnsi="Times New Roman" w:cs="Times New Roman"/>
            <w:sz w:val="28"/>
            <w:szCs w:val="28"/>
            <w:u w:val="none"/>
          </w:rPr>
          <w:t>https://www.freeway.gov.tw/Publish.aspx?cnid=193&amp;p=6396</w:t>
        </w:r>
      </w:hyperlink>
    </w:p>
    <w:p w:rsidR="008D5640" w:rsidRPr="00C77E77" w:rsidRDefault="008D5640" w:rsidP="008208EB">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中華民國行政院，</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年，〈「新南向政策推動計畫」正式啟動〉，</w:t>
      </w:r>
      <w:r w:rsidRPr="00C77E77">
        <w:rPr>
          <w:rStyle w:val="aa"/>
          <w:rFonts w:ascii="Times New Roman" w:eastAsia="標楷體" w:hAnsi="Times New Roman" w:cs="Times New Roman"/>
          <w:color w:val="000000" w:themeColor="text1"/>
          <w:sz w:val="28"/>
          <w:szCs w:val="28"/>
          <w:u w:val="none"/>
        </w:rPr>
        <w:t>9</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5</w:t>
      </w:r>
      <w:r w:rsidRPr="00C77E77">
        <w:rPr>
          <w:rStyle w:val="aa"/>
          <w:rFonts w:ascii="Times New Roman" w:eastAsia="標楷體" w:hAnsi="Times New Roman" w:cs="Times New Roman"/>
          <w:color w:val="000000" w:themeColor="text1"/>
          <w:sz w:val="28"/>
          <w:szCs w:val="28"/>
          <w:u w:val="none"/>
        </w:rPr>
        <w:t>日。</w:t>
      </w:r>
      <w:hyperlink r:id="rId91" w:history="1">
        <w:r w:rsidRPr="00C77E77">
          <w:rPr>
            <w:rStyle w:val="aa"/>
            <w:rFonts w:ascii="Times New Roman" w:eastAsia="標楷體" w:hAnsi="Times New Roman" w:cs="Times New Roman"/>
            <w:sz w:val="28"/>
            <w:szCs w:val="28"/>
            <w:u w:val="none"/>
          </w:rPr>
          <w:t>http://www.ey.gov.tw/News_Content2.aspx?n=F8BAEBE9491FC830&amp;s=82400B39366A678A</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中華民國經濟部，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年，〈經濟部推智慧校園搶攻百億美元市場商機〉，</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日。</w:t>
      </w:r>
      <w:hyperlink r:id="rId92" w:history="1">
        <w:r w:rsidRPr="00C77E77">
          <w:rPr>
            <w:rStyle w:val="aa"/>
            <w:rFonts w:ascii="Times New Roman" w:eastAsia="標楷體" w:hAnsi="Times New Roman" w:cs="Times New Roman"/>
            <w:sz w:val="28"/>
            <w:szCs w:val="28"/>
            <w:u w:val="none"/>
          </w:rPr>
          <w:t>https://www.moea.gov.tw/MNS/populace/news/News.aspx?kind=1&amp;menu_id=40&amp;news_id=40520</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中華民國經濟部，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年，〈經濟部推智慧校園搶攻百億美元市場商機〉，</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日。</w:t>
      </w:r>
      <w:hyperlink r:id="rId93" w:history="1">
        <w:r w:rsidRPr="00C77E77">
          <w:rPr>
            <w:rStyle w:val="aa"/>
            <w:rFonts w:ascii="Times New Roman" w:eastAsia="標楷體" w:hAnsi="Times New Roman" w:cs="Times New Roman"/>
            <w:sz w:val="28"/>
            <w:szCs w:val="28"/>
            <w:u w:val="none"/>
          </w:rPr>
          <w:t>https://www.moea.gov.tw/MNS/populace/news/News.aspx?kind=1&amp;menu_id=40&amp;news_id=40520</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中華電信，〈學校解決方案教育服務業〉，</w:t>
      </w:r>
      <w:hyperlink r:id="rId94" w:history="1">
        <w:r w:rsidRPr="00C77E77">
          <w:rPr>
            <w:rStyle w:val="aa"/>
            <w:rFonts w:ascii="Times New Roman" w:eastAsia="標楷體" w:hAnsi="Times New Roman" w:cs="Times New Roman"/>
            <w:sz w:val="28"/>
            <w:szCs w:val="28"/>
            <w:u w:val="none"/>
          </w:rPr>
          <w:t>https://eshop.cht.com.tw/Web/Enterprise/Product/Details?megaID=05ACCAF</w:t>
        </w:r>
        <w:r w:rsidRPr="00C77E77">
          <w:rPr>
            <w:rStyle w:val="aa"/>
            <w:rFonts w:ascii="Times New Roman" w:eastAsia="標楷體" w:hAnsi="Times New Roman" w:cs="Times New Roman"/>
            <w:sz w:val="28"/>
            <w:szCs w:val="28"/>
            <w:u w:val="none"/>
          </w:rPr>
          <w:lastRenderedPageBreak/>
          <w:t>A-D877-4FF2-BAB4-401CB6F472F3</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內政部移民署，</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，〈各縣市外裔、外籍配偶人數按國籍分與大陸（含港澳）配偶人數〉。</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內政部統計處，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104</w:t>
      </w:r>
      <w:r w:rsidRPr="00C77E77">
        <w:rPr>
          <w:rFonts w:ascii="Times New Roman" w:eastAsia="標楷體" w:hAnsi="Times New Roman" w:cs="Times New Roman"/>
          <w:sz w:val="28"/>
          <w:szCs w:val="28"/>
        </w:rPr>
        <w:t>年第</w:t>
      </w:r>
      <w:r w:rsidRPr="00C77E77">
        <w:rPr>
          <w:rFonts w:ascii="Times New Roman" w:eastAsia="標楷體" w:hAnsi="Times New Roman" w:cs="Times New Roman"/>
          <w:sz w:val="28"/>
          <w:szCs w:val="28"/>
        </w:rPr>
        <w:t>32</w:t>
      </w:r>
      <w:r w:rsidRPr="00C77E77">
        <w:rPr>
          <w:rFonts w:ascii="Times New Roman" w:eastAsia="標楷體" w:hAnsi="Times New Roman" w:cs="Times New Roman"/>
          <w:sz w:val="28"/>
          <w:szCs w:val="28"/>
        </w:rPr>
        <w:t>週內政統計通報（</w:t>
      </w:r>
      <w:r w:rsidRPr="00C77E77">
        <w:rPr>
          <w:rFonts w:ascii="Times New Roman" w:eastAsia="標楷體" w:hAnsi="Times New Roman" w:cs="Times New Roman"/>
          <w:sz w:val="28"/>
          <w:szCs w:val="28"/>
        </w:rPr>
        <w:t>104</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月底在我國之外籍人士統計）〉。</w:t>
      </w:r>
    </w:p>
    <w:p w:rsidR="008D5640" w:rsidRPr="00C77E77" w:rsidRDefault="008D5640" w:rsidP="00C70A64">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天下雜誌，</w:t>
      </w:r>
      <w:r w:rsidRPr="00C77E77">
        <w:rPr>
          <w:rStyle w:val="aa"/>
          <w:rFonts w:ascii="Times New Roman" w:eastAsia="標楷體" w:hAnsi="Times New Roman" w:cs="Times New Roman"/>
          <w:color w:val="000000" w:themeColor="text1"/>
          <w:sz w:val="28"/>
          <w:szCs w:val="28"/>
          <w:u w:val="none"/>
        </w:rPr>
        <w:t>2015</w:t>
      </w:r>
      <w:r w:rsidRPr="00C77E77">
        <w:rPr>
          <w:rStyle w:val="aa"/>
          <w:rFonts w:ascii="Times New Roman" w:eastAsia="標楷體" w:hAnsi="Times New Roman" w:cs="Times New Roman"/>
          <w:color w:val="000000" w:themeColor="text1"/>
          <w:sz w:val="28"/>
          <w:szCs w:val="28"/>
          <w:u w:val="none"/>
        </w:rPr>
        <w:t>年，〈關於</w:t>
      </w:r>
      <w:r w:rsidRPr="00C77E77">
        <w:rPr>
          <w:rStyle w:val="aa"/>
          <w:rFonts w:ascii="Times New Roman" w:eastAsia="標楷體" w:hAnsi="Times New Roman" w:cs="Times New Roman"/>
          <w:color w:val="000000" w:themeColor="text1"/>
          <w:sz w:val="28"/>
          <w:szCs w:val="28"/>
          <w:u w:val="none"/>
        </w:rPr>
        <w:t>TPP</w:t>
      </w:r>
      <w:r w:rsidRPr="00C77E77">
        <w:rPr>
          <w:rStyle w:val="aa"/>
          <w:rFonts w:ascii="Times New Roman" w:eastAsia="標楷體" w:hAnsi="Times New Roman" w:cs="Times New Roman"/>
          <w:color w:val="000000" w:themeColor="text1"/>
          <w:sz w:val="28"/>
          <w:szCs w:val="28"/>
          <w:u w:val="none"/>
        </w:rPr>
        <w:t>和</w:t>
      </w:r>
      <w:r w:rsidRPr="00C77E77">
        <w:rPr>
          <w:rStyle w:val="aa"/>
          <w:rFonts w:ascii="Times New Roman" w:eastAsia="標楷體" w:hAnsi="Times New Roman" w:cs="Times New Roman"/>
          <w:color w:val="000000" w:themeColor="text1"/>
          <w:sz w:val="28"/>
          <w:szCs w:val="28"/>
          <w:u w:val="none"/>
        </w:rPr>
        <w:t>RCEP</w:t>
      </w:r>
      <w:r w:rsidRPr="00C77E77">
        <w:rPr>
          <w:rStyle w:val="aa"/>
          <w:rFonts w:ascii="Times New Roman" w:eastAsia="標楷體" w:hAnsi="Times New Roman" w:cs="Times New Roman"/>
          <w:color w:val="000000" w:themeColor="text1"/>
          <w:sz w:val="28"/>
          <w:szCs w:val="28"/>
          <w:u w:val="none"/>
        </w:rPr>
        <w:t>，你應該知道的</w:t>
      </w:r>
      <w:r w:rsidRPr="00C77E77">
        <w:rPr>
          <w:rStyle w:val="aa"/>
          <w:rFonts w:ascii="Times New Roman" w:eastAsia="標楷體" w:hAnsi="Times New Roman" w:cs="Times New Roman"/>
          <w:color w:val="000000" w:themeColor="text1"/>
          <w:sz w:val="28"/>
          <w:szCs w:val="28"/>
          <w:u w:val="none"/>
        </w:rPr>
        <w:t>13</w:t>
      </w:r>
      <w:r w:rsidRPr="00C77E77">
        <w:rPr>
          <w:rStyle w:val="aa"/>
          <w:rFonts w:ascii="Times New Roman" w:eastAsia="標楷體" w:hAnsi="Times New Roman" w:cs="Times New Roman"/>
          <w:color w:val="000000" w:themeColor="text1"/>
          <w:sz w:val="28"/>
          <w:szCs w:val="28"/>
          <w:u w:val="none"/>
        </w:rPr>
        <w:t>件事〉，</w:t>
      </w:r>
      <w:r w:rsidRPr="00C77E77">
        <w:rPr>
          <w:rStyle w:val="aa"/>
          <w:rFonts w:ascii="Times New Roman" w:eastAsia="標楷體" w:hAnsi="Times New Roman" w:cs="Times New Roman"/>
          <w:color w:val="000000" w:themeColor="text1"/>
          <w:sz w:val="28"/>
          <w:szCs w:val="28"/>
          <w:u w:val="none"/>
        </w:rPr>
        <w:t xml:space="preserve"> 10</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6</w:t>
      </w:r>
      <w:r w:rsidRPr="00C77E77">
        <w:rPr>
          <w:rStyle w:val="aa"/>
          <w:rFonts w:ascii="Times New Roman" w:eastAsia="標楷體" w:hAnsi="Times New Roman" w:cs="Times New Roman"/>
          <w:color w:val="000000" w:themeColor="text1"/>
          <w:sz w:val="28"/>
          <w:szCs w:val="28"/>
          <w:u w:val="none"/>
        </w:rPr>
        <w:t>日，</w:t>
      </w:r>
      <w:r w:rsidRPr="00C77E77">
        <w:rPr>
          <w:rStyle w:val="aa"/>
          <w:rFonts w:ascii="Times New Roman" w:eastAsia="標楷體" w:hAnsi="Times New Roman" w:cs="Times New Roman"/>
          <w:color w:val="000000" w:themeColor="text1"/>
          <w:sz w:val="28"/>
          <w:szCs w:val="28"/>
          <w:u w:val="none"/>
        </w:rPr>
        <w:t>http://www.cw.com.tw/article/article.action?id=5071372</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王婷，〈印度照明市場產品、渠道及進入策略分析〉，</w:t>
      </w:r>
      <w:r w:rsidRPr="00C77E77">
        <w:rPr>
          <w:rStyle w:val="aa"/>
          <w:rFonts w:ascii="Times New Roman" w:eastAsia="標楷體" w:hAnsi="Times New Roman" w:cs="Times New Roman"/>
          <w:color w:val="000000" w:themeColor="text1"/>
          <w:sz w:val="28"/>
          <w:szCs w:val="28"/>
          <w:u w:val="none"/>
        </w:rPr>
        <w:t>LEDinside</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年</w:t>
      </w:r>
      <w:r w:rsidRPr="00C77E77">
        <w:rPr>
          <w:rStyle w:val="aa"/>
          <w:rFonts w:ascii="Times New Roman" w:eastAsia="標楷體" w:hAnsi="Times New Roman" w:cs="Times New Roman"/>
          <w:color w:val="000000" w:themeColor="text1"/>
          <w:sz w:val="28"/>
          <w:szCs w:val="28"/>
          <w:u w:val="none"/>
        </w:rPr>
        <w:t>8</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14</w:t>
      </w:r>
      <w:r w:rsidRPr="00C77E77">
        <w:rPr>
          <w:rStyle w:val="aa"/>
          <w:rFonts w:ascii="Times New Roman" w:eastAsia="標楷體" w:hAnsi="Times New Roman" w:cs="Times New Roman"/>
          <w:color w:val="000000" w:themeColor="text1"/>
          <w:sz w:val="28"/>
          <w:szCs w:val="28"/>
          <w:u w:val="none"/>
        </w:rPr>
        <w:t>日：</w:t>
      </w:r>
      <w:hyperlink r:id="rId95" w:history="1">
        <w:r w:rsidRPr="00C77E77">
          <w:rPr>
            <w:rStyle w:val="aa"/>
            <w:rFonts w:ascii="Times New Roman" w:eastAsia="標楷體" w:hAnsi="Times New Roman" w:cs="Times New Roman"/>
            <w:sz w:val="28"/>
            <w:szCs w:val="28"/>
            <w:u w:val="none"/>
          </w:rPr>
          <w:t>http://www.ledinside.com.tw/research/20160804-32888.html</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交通部統計處，</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104</w:t>
      </w:r>
      <w:r w:rsidRPr="00C77E77">
        <w:rPr>
          <w:rFonts w:ascii="Times New Roman" w:eastAsia="標楷體" w:hAnsi="Times New Roman" w:cs="Times New Roman"/>
          <w:sz w:val="28"/>
          <w:szCs w:val="28"/>
        </w:rPr>
        <w:t>年運輸及倉儲業之生產及受僱員工概況》。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吉隆坡臺灣貿易中心，</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年後產值破千億</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東南亞電子商務崛起〉，</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28</w:t>
      </w:r>
      <w:r w:rsidRPr="00C77E77">
        <w:rPr>
          <w:rFonts w:ascii="Times New Roman" w:eastAsia="標楷體" w:hAnsi="Times New Roman" w:cs="Times New Roman"/>
          <w:sz w:val="28"/>
          <w:szCs w:val="28"/>
        </w:rPr>
        <w:t>日。</w:t>
      </w:r>
      <w:hyperlink r:id="rId96" w:history="1">
        <w:r w:rsidRPr="00C77E77">
          <w:rPr>
            <w:rStyle w:val="aa"/>
            <w:rFonts w:ascii="Times New Roman" w:eastAsia="標楷體" w:hAnsi="Times New Roman" w:cs="Times New Roman"/>
            <w:sz w:val="28"/>
            <w:szCs w:val="28"/>
            <w:u w:val="none"/>
          </w:rPr>
          <w:t>http://info.taiwantrade.com/CH/bizsearchdetail/358241/I</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lang w:eastAsia="ja-JP"/>
        </w:rPr>
      </w:pPr>
      <w:r w:rsidRPr="00C77E77">
        <w:rPr>
          <w:rFonts w:ascii="Times New Roman" w:eastAsia="標楷體" w:hAnsi="Times New Roman" w:cs="Times New Roman"/>
          <w:sz w:val="28"/>
          <w:szCs w:val="28"/>
          <w:lang w:eastAsia="ja-JP"/>
        </w:rPr>
        <w:t>早稲田大学電子政府自治体研究所，〈</w:t>
      </w:r>
      <w:r w:rsidRPr="00C77E77">
        <w:rPr>
          <w:rFonts w:ascii="Times New Roman" w:eastAsia="標楷體" w:hAnsi="Times New Roman" w:cs="Times New Roman"/>
          <w:sz w:val="28"/>
          <w:szCs w:val="28"/>
          <w:lang w:eastAsia="ja-JP"/>
        </w:rPr>
        <w:t>2016</w:t>
      </w:r>
      <w:r w:rsidRPr="00C77E77">
        <w:rPr>
          <w:rFonts w:ascii="Times New Roman" w:eastAsia="標楷體" w:hAnsi="Times New Roman" w:cs="Times New Roman"/>
          <w:sz w:val="28"/>
          <w:szCs w:val="28"/>
          <w:lang w:eastAsia="ja-JP"/>
        </w:rPr>
        <w:t>年度　第</w:t>
      </w:r>
      <w:r w:rsidRPr="00C77E77">
        <w:rPr>
          <w:rFonts w:ascii="Times New Roman" w:eastAsia="標楷體" w:hAnsi="Times New Roman" w:cs="Times New Roman"/>
          <w:sz w:val="28"/>
          <w:szCs w:val="28"/>
          <w:lang w:eastAsia="ja-JP"/>
        </w:rPr>
        <w:t>12</w:t>
      </w:r>
      <w:r w:rsidRPr="00C77E77">
        <w:rPr>
          <w:rFonts w:ascii="Times New Roman" w:eastAsia="標楷體" w:hAnsi="Times New Roman" w:cs="Times New Roman"/>
          <w:sz w:val="28"/>
          <w:szCs w:val="28"/>
          <w:lang w:eastAsia="ja-JP"/>
        </w:rPr>
        <w:t>回　電子政府世界ランキング〉。</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自由時報，〈政策挺太陽能</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臺廠擴產</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新品齊發〉，</w:t>
      </w:r>
      <w:r w:rsidRPr="00C77E77">
        <w:rPr>
          <w:rStyle w:val="aa"/>
          <w:rFonts w:ascii="Times New Roman" w:eastAsia="標楷體" w:hAnsi="Times New Roman" w:cs="Times New Roman"/>
          <w:color w:val="000000" w:themeColor="text1"/>
          <w:sz w:val="28"/>
          <w:szCs w:val="28"/>
          <w:u w:val="none"/>
        </w:rPr>
        <w:t>2016/6/23</w:t>
      </w:r>
      <w:r w:rsidRPr="00C77E77">
        <w:rPr>
          <w:rStyle w:val="aa"/>
          <w:rFonts w:ascii="Times New Roman" w:eastAsia="標楷體" w:hAnsi="Times New Roman" w:cs="Times New Roman"/>
          <w:color w:val="000000" w:themeColor="text1"/>
          <w:sz w:val="28"/>
          <w:szCs w:val="28"/>
          <w:u w:val="none"/>
        </w:rPr>
        <w:t>：</w:t>
      </w:r>
      <w:hyperlink r:id="rId97" w:history="1">
        <w:r w:rsidRPr="00C77E77">
          <w:rPr>
            <w:rStyle w:val="aa"/>
            <w:rFonts w:ascii="Times New Roman" w:eastAsia="標楷體" w:hAnsi="Times New Roman" w:cs="Times New Roman"/>
            <w:sz w:val="28"/>
            <w:szCs w:val="28"/>
            <w:u w:val="none"/>
          </w:rPr>
          <w:t>http://news.ltn.com.tw/news/business/paper/1003346</w:t>
        </w:r>
      </w:hyperlink>
    </w:p>
    <w:p w:rsidR="008D5640" w:rsidRPr="00C77E77" w:rsidRDefault="008D5640" w:rsidP="00781721">
      <w:pPr>
        <w:spacing w:before="50" w:after="50" w:line="500" w:lineRule="exact"/>
        <w:ind w:left="426" w:hangingChars="152" w:hanging="426"/>
        <w:rPr>
          <w:rStyle w:val="aa"/>
          <w:rFonts w:ascii="Times New Roman" w:eastAsia="標楷體" w:hAnsi="Times New Roman" w:cs="Times New Roman"/>
          <w:sz w:val="28"/>
          <w:szCs w:val="28"/>
          <w:u w:val="none"/>
        </w:rPr>
      </w:pPr>
      <w:r w:rsidRPr="00C77E77">
        <w:rPr>
          <w:rStyle w:val="aa"/>
          <w:rFonts w:ascii="Times New Roman" w:eastAsia="標楷體" w:hAnsi="Times New Roman" w:cs="Times New Roman"/>
          <w:color w:val="000000" w:themeColor="text1"/>
          <w:sz w:val="28"/>
          <w:szCs w:val="28"/>
          <w:u w:val="none"/>
        </w:rPr>
        <w:t>自由時報，</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年，〈臺灣</w:t>
      </w:r>
      <w:r w:rsidRPr="00C77E77">
        <w:rPr>
          <w:rStyle w:val="aa"/>
          <w:rFonts w:ascii="Times New Roman" w:eastAsia="標楷體" w:hAnsi="Times New Roman" w:cs="Times New Roman"/>
          <w:color w:val="000000" w:themeColor="text1"/>
          <w:sz w:val="28"/>
          <w:szCs w:val="28"/>
          <w:u w:val="none"/>
        </w:rPr>
        <w:t>ETC</w:t>
      </w:r>
      <w:r w:rsidRPr="00C77E77">
        <w:rPr>
          <w:rStyle w:val="aa"/>
          <w:rFonts w:ascii="Times New Roman" w:eastAsia="標楷體" w:hAnsi="Times New Roman" w:cs="Times New Roman"/>
          <w:color w:val="000000" w:themeColor="text1"/>
          <w:sz w:val="28"/>
          <w:szCs w:val="28"/>
          <w:u w:val="none"/>
        </w:rPr>
        <w:t>獲國際道路協會頒發全球道路成就獎〉，</w:t>
      </w:r>
      <w:r w:rsidRPr="00C77E77">
        <w:rPr>
          <w:rStyle w:val="aa"/>
          <w:rFonts w:ascii="Times New Roman" w:eastAsia="標楷體" w:hAnsi="Times New Roman" w:cs="Times New Roman"/>
          <w:color w:val="000000" w:themeColor="text1"/>
          <w:sz w:val="28"/>
          <w:szCs w:val="28"/>
          <w:u w:val="none"/>
        </w:rPr>
        <w:t>10</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19</w:t>
      </w:r>
      <w:r w:rsidRPr="00C77E77">
        <w:rPr>
          <w:rStyle w:val="aa"/>
          <w:rFonts w:ascii="Times New Roman" w:eastAsia="標楷體" w:hAnsi="Times New Roman" w:cs="Times New Roman"/>
          <w:color w:val="000000" w:themeColor="text1"/>
          <w:sz w:val="28"/>
          <w:szCs w:val="28"/>
          <w:u w:val="none"/>
        </w:rPr>
        <w:t>日。</w:t>
      </w:r>
      <w:hyperlink r:id="rId98" w:history="1">
        <w:r w:rsidRPr="00C77E77">
          <w:rPr>
            <w:rStyle w:val="aa"/>
            <w:rFonts w:ascii="Times New Roman" w:eastAsia="標楷體" w:hAnsi="Times New Roman" w:cs="Times New Roman"/>
            <w:sz w:val="28"/>
            <w:szCs w:val="28"/>
            <w:u w:val="none"/>
          </w:rPr>
          <w:t>http://news.ltn.com.tw/news/life/breakingnews/1860805</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行政院，〈</w:t>
      </w:r>
      <w:r w:rsidRPr="00C77E77">
        <w:rPr>
          <w:rFonts w:ascii="Times New Roman" w:eastAsia="標楷體" w:hAnsi="Times New Roman" w:cs="Times New Roman"/>
          <w:bCs/>
          <w:sz w:val="28"/>
          <w:szCs w:val="28"/>
          <w:shd w:val="clear" w:color="auto" w:fill="FFFFFF"/>
        </w:rPr>
        <w:t>總體經濟指標</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日。</w:t>
      </w:r>
      <w:hyperlink r:id="rId99" w:history="1">
        <w:r w:rsidRPr="00C77E77">
          <w:rPr>
            <w:rStyle w:val="aa"/>
            <w:rFonts w:ascii="Times New Roman" w:eastAsia="標楷體" w:hAnsi="Times New Roman" w:cs="Times New Roman"/>
            <w:sz w:val="28"/>
            <w:szCs w:val="28"/>
            <w:u w:val="none"/>
          </w:rPr>
          <w:t>http://www.ey.gov.tw/state/News_Content3.aspx?n=3F00F60B9FC304D7&amp;s=2FE35E5B857F7A92</w:t>
        </w:r>
      </w:hyperlink>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行政院，</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，〈四大智慧型產業〉，</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日。</w:t>
      </w:r>
      <w:hyperlink r:id="rId100" w:history="1">
        <w:r w:rsidRPr="00C77E77">
          <w:rPr>
            <w:rStyle w:val="aa"/>
            <w:rFonts w:ascii="Times New Roman" w:eastAsia="標楷體" w:hAnsi="Times New Roman" w:cs="Times New Roman"/>
            <w:sz w:val="28"/>
            <w:szCs w:val="28"/>
            <w:u w:val="none"/>
          </w:rPr>
          <w:t>http://www.ey.gov.tw/policy8/cp.aspx?n=8E8DE47D1B703E07</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吳文彬，</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，〈馬來西亞電商</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大震撼〉，電子商務名家專欄，</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日。</w:t>
      </w:r>
      <w:hyperlink r:id="rId101" w:history="1">
        <w:r w:rsidRPr="00C77E77">
          <w:rPr>
            <w:rStyle w:val="aa"/>
            <w:rFonts w:ascii="Times New Roman" w:eastAsia="標楷體" w:hAnsi="Times New Roman" w:cs="Times New Roman"/>
            <w:sz w:val="28"/>
            <w:szCs w:val="28"/>
            <w:u w:val="none"/>
          </w:rPr>
          <w:t>http://info.taiwantrade.com/CH/bizsearchdetail/371821/I?keyword0=%E9%9B%BB%E5%AD%90%E5%95%86%E5%8B%99%E5%90%8D%E5%AE%B6%E5%B0%88%E6%AC%84</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吳秋萍，</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年，〈觀賞魚與周邊產品產業之市場動態與我國競爭力簡析〉</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吳碧娥，</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年，〈臺灣</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三項「世界第一」</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帶動智慧交通海外輸出大商機！〉，北美智權報，</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日。</w:t>
      </w:r>
      <w:hyperlink r:id="rId102" w:history="1">
        <w:r w:rsidRPr="00C77E77">
          <w:rPr>
            <w:rStyle w:val="aa"/>
            <w:rFonts w:ascii="Times New Roman" w:eastAsia="標楷體" w:hAnsi="Times New Roman" w:cs="Times New Roman"/>
            <w:sz w:val="28"/>
            <w:szCs w:val="28"/>
            <w:u w:val="none"/>
          </w:rPr>
          <w:t>http://www.naipo.com/Portals/1/web_tw/Knowledge_Center/Industry_Economy/IPNC_160401_0702.htm</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吳馥馨，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，〈新南向政策定調</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黃志芳：把東協當內需延伸〉，經濟日報，</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日。</w:t>
      </w:r>
      <w:hyperlink r:id="rId103" w:history="1">
        <w:r w:rsidRPr="00C77E77">
          <w:rPr>
            <w:rStyle w:val="aa"/>
            <w:rFonts w:ascii="Times New Roman" w:eastAsia="標楷體" w:hAnsi="Times New Roman" w:cs="Times New Roman"/>
            <w:sz w:val="28"/>
            <w:szCs w:val="28"/>
            <w:u w:val="none"/>
          </w:rPr>
          <w:t>http://udn.com/news/story/9485/1695707-%E6%96%B0%E5%8D%97%E5%90%91%E6%94%BF%E7%AD%96%E5%AE%9A%E8%AA%BF-%E9%BB%83%E5%BF%97%E8%8A%B3%EF%BC%9A%E6%8A%8A%E6%9D%B1%E5%8D%94%E7%95%B6%E5%85%A7%E9%9C%80%E5%BB%B6%E4%BC%B8</w:t>
        </w:r>
      </w:hyperlink>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查詢日期：</w:t>
      </w:r>
      <w:r w:rsidRPr="00C77E77">
        <w:rPr>
          <w:rFonts w:ascii="Times New Roman" w:eastAsia="標楷體" w:hAnsi="Times New Roman" w:cs="Times New Roman"/>
          <w:sz w:val="28"/>
          <w:szCs w:val="28"/>
        </w:rPr>
        <w:t>2016/5/16</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李威勳、王景弘、李肇浩，</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年，〈高速公路電子收費系統〉，《科學發展》，</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468</w:t>
      </w:r>
      <w:r w:rsidRPr="00C77E77">
        <w:rPr>
          <w:rFonts w:ascii="Times New Roman" w:eastAsia="標楷體" w:hAnsi="Times New Roman" w:cs="Times New Roman"/>
          <w:sz w:val="28"/>
          <w:szCs w:val="28"/>
        </w:rPr>
        <w:t>期。</w:t>
      </w:r>
      <w:hyperlink r:id="rId104" w:history="1">
        <w:r w:rsidRPr="00C77E77">
          <w:rPr>
            <w:rStyle w:val="aa"/>
            <w:rFonts w:ascii="Times New Roman" w:eastAsia="標楷體" w:hAnsi="Times New Roman" w:cs="Times New Roman"/>
            <w:sz w:val="28"/>
            <w:szCs w:val="28"/>
            <w:u w:val="none"/>
          </w:rPr>
          <w:t>http://ejournal.stpi.narl.org.tw/NSC_INDEX/Journal/EJ0001/10012/10012-04.pdf</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李淳，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，〈新南向政策，關鍵在於「心」而不是「新」〉，風傳媒。</w:t>
      </w:r>
      <w:hyperlink r:id="rId105" w:history="1">
        <w:r w:rsidRPr="00C77E77">
          <w:rPr>
            <w:rStyle w:val="aa"/>
            <w:rFonts w:ascii="Times New Roman" w:eastAsia="標楷體" w:hAnsi="Times New Roman" w:cs="Times New Roman"/>
            <w:sz w:val="28"/>
            <w:szCs w:val="28"/>
            <w:u w:val="none"/>
          </w:rPr>
          <w:t>https://tw.news.yahoo.com/%E6%9D%8E%E6%B7%B3%E5%B0%88%E6%AC%84-%E6%96%B0%E5%8D%97%E5%90%91%E6%94%BF%E7%AD%96-%E9%97%9C%E9%8D%B5%E5%9C%A8%E6%96%BC-%E5%BF%83-%E8%80%8C%E4%B8%8D%E6%98%AF-%E6%96%B0-224000850.html</w:t>
        </w:r>
      </w:hyperlink>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查閱時間：</w:t>
      </w:r>
      <w:r w:rsidRPr="00C77E77">
        <w:rPr>
          <w:rFonts w:ascii="Times New Roman" w:eastAsia="標楷體" w:hAnsi="Times New Roman" w:cs="Times New Roman"/>
          <w:sz w:val="28"/>
          <w:szCs w:val="28"/>
        </w:rPr>
        <w:t>2016/7/1</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李詩慧，</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，〈夏立言識人不清</w:t>
      </w:r>
      <w:r w:rsidRPr="00C77E77">
        <w:rPr>
          <w:rFonts w:ascii="Times New Roman" w:eastAsia="標楷體" w:hAnsi="Times New Roman" w:cs="Times New Roman"/>
          <w:sz w:val="28"/>
          <w:szCs w:val="28"/>
        </w:rPr>
        <w:t xml:space="preserve"> </w:t>
      </w:r>
      <w:r w:rsidR="00E524D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商遭</w:t>
      </w:r>
      <w:r w:rsidR="00E524D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旺工業區坑殺〉，《壹週刊》，</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日。</w:t>
      </w:r>
      <w:hyperlink r:id="rId106" w:history="1">
        <w:r w:rsidRPr="00C77E77">
          <w:rPr>
            <w:rStyle w:val="aa"/>
            <w:rFonts w:ascii="Times New Roman" w:eastAsia="標楷體" w:hAnsi="Times New Roman" w:cs="Times New Roman"/>
            <w:sz w:val="28"/>
            <w:szCs w:val="28"/>
            <w:u w:val="none"/>
          </w:rPr>
          <w:t>http://www.nextmag.com.tw/breaking-news/news/20150225/15260745</w:t>
        </w:r>
      </w:hyperlink>
      <w:r w:rsidRPr="00C77E77">
        <w:rPr>
          <w:rFonts w:ascii="Times New Roman" w:eastAsia="標楷體" w:hAnsi="Times New Roman" w:cs="Times New Roman"/>
          <w:sz w:val="28"/>
          <w:szCs w:val="28"/>
        </w:rPr>
        <w:t xml:space="preserve"> </w:t>
      </w:r>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沈培華，</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，〈《貿易》臺灣經貿網加碼電商推廣〉，</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日，中時電子報。</w:t>
      </w:r>
      <w:hyperlink r:id="rId107" w:history="1">
        <w:r w:rsidRPr="00C77E77">
          <w:rPr>
            <w:rStyle w:val="aa"/>
            <w:rFonts w:ascii="Times New Roman" w:eastAsia="標楷體" w:hAnsi="Times New Roman" w:cs="Times New Roman"/>
            <w:sz w:val="28"/>
            <w:szCs w:val="28"/>
            <w:u w:val="none"/>
          </w:rPr>
          <w:t>http://www.chinatimes.com/realtimenews/20160525002104-260410</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車輛研究測試中心，〈小型節能平價車駛向東南亞市場〉，</w:t>
      </w:r>
      <w:r w:rsidRPr="00C77E77">
        <w:rPr>
          <w:rStyle w:val="aa"/>
          <w:rFonts w:ascii="Times New Roman" w:eastAsia="標楷體" w:hAnsi="Times New Roman" w:cs="Times New Roman"/>
          <w:color w:val="000000" w:themeColor="text1"/>
          <w:sz w:val="28"/>
          <w:szCs w:val="28"/>
          <w:u w:val="none"/>
        </w:rPr>
        <w:t>2013</w:t>
      </w:r>
      <w:r w:rsidRPr="00C77E77">
        <w:rPr>
          <w:rStyle w:val="aa"/>
          <w:rFonts w:ascii="Times New Roman" w:eastAsia="標楷體" w:hAnsi="Times New Roman" w:cs="Times New Roman"/>
          <w:color w:val="000000" w:themeColor="text1"/>
          <w:sz w:val="28"/>
          <w:szCs w:val="28"/>
          <w:u w:val="none"/>
        </w:rPr>
        <w:t>：</w:t>
      </w:r>
      <w:hyperlink r:id="rId108" w:history="1">
        <w:r w:rsidRPr="00C77E77">
          <w:rPr>
            <w:rStyle w:val="aa"/>
            <w:rFonts w:ascii="Times New Roman" w:eastAsia="標楷體" w:hAnsi="Times New Roman" w:cs="Times New Roman"/>
            <w:sz w:val="28"/>
            <w:szCs w:val="28"/>
            <w:u w:val="none"/>
          </w:rPr>
          <w:t>https://www.artc.org.tw/chinese/03_service/03_02detail.aspx?pid=2380</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林志杰，</w:t>
      </w:r>
      <w:r w:rsidRPr="00C77E77">
        <w:rPr>
          <w:rFonts w:ascii="Times New Roman" w:eastAsia="標楷體" w:hAnsi="Times New Roman" w:cs="Times New Roman"/>
          <w:sz w:val="28"/>
          <w:szCs w:val="28"/>
        </w:rPr>
        <w:t>2007</w:t>
      </w:r>
      <w:r w:rsidRPr="00C77E77">
        <w:rPr>
          <w:rFonts w:ascii="Times New Roman" w:eastAsia="標楷體" w:hAnsi="Times New Roman" w:cs="Times New Roman"/>
          <w:sz w:val="28"/>
          <w:szCs w:val="28"/>
        </w:rPr>
        <w:t>年，〈新加坡電子道路定價策略　降低車流量更減少溫室氣體〉，財團法人資訊工業策進會</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創新應用服務研究所，</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28</w:t>
      </w:r>
      <w:r w:rsidRPr="00C77E77">
        <w:rPr>
          <w:rFonts w:ascii="Times New Roman" w:eastAsia="標楷體" w:hAnsi="Times New Roman" w:cs="Times New Roman"/>
          <w:sz w:val="28"/>
          <w:szCs w:val="28"/>
        </w:rPr>
        <w:t>日。</w:t>
      </w:r>
      <w:hyperlink r:id="rId109" w:history="1">
        <w:r w:rsidRPr="00C77E77">
          <w:rPr>
            <w:rStyle w:val="aa"/>
            <w:rFonts w:ascii="Times New Roman" w:eastAsia="標楷體" w:hAnsi="Times New Roman" w:cs="Times New Roman"/>
            <w:sz w:val="28"/>
            <w:szCs w:val="28"/>
            <w:u w:val="none"/>
          </w:rPr>
          <w:t>http://www.find.org.tw/market_info.aspx?n_ID=4398</w:t>
        </w:r>
      </w:hyperlink>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物流技術與戰略，</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，〈東南亞物流市場開始爆發，受益於電商崛起〉，</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日。</w:t>
      </w:r>
      <w:hyperlink r:id="rId110" w:history="1">
        <w:r w:rsidRPr="00C77E77">
          <w:rPr>
            <w:rStyle w:val="aa"/>
            <w:rFonts w:ascii="Times New Roman" w:eastAsia="標楷體" w:hAnsi="Times New Roman" w:cs="Times New Roman"/>
            <w:sz w:val="28"/>
            <w:szCs w:val="28"/>
            <w:u w:val="none"/>
          </w:rPr>
          <w:t>http://www.logisticnet.com.tw/newsCaseRunDetail.asp?id=150</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范振城，</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年第四季及全年我國石化產業回顧與展望〉，工研院</w:t>
      </w:r>
      <w:r w:rsidRPr="00C77E77">
        <w:rPr>
          <w:rFonts w:ascii="Times New Roman" w:eastAsia="標楷體" w:hAnsi="Times New Roman" w:cs="Times New Roman"/>
          <w:sz w:val="28"/>
          <w:szCs w:val="28"/>
        </w:rPr>
        <w:t>IT IS</w:t>
      </w:r>
      <w:r w:rsidRPr="00C77E77">
        <w:rPr>
          <w:rFonts w:ascii="Times New Roman" w:eastAsia="標楷體" w:hAnsi="Times New Roman" w:cs="Times New Roman"/>
          <w:sz w:val="28"/>
          <w:szCs w:val="28"/>
        </w:rPr>
        <w:t>產業季報，</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月。</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范振城，</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年第一季我國石化產業回顧與展望〉，工研院</w:t>
      </w:r>
      <w:r w:rsidRPr="00C77E77">
        <w:rPr>
          <w:rFonts w:ascii="Times New Roman" w:eastAsia="標楷體" w:hAnsi="Times New Roman" w:cs="Times New Roman"/>
          <w:sz w:val="28"/>
          <w:szCs w:val="28"/>
        </w:rPr>
        <w:t>IT IS</w:t>
      </w:r>
      <w:r w:rsidRPr="00C77E77">
        <w:rPr>
          <w:rFonts w:ascii="Times New Roman" w:eastAsia="標楷體" w:hAnsi="Times New Roman" w:cs="Times New Roman"/>
          <w:sz w:val="28"/>
          <w:szCs w:val="28"/>
        </w:rPr>
        <w:t>產業季報，</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范振城，工研院</w:t>
      </w:r>
      <w:r w:rsidRPr="00C77E77">
        <w:rPr>
          <w:rFonts w:ascii="Times New Roman" w:eastAsia="標楷體" w:hAnsi="Times New Roman" w:cs="Times New Roman"/>
          <w:sz w:val="28"/>
          <w:szCs w:val="28"/>
        </w:rPr>
        <w:t>IEK</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，〈中國大陸石化產業區域聚落現況與規劃〉，</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日，苦勞網，</w:t>
      </w:r>
      <w:hyperlink r:id="rId111" w:history="1">
        <w:r w:rsidRPr="00C77E77">
          <w:rPr>
            <w:rStyle w:val="aa"/>
            <w:rFonts w:ascii="Times New Roman" w:eastAsia="標楷體" w:hAnsi="Times New Roman" w:cs="Times New Roman"/>
            <w:sz w:val="28"/>
            <w:szCs w:val="28"/>
            <w:u w:val="none"/>
          </w:rPr>
          <w:t>http://www.coolloud.org.tw/node/66265</w:t>
        </w:r>
      </w:hyperlink>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，文萊市場概況。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，印尼市場概況。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，印度市場概況。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，老撾市場概況。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，柬埔寨市場概況。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，泰國市場概況。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，馬來西亞市場概況。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，菲律賓市場概況。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，越南市場概況。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，新加坡市場概況。</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香港貿易發展局，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，緬甸市場概況。</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唐國泰、周宣光，</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年，〈從電子化政府評比觀察我國</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治理議題〉，國際資訊管理研討會論文，中華民國資訊管理學會。</w:t>
      </w:r>
      <w:hyperlink r:id="rId112" w:history="1">
        <w:r w:rsidRPr="00C77E77">
          <w:rPr>
            <w:rStyle w:val="aa"/>
            <w:rFonts w:ascii="Times New Roman" w:eastAsia="標楷體" w:hAnsi="Times New Roman" w:cs="Times New Roman"/>
            <w:sz w:val="28"/>
            <w:szCs w:val="28"/>
            <w:u w:val="none"/>
          </w:rPr>
          <w:t>http://oplab.im.ntu.edu.tw/csimweb/index.php/Web/ICIMPublishInquiry?currentpage=26</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神通資科，〈神通智慧校園</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遠赴越南樹立標竿〉。</w:t>
      </w:r>
      <w:hyperlink r:id="rId113" w:history="1">
        <w:r w:rsidRPr="00C77E77">
          <w:rPr>
            <w:rStyle w:val="aa"/>
            <w:rFonts w:ascii="Times New Roman" w:eastAsia="標楷體" w:hAnsi="Times New Roman" w:cs="Times New Roman"/>
            <w:sz w:val="28"/>
            <w:szCs w:val="28"/>
            <w:u w:val="none"/>
          </w:rPr>
          <w:t>http://www.mitac.com.tw/cn/pdf/P.21%20%E7%A5%9E%E9%80%9A%E6%99%BA%E6%85%A7%E6%A0%A1%E5%9C%92.pdf</w:t>
        </w:r>
      </w:hyperlink>
      <w:r w:rsidRPr="00C77E77">
        <w:rPr>
          <w:rFonts w:ascii="Times New Roman" w:eastAsia="標楷體" w:hAnsi="Times New Roman" w:cs="Times New Roman"/>
          <w:sz w:val="28"/>
          <w:szCs w:val="28"/>
        </w:rPr>
        <w:t xml:space="preserve"> </w:t>
      </w:r>
    </w:p>
    <w:p w:rsidR="008D5640" w:rsidRPr="00C77E77" w:rsidRDefault="008D5640" w:rsidP="00781721">
      <w:pPr>
        <w:pStyle w:val="a7"/>
        <w:spacing w:before="50" w:after="50" w:line="500" w:lineRule="exact"/>
        <w:rPr>
          <w:rFonts w:ascii="Times New Roman" w:eastAsia="標楷體" w:hAnsi="Times New Roman" w:cs="Times New Roman"/>
          <w:sz w:val="28"/>
          <w:szCs w:val="28"/>
        </w:rPr>
      </w:pPr>
      <w:r w:rsidRPr="00C77E77">
        <w:rPr>
          <w:rFonts w:ascii="Times New Roman" w:eastAsia="標楷體" w:hAnsi="Times New Roman" w:cs="Times New Roman"/>
          <w:sz w:val="28"/>
          <w:szCs w:val="28"/>
        </w:rPr>
        <w:t>財團法人資訊工業策進會，</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年，〈臺灣電子化政府與資通訊應用軟實力驚艷寮國〉，</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22</w:t>
      </w:r>
      <w:r w:rsidRPr="00C77E77">
        <w:rPr>
          <w:rFonts w:ascii="Times New Roman" w:eastAsia="標楷體" w:hAnsi="Times New Roman" w:cs="Times New Roman"/>
          <w:sz w:val="28"/>
          <w:szCs w:val="28"/>
        </w:rPr>
        <w:t>日。</w:t>
      </w:r>
      <w:hyperlink r:id="rId114" w:history="1">
        <w:r w:rsidRPr="00C77E77">
          <w:rPr>
            <w:rStyle w:val="aa"/>
            <w:rFonts w:ascii="Times New Roman" w:eastAsia="標楷體" w:hAnsi="Times New Roman" w:cs="Times New Roman"/>
            <w:sz w:val="28"/>
            <w:szCs w:val="28"/>
            <w:u w:val="none"/>
          </w:rPr>
          <w:t>http://www.iii.org.tw/Press/NewsDtl.aspx?nsp_sqno=1738&amp;fm_sqno=14</w:t>
        </w:r>
      </w:hyperlink>
      <w:r w:rsidRPr="00C77E77">
        <w:rPr>
          <w:rFonts w:ascii="Times New Roman" w:eastAsia="標楷體" w:hAnsi="Times New Roman" w:cs="Times New Roman"/>
          <w:sz w:val="28"/>
          <w:szCs w:val="28"/>
        </w:rPr>
        <w:t xml:space="preserve"> </w:t>
      </w:r>
    </w:p>
    <w:p w:rsidR="008D5640" w:rsidRPr="00C77E77" w:rsidRDefault="008D5640" w:rsidP="008208EB">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商發院，</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，〈跨境電商啟動　助臺商搶食東協百億商機</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電商零售平臺</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臺灣品牌</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網路服務業者</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聯合艦隊挺進東協〉，</w:t>
      </w:r>
      <w:r w:rsidRPr="00C77E77">
        <w:rPr>
          <w:rStyle w:val="aa"/>
          <w:rFonts w:ascii="Times New Roman" w:eastAsia="標楷體" w:hAnsi="Times New Roman" w:cs="Times New Roman"/>
          <w:color w:val="000000" w:themeColor="text1"/>
          <w:sz w:val="28"/>
          <w:szCs w:val="28"/>
          <w:u w:val="none"/>
        </w:rPr>
        <w:t>1</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26</w:t>
      </w:r>
      <w:r w:rsidRPr="00C77E77">
        <w:rPr>
          <w:rStyle w:val="aa"/>
          <w:rFonts w:ascii="Times New Roman" w:eastAsia="標楷體" w:hAnsi="Times New Roman" w:cs="Times New Roman"/>
          <w:color w:val="000000" w:themeColor="text1"/>
          <w:sz w:val="28"/>
          <w:szCs w:val="28"/>
          <w:u w:val="none"/>
        </w:rPr>
        <w:t>日。</w:t>
      </w:r>
      <w:hyperlink r:id="rId115" w:history="1">
        <w:r w:rsidRPr="00C77E77">
          <w:rPr>
            <w:rStyle w:val="aa"/>
            <w:rFonts w:ascii="Times New Roman" w:eastAsia="標楷體" w:hAnsi="Times New Roman" w:cs="Times New Roman"/>
            <w:sz w:val="28"/>
            <w:szCs w:val="28"/>
            <w:u w:val="none"/>
          </w:rPr>
          <w:t>http://www.cdri.org.tw/content/news/news01_in.aspx?sid=118</w:t>
        </w:r>
      </w:hyperlink>
    </w:p>
    <w:p w:rsidR="008D5640" w:rsidRPr="00C77E77" w:rsidRDefault="008D5640" w:rsidP="008208EB">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商發院，</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，〈跨境電商啟動　助臺商搶食東協百億商機</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電商零售平臺</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臺灣品牌</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網路服務業者</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聯合艦隊挺進東協〉，</w:t>
      </w:r>
      <w:r w:rsidRPr="00C77E77">
        <w:rPr>
          <w:rStyle w:val="aa"/>
          <w:rFonts w:ascii="Times New Roman" w:eastAsia="標楷體" w:hAnsi="Times New Roman" w:cs="Times New Roman"/>
          <w:color w:val="000000" w:themeColor="text1"/>
          <w:sz w:val="28"/>
          <w:szCs w:val="28"/>
          <w:u w:val="none"/>
        </w:rPr>
        <w:t>1</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26</w:t>
      </w:r>
      <w:r w:rsidRPr="00C77E77">
        <w:rPr>
          <w:rStyle w:val="aa"/>
          <w:rFonts w:ascii="Times New Roman" w:eastAsia="標楷體" w:hAnsi="Times New Roman" w:cs="Times New Roman"/>
          <w:color w:val="000000" w:themeColor="text1"/>
          <w:sz w:val="28"/>
          <w:szCs w:val="28"/>
          <w:u w:val="none"/>
        </w:rPr>
        <w:t>日。</w:t>
      </w:r>
      <w:hyperlink r:id="rId116" w:history="1">
        <w:r w:rsidRPr="00C77E77">
          <w:rPr>
            <w:rStyle w:val="aa"/>
            <w:rFonts w:ascii="Times New Roman" w:eastAsia="標楷體" w:hAnsi="Times New Roman" w:cs="Times New Roman"/>
            <w:sz w:val="28"/>
            <w:szCs w:val="28"/>
            <w:u w:val="none"/>
          </w:rPr>
          <w:t>http://www.cdri.org.tw/content/news/news01_in.aspx?sid=118</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國家發展委員會，</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年，〈電子化政府計畫〉</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日。</w:t>
      </w:r>
      <w:hyperlink r:id="rId117" w:history="1">
        <w:r w:rsidRPr="00C77E77">
          <w:rPr>
            <w:rStyle w:val="aa"/>
            <w:rFonts w:ascii="Times New Roman" w:eastAsia="標楷體" w:hAnsi="Times New Roman" w:cs="Times New Roman"/>
            <w:sz w:val="28"/>
            <w:szCs w:val="28"/>
            <w:u w:val="none"/>
          </w:rPr>
          <w:t>http://www.ndc.gov.tw/Content_List.aspx?n=E0C48B7F39ACB61F</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崔灝東，</w:t>
      </w:r>
      <w:r w:rsidRPr="00C77E77">
        <w:rPr>
          <w:rFonts w:ascii="Times New Roman" w:eastAsia="標楷體" w:hAnsi="Times New Roman" w:cs="Times New Roman"/>
          <w:sz w:val="28"/>
          <w:szCs w:val="28"/>
        </w:rPr>
        <w:t>2008</w:t>
      </w:r>
      <w:r w:rsidRPr="00C77E77">
        <w:rPr>
          <w:rFonts w:ascii="Times New Roman" w:eastAsia="標楷體" w:hAnsi="Times New Roman" w:cs="Times New Roman"/>
          <w:sz w:val="28"/>
          <w:szCs w:val="28"/>
        </w:rPr>
        <w:t>年，〈從電子化政府到電子化治理</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兼論資訊長的今日和未來〉，《</w:t>
      </w:r>
      <w:r w:rsidRPr="00C77E77">
        <w:rPr>
          <w:rFonts w:ascii="Times New Roman" w:eastAsia="標楷體" w:hAnsi="Times New Roman" w:cs="Times New Roman"/>
          <w:sz w:val="28"/>
          <w:szCs w:val="28"/>
        </w:rPr>
        <w:t>2008</w:t>
      </w:r>
      <w:r w:rsidRPr="00C77E77">
        <w:rPr>
          <w:rFonts w:ascii="Times New Roman" w:eastAsia="標楷體" w:hAnsi="Times New Roman" w:cs="Times New Roman"/>
          <w:sz w:val="28"/>
          <w:szCs w:val="28"/>
        </w:rPr>
        <w:t>知識社群與系統發展研討會論文全集》。</w:t>
      </w:r>
    </w:p>
    <w:p w:rsidR="008D5640" w:rsidRPr="00C77E77" w:rsidRDefault="008D5640" w:rsidP="008C0920">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Style w:val="aa"/>
          <w:rFonts w:ascii="Times New Roman" w:eastAsia="標楷體" w:hAnsi="Times New Roman" w:cs="Times New Roman"/>
          <w:color w:val="000000" w:themeColor="text1"/>
          <w:sz w:val="28"/>
          <w:szCs w:val="28"/>
          <w:u w:val="none"/>
        </w:rPr>
        <w:t>張建一，</w:t>
      </w:r>
      <w:r w:rsidRPr="00C77E77">
        <w:rPr>
          <w:rStyle w:val="aa"/>
          <w:rFonts w:ascii="Times New Roman" w:eastAsia="標楷體" w:hAnsi="Times New Roman" w:cs="Times New Roman"/>
          <w:color w:val="000000" w:themeColor="text1"/>
          <w:sz w:val="28"/>
          <w:szCs w:val="28"/>
          <w:u w:val="none"/>
        </w:rPr>
        <w:t>2015</w:t>
      </w:r>
      <w:r w:rsidRPr="00C77E77">
        <w:rPr>
          <w:rStyle w:val="aa"/>
          <w:rFonts w:ascii="Times New Roman" w:eastAsia="標楷體" w:hAnsi="Times New Roman" w:cs="Times New Roman"/>
          <w:color w:val="000000" w:themeColor="text1"/>
          <w:sz w:val="28"/>
          <w:szCs w:val="28"/>
          <w:u w:val="none"/>
        </w:rPr>
        <w:t>，〈</w:t>
      </w:r>
      <w:r w:rsidR="00E524DA" w:rsidRPr="00C77E77">
        <w:rPr>
          <w:rStyle w:val="aa"/>
          <w:rFonts w:ascii="Times New Roman" w:eastAsia="標楷體" w:hAnsi="Times New Roman" w:cs="Times New Roman"/>
          <w:color w:val="000000" w:themeColor="text1"/>
          <w:sz w:val="28"/>
          <w:szCs w:val="28"/>
          <w:u w:val="none"/>
        </w:rPr>
        <w:t>臺</w:t>
      </w:r>
      <w:r w:rsidRPr="00C77E77">
        <w:rPr>
          <w:rStyle w:val="aa"/>
          <w:rFonts w:ascii="Times New Roman" w:eastAsia="標楷體" w:hAnsi="Times New Roman" w:cs="Times New Roman"/>
          <w:color w:val="000000" w:themeColor="text1"/>
          <w:sz w:val="28"/>
          <w:szCs w:val="28"/>
          <w:u w:val="none"/>
        </w:rPr>
        <w:t>中日韓在東協市場競合發展與我國的策略方向〉，《產業雜誌》，第</w:t>
      </w:r>
      <w:r w:rsidRPr="00C77E77">
        <w:rPr>
          <w:rStyle w:val="aa"/>
          <w:rFonts w:ascii="Times New Roman" w:eastAsia="標楷體" w:hAnsi="Times New Roman" w:cs="Times New Roman"/>
          <w:color w:val="000000" w:themeColor="text1"/>
          <w:sz w:val="28"/>
          <w:szCs w:val="28"/>
          <w:u w:val="none"/>
        </w:rPr>
        <w:t>542</w:t>
      </w:r>
      <w:r w:rsidRPr="00C77E77">
        <w:rPr>
          <w:rStyle w:val="aa"/>
          <w:rFonts w:ascii="Times New Roman" w:eastAsia="標楷體" w:hAnsi="Times New Roman" w:cs="Times New Roman"/>
          <w:color w:val="000000" w:themeColor="text1"/>
          <w:sz w:val="28"/>
          <w:szCs w:val="28"/>
          <w:u w:val="none"/>
        </w:rPr>
        <w:t>期。</w:t>
      </w:r>
      <w:hyperlink r:id="rId118" w:history="1">
        <w:r w:rsidRPr="00C77E77">
          <w:rPr>
            <w:rStyle w:val="aa"/>
            <w:rFonts w:ascii="Times New Roman" w:eastAsia="標楷體" w:hAnsi="Times New Roman" w:cs="Times New Roman"/>
            <w:sz w:val="28"/>
            <w:szCs w:val="28"/>
            <w:u w:val="none"/>
          </w:rPr>
          <w:t>http://www.tier.org.tw/achievements/pec3010.aspx?GUID=bbe5f513-ed61-477d-ae77-9597c8e86aa2</w:t>
        </w:r>
      </w:hyperlink>
      <w:r w:rsidRPr="00C77E77">
        <w:rPr>
          <w:rStyle w:val="aa"/>
          <w:rFonts w:ascii="Times New Roman" w:eastAsia="標楷體" w:hAnsi="Times New Roman" w:cs="Times New Roman"/>
          <w:sz w:val="28"/>
          <w:szCs w:val="28"/>
          <w:u w:val="none"/>
        </w:rPr>
        <w:t xml:space="preserve">  </w:t>
      </w:r>
    </w:p>
    <w:p w:rsidR="008D5640" w:rsidRPr="00C77E77" w:rsidRDefault="008D5640" w:rsidP="008C0920">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張婉玲、周滋靜，〈不再只有單機需求，校園智慧化需要整合能力〉，</w:t>
      </w:r>
      <w:r w:rsidRPr="00C77E77">
        <w:rPr>
          <w:rFonts w:ascii="Times New Roman" w:eastAsia="標楷體" w:hAnsi="Times New Roman" w:cs="Times New Roman"/>
          <w:sz w:val="28"/>
          <w:szCs w:val="28"/>
        </w:rPr>
        <w:t>iDS</w:t>
      </w:r>
      <w:r w:rsidRPr="00C77E77">
        <w:rPr>
          <w:rFonts w:ascii="Times New Roman" w:eastAsia="標楷體" w:hAnsi="Times New Roman" w:cs="Times New Roman"/>
          <w:sz w:val="28"/>
          <w:szCs w:val="28"/>
        </w:rPr>
        <w:t>智慧安防雜誌</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編輯部。</w:t>
      </w:r>
      <w:hyperlink r:id="rId119" w:history="1">
        <w:r w:rsidRPr="00C77E77">
          <w:rPr>
            <w:rStyle w:val="aa"/>
            <w:rFonts w:ascii="Times New Roman" w:eastAsia="標楷體" w:hAnsi="Times New Roman" w:cs="Times New Roman"/>
            <w:sz w:val="28"/>
            <w:szCs w:val="28"/>
            <w:u w:val="none"/>
          </w:rPr>
          <w:t>http://ids.asianmedia.com.tw/new_article.asp?ar_id=24639</w:t>
        </w:r>
      </w:hyperlink>
    </w:p>
    <w:p w:rsidR="008D5640" w:rsidRPr="00C77E77" w:rsidRDefault="008D5640" w:rsidP="008C0920">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Style w:val="aa"/>
          <w:rFonts w:ascii="Times New Roman" w:eastAsia="標楷體" w:hAnsi="Times New Roman" w:cs="Times New Roman"/>
          <w:color w:val="000000" w:themeColor="text1"/>
          <w:sz w:val="28"/>
          <w:szCs w:val="28"/>
          <w:u w:val="none"/>
        </w:rPr>
        <w:t>張博欽，</w:t>
      </w:r>
      <w:r w:rsidRPr="00C77E77">
        <w:rPr>
          <w:rStyle w:val="aa"/>
          <w:rFonts w:ascii="Times New Roman" w:eastAsia="標楷體" w:hAnsi="Times New Roman" w:cs="Times New Roman"/>
          <w:color w:val="000000" w:themeColor="text1"/>
          <w:sz w:val="28"/>
          <w:szCs w:val="28"/>
          <w:u w:val="none"/>
        </w:rPr>
        <w:t>2014</w:t>
      </w:r>
      <w:r w:rsidRPr="00C77E77">
        <w:rPr>
          <w:rStyle w:val="aa"/>
          <w:rFonts w:ascii="Times New Roman" w:eastAsia="標楷體" w:hAnsi="Times New Roman" w:cs="Times New Roman"/>
          <w:color w:val="000000" w:themeColor="text1"/>
          <w:sz w:val="28"/>
          <w:szCs w:val="28"/>
          <w:u w:val="none"/>
        </w:rPr>
        <w:t>，〈論中、日、</w:t>
      </w:r>
      <w:r w:rsidR="00E524DA" w:rsidRPr="00C77E77">
        <w:rPr>
          <w:rStyle w:val="aa"/>
          <w:rFonts w:ascii="Times New Roman" w:eastAsia="標楷體" w:hAnsi="Times New Roman" w:cs="Times New Roman"/>
          <w:color w:val="000000" w:themeColor="text1"/>
          <w:sz w:val="28"/>
          <w:szCs w:val="28"/>
          <w:u w:val="none"/>
        </w:rPr>
        <w:t>臺</w:t>
      </w:r>
      <w:r w:rsidRPr="00C77E77">
        <w:rPr>
          <w:rStyle w:val="aa"/>
          <w:rFonts w:ascii="Times New Roman" w:eastAsia="標楷體" w:hAnsi="Times New Roman" w:cs="Times New Roman"/>
          <w:color w:val="000000" w:themeColor="text1"/>
          <w:sz w:val="28"/>
          <w:szCs w:val="28"/>
          <w:u w:val="none"/>
        </w:rPr>
        <w:t>、韓之逐鹿東協〉，《</w:t>
      </w:r>
      <w:r w:rsidRPr="00C77E77">
        <w:rPr>
          <w:rStyle w:val="aa"/>
          <w:rFonts w:ascii="Times New Roman" w:eastAsia="標楷體" w:hAnsi="Times New Roman" w:cs="Times New Roman"/>
          <w:color w:val="000000" w:themeColor="text1"/>
          <w:sz w:val="28"/>
          <w:szCs w:val="28"/>
          <w:u w:val="none"/>
        </w:rPr>
        <w:t>APEC</w:t>
      </w:r>
      <w:r w:rsidRPr="00C77E77">
        <w:rPr>
          <w:rStyle w:val="aa"/>
          <w:rFonts w:ascii="Times New Roman" w:eastAsia="標楷體" w:hAnsi="Times New Roman" w:cs="Times New Roman"/>
          <w:color w:val="000000" w:themeColor="text1"/>
          <w:sz w:val="28"/>
          <w:szCs w:val="28"/>
          <w:u w:val="none"/>
        </w:rPr>
        <w:t>通訊》，第</w:t>
      </w:r>
      <w:r w:rsidRPr="00C77E77">
        <w:rPr>
          <w:rStyle w:val="aa"/>
          <w:rFonts w:ascii="Times New Roman" w:eastAsia="標楷體" w:hAnsi="Times New Roman" w:cs="Times New Roman"/>
          <w:color w:val="000000" w:themeColor="text1"/>
          <w:sz w:val="28"/>
          <w:szCs w:val="28"/>
          <w:u w:val="none"/>
        </w:rPr>
        <w:t>171</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172</w:t>
      </w:r>
      <w:r w:rsidRPr="00C77E77">
        <w:rPr>
          <w:rStyle w:val="aa"/>
          <w:rFonts w:ascii="Times New Roman" w:eastAsia="標楷體" w:hAnsi="Times New Roman" w:cs="Times New Roman"/>
          <w:color w:val="000000" w:themeColor="text1"/>
          <w:sz w:val="28"/>
          <w:szCs w:val="28"/>
          <w:u w:val="none"/>
        </w:rPr>
        <w:t>期。</w:t>
      </w:r>
      <w:hyperlink r:id="rId120" w:history="1">
        <w:r w:rsidRPr="00C77E77">
          <w:rPr>
            <w:rStyle w:val="aa"/>
            <w:rFonts w:ascii="Times New Roman" w:eastAsia="標楷體" w:hAnsi="Times New Roman" w:cs="Times New Roman"/>
            <w:sz w:val="28"/>
            <w:szCs w:val="28"/>
            <w:u w:val="none"/>
          </w:rPr>
          <w:t>http://www.ctasc.org.tw/02publication/APEC-172-p06-10.pdf</w:t>
        </w:r>
      </w:hyperlink>
      <w:r w:rsidRPr="00C77E77">
        <w:rPr>
          <w:rStyle w:val="aa"/>
          <w:rFonts w:ascii="Times New Roman" w:eastAsia="標楷體" w:hAnsi="Times New Roman" w:cs="Times New Roman"/>
          <w:sz w:val="28"/>
          <w:szCs w:val="28"/>
          <w:u w:val="none"/>
        </w:rPr>
        <w:t xml:space="preserve"> </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auto"/>
          <w:sz w:val="28"/>
          <w:szCs w:val="28"/>
          <w:u w:val="none"/>
        </w:rPr>
      </w:pPr>
      <w:r w:rsidRPr="00C77E77">
        <w:rPr>
          <w:rStyle w:val="aa"/>
          <w:rFonts w:ascii="Times New Roman" w:eastAsia="標楷體" w:hAnsi="Times New Roman" w:cs="Times New Roman"/>
          <w:color w:val="auto"/>
          <w:sz w:val="28"/>
          <w:szCs w:val="28"/>
          <w:u w:val="none"/>
        </w:rPr>
        <w:t>張慈映，工研院產業經濟與趨勢研究中心（</w:t>
      </w:r>
      <w:r w:rsidRPr="00C77E77">
        <w:rPr>
          <w:rStyle w:val="aa"/>
          <w:rFonts w:ascii="Times New Roman" w:eastAsia="標楷體" w:hAnsi="Times New Roman" w:cs="Times New Roman"/>
          <w:color w:val="auto"/>
          <w:sz w:val="28"/>
          <w:szCs w:val="28"/>
          <w:u w:val="none"/>
        </w:rPr>
        <w:t>IEK</w:t>
      </w:r>
      <w:r w:rsidRPr="00C77E77">
        <w:rPr>
          <w:rStyle w:val="aa"/>
          <w:rFonts w:ascii="Times New Roman" w:eastAsia="標楷體" w:hAnsi="Times New Roman" w:cs="Times New Roman"/>
          <w:color w:val="auto"/>
          <w:sz w:val="28"/>
          <w:szCs w:val="28"/>
          <w:u w:val="none"/>
        </w:rPr>
        <w:t>），</w:t>
      </w:r>
      <w:r w:rsidRPr="00C77E77">
        <w:rPr>
          <w:rStyle w:val="aa"/>
          <w:rFonts w:ascii="Times New Roman" w:eastAsia="標楷體" w:hAnsi="Times New Roman" w:cs="Times New Roman"/>
          <w:color w:val="auto"/>
          <w:sz w:val="28"/>
          <w:szCs w:val="28"/>
          <w:u w:val="none"/>
        </w:rPr>
        <w:t>2015</w:t>
      </w:r>
      <w:r w:rsidRPr="00C77E77">
        <w:rPr>
          <w:rStyle w:val="aa"/>
          <w:rFonts w:ascii="Times New Roman" w:eastAsia="標楷體" w:hAnsi="Times New Roman" w:cs="Times New Roman"/>
          <w:color w:val="auto"/>
          <w:sz w:val="28"/>
          <w:szCs w:val="28"/>
          <w:u w:val="none"/>
        </w:rPr>
        <w:t>年，﹤智慧健康醫療應用服務現況〉，</w:t>
      </w:r>
      <w:r w:rsidRPr="00C77E77">
        <w:rPr>
          <w:rStyle w:val="aa"/>
          <w:rFonts w:ascii="Times New Roman" w:eastAsia="標楷體" w:hAnsi="Times New Roman" w:cs="Times New Roman"/>
          <w:color w:val="auto"/>
          <w:sz w:val="28"/>
          <w:szCs w:val="28"/>
          <w:u w:val="none"/>
        </w:rPr>
        <w:t>7</w:t>
      </w:r>
      <w:r w:rsidRPr="00C77E77">
        <w:rPr>
          <w:rStyle w:val="aa"/>
          <w:rFonts w:ascii="Times New Roman" w:eastAsia="標楷體" w:hAnsi="Times New Roman" w:cs="Times New Roman"/>
          <w:color w:val="auto"/>
          <w:sz w:val="28"/>
          <w:szCs w:val="28"/>
          <w:u w:val="none"/>
        </w:rPr>
        <w:t>月</w:t>
      </w:r>
      <w:r w:rsidRPr="00C77E77">
        <w:rPr>
          <w:rStyle w:val="aa"/>
          <w:rFonts w:ascii="Times New Roman" w:eastAsia="標楷體" w:hAnsi="Times New Roman" w:cs="Times New Roman"/>
          <w:color w:val="auto"/>
          <w:sz w:val="28"/>
          <w:szCs w:val="28"/>
          <w:u w:val="none"/>
        </w:rPr>
        <w:t>22</w:t>
      </w:r>
      <w:r w:rsidRPr="00C77E77">
        <w:rPr>
          <w:rStyle w:val="aa"/>
          <w:rFonts w:ascii="Times New Roman" w:eastAsia="標楷體" w:hAnsi="Times New Roman" w:cs="Times New Roman"/>
          <w:color w:val="auto"/>
          <w:sz w:val="28"/>
          <w:szCs w:val="28"/>
          <w:u w:val="none"/>
        </w:rPr>
        <w:t>日。</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auto"/>
          <w:sz w:val="28"/>
          <w:szCs w:val="28"/>
          <w:u w:val="none"/>
        </w:rPr>
      </w:pPr>
      <w:r w:rsidRPr="00C77E77">
        <w:rPr>
          <w:rStyle w:val="aa"/>
          <w:rFonts w:ascii="Times New Roman" w:eastAsia="標楷體" w:hAnsi="Times New Roman" w:cs="Times New Roman"/>
          <w:color w:val="auto"/>
          <w:sz w:val="28"/>
          <w:szCs w:val="28"/>
          <w:u w:val="none"/>
        </w:rPr>
        <w:t>張慈映、周文凱，工研院產業經濟與趨勢研究中心（</w:t>
      </w:r>
      <w:r w:rsidRPr="00C77E77">
        <w:rPr>
          <w:rStyle w:val="aa"/>
          <w:rFonts w:ascii="Times New Roman" w:eastAsia="標楷體" w:hAnsi="Times New Roman" w:cs="Times New Roman"/>
          <w:color w:val="auto"/>
          <w:sz w:val="28"/>
          <w:szCs w:val="28"/>
          <w:u w:val="none"/>
        </w:rPr>
        <w:t>IEK</w:t>
      </w:r>
      <w:r w:rsidRPr="00C77E77">
        <w:rPr>
          <w:rStyle w:val="aa"/>
          <w:rFonts w:ascii="Times New Roman" w:eastAsia="標楷體" w:hAnsi="Times New Roman" w:cs="Times New Roman"/>
          <w:color w:val="auto"/>
          <w:sz w:val="28"/>
          <w:szCs w:val="28"/>
          <w:u w:val="none"/>
        </w:rPr>
        <w:t>），</w:t>
      </w:r>
      <w:r w:rsidRPr="00C77E77">
        <w:rPr>
          <w:rStyle w:val="aa"/>
          <w:rFonts w:ascii="Times New Roman" w:eastAsia="標楷體" w:hAnsi="Times New Roman" w:cs="Times New Roman"/>
          <w:color w:val="auto"/>
          <w:sz w:val="28"/>
          <w:szCs w:val="28"/>
          <w:u w:val="none"/>
        </w:rPr>
        <w:t>2016</w:t>
      </w:r>
      <w:r w:rsidRPr="00C77E77">
        <w:rPr>
          <w:rStyle w:val="aa"/>
          <w:rFonts w:ascii="Times New Roman" w:eastAsia="標楷體" w:hAnsi="Times New Roman" w:cs="Times New Roman"/>
          <w:color w:val="auto"/>
          <w:sz w:val="28"/>
          <w:szCs w:val="28"/>
          <w:u w:val="none"/>
        </w:rPr>
        <w:t>年，﹤</w:t>
      </w:r>
      <w:r w:rsidRPr="00C77E77">
        <w:rPr>
          <w:rStyle w:val="aa"/>
          <w:rFonts w:ascii="Times New Roman" w:eastAsia="標楷體" w:hAnsi="Times New Roman" w:cs="Times New Roman"/>
          <w:color w:val="auto"/>
          <w:sz w:val="28"/>
          <w:szCs w:val="28"/>
          <w:u w:val="none"/>
        </w:rPr>
        <w:t>2016</w:t>
      </w:r>
      <w:r w:rsidRPr="00C77E77">
        <w:rPr>
          <w:rStyle w:val="aa"/>
          <w:rFonts w:ascii="Times New Roman" w:eastAsia="標楷體" w:hAnsi="Times New Roman" w:cs="Times New Roman"/>
          <w:color w:val="auto"/>
          <w:sz w:val="28"/>
          <w:szCs w:val="28"/>
          <w:u w:val="none"/>
        </w:rPr>
        <w:t>醫療器材產業年鑑〉，</w:t>
      </w:r>
      <w:r w:rsidRPr="00C77E77">
        <w:rPr>
          <w:rStyle w:val="aa"/>
          <w:rFonts w:ascii="Times New Roman" w:eastAsia="標楷體" w:hAnsi="Times New Roman" w:cs="Times New Roman"/>
          <w:color w:val="auto"/>
          <w:sz w:val="28"/>
          <w:szCs w:val="28"/>
          <w:u w:val="none"/>
        </w:rPr>
        <w:t>6</w:t>
      </w:r>
      <w:r w:rsidRPr="00C77E77">
        <w:rPr>
          <w:rStyle w:val="aa"/>
          <w:rFonts w:ascii="Times New Roman" w:eastAsia="標楷體" w:hAnsi="Times New Roman" w:cs="Times New Roman"/>
          <w:color w:val="auto"/>
          <w:sz w:val="28"/>
          <w:szCs w:val="28"/>
          <w:u w:val="none"/>
        </w:rPr>
        <w:t>月。</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教育部，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104</w:t>
      </w:r>
      <w:r w:rsidRPr="00C77E77">
        <w:rPr>
          <w:rFonts w:ascii="Times New Roman" w:eastAsia="標楷體" w:hAnsi="Times New Roman" w:cs="Times New Roman"/>
          <w:sz w:val="28"/>
          <w:szCs w:val="28"/>
        </w:rPr>
        <w:t>學年新移民子女就讀國中小人數分布概況統計》，臺北：教育部統計處。</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許景泰，</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，〈誰，適合做跨境電商？〉，電子商務名家專欄，</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日。</w:t>
      </w:r>
      <w:hyperlink r:id="rId121" w:history="1">
        <w:r w:rsidRPr="00C77E77">
          <w:rPr>
            <w:rStyle w:val="aa"/>
            <w:rFonts w:ascii="Times New Roman" w:eastAsia="標楷體" w:hAnsi="Times New Roman" w:cs="Times New Roman"/>
            <w:sz w:val="28"/>
            <w:szCs w:val="28"/>
            <w:u w:val="none"/>
          </w:rPr>
          <w:t>http://cii.nthu.edu.tw/index.php?option=com_wrapper&amp;view=wrapper&amp;Itemid=334</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陳淑儀，</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年，〈智慧化核心理念</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從智慧校園看端倪〉，全球安防科技網，</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日。</w:t>
      </w:r>
      <w:hyperlink r:id="rId122" w:history="1">
        <w:r w:rsidRPr="00C77E77">
          <w:rPr>
            <w:rStyle w:val="aa"/>
            <w:rFonts w:ascii="Times New Roman" w:eastAsia="標楷體" w:hAnsi="Times New Roman" w:cs="Times New Roman"/>
            <w:sz w:val="28"/>
            <w:szCs w:val="28"/>
            <w:u w:val="none"/>
          </w:rPr>
          <w:t>http://www.asmag.com.tw/article/article_detail.aspx?aid=9797</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陳景松，資策會，《從智慧醫療看臺灣工業電腦業者在醫療領域之佈局現況》，</w:t>
      </w:r>
      <w:hyperlink r:id="rId123" w:history="1">
        <w:r w:rsidRPr="00C77E77">
          <w:rPr>
            <w:rStyle w:val="aa"/>
            <w:rFonts w:ascii="Times New Roman" w:eastAsia="標楷體" w:hAnsi="Times New Roman" w:cs="Times New Roman"/>
            <w:sz w:val="28"/>
            <w:szCs w:val="28"/>
            <w:u w:val="none"/>
          </w:rPr>
          <w:t>http://www.nspark.org.tw/webfiles/files/MIC_0914_02.pdf</w:t>
        </w:r>
      </w:hyperlink>
      <w:r w:rsidRPr="00C77E77">
        <w:rPr>
          <w:rStyle w:val="aa"/>
          <w:rFonts w:ascii="Times New Roman" w:eastAsia="標楷體" w:hAnsi="Times New Roman" w:cs="Times New Roman"/>
          <w:sz w:val="28"/>
          <w:szCs w:val="28"/>
          <w:u w:val="none"/>
        </w:rPr>
        <w:t xml:space="preserve"> </w:t>
      </w:r>
      <w:r w:rsidRPr="00C77E77">
        <w:rPr>
          <w:rStyle w:val="aa"/>
          <w:rFonts w:ascii="Times New Roman" w:eastAsia="標楷體" w:hAnsi="Times New Roman" w:cs="Times New Roman"/>
          <w:sz w:val="28"/>
          <w:szCs w:val="28"/>
          <w:u w:val="none"/>
        </w:rPr>
        <w:t>（</w:t>
      </w:r>
      <w:r w:rsidRPr="00C77E77">
        <w:rPr>
          <w:rFonts w:ascii="Times New Roman" w:eastAsia="標楷體" w:hAnsi="Times New Roman" w:cs="Times New Roman"/>
          <w:sz w:val="28"/>
          <w:szCs w:val="28"/>
        </w:rPr>
        <w:t>最後瀏覽日期</w:t>
      </w:r>
      <w:r w:rsidRPr="00C77E77">
        <w:rPr>
          <w:rFonts w:ascii="Times New Roman" w:eastAsia="標楷體" w:hAnsi="Times New Roman" w:cs="Times New Roman"/>
          <w:sz w:val="28"/>
          <w:szCs w:val="28"/>
        </w:rPr>
        <w:t>: 2016.8.4</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陳逸潔，</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年，〈臺東協農產貿易與農業合作之現況與可能面向〉，全球臺商</w:t>
      </w:r>
      <w:r w:rsidRPr="00C77E77">
        <w:rPr>
          <w:rFonts w:ascii="Times New Roman" w:eastAsia="標楷體" w:hAnsi="Times New Roman" w:cs="Times New Roman"/>
          <w:sz w:val="28"/>
          <w:szCs w:val="28"/>
        </w:rPr>
        <w:t>e</w:t>
      </w:r>
      <w:r w:rsidRPr="00C77E77">
        <w:rPr>
          <w:rFonts w:ascii="Times New Roman" w:eastAsia="標楷體" w:hAnsi="Times New Roman" w:cs="Times New Roman"/>
          <w:sz w:val="28"/>
          <w:szCs w:val="28"/>
        </w:rPr>
        <w:t>焦點電子報，</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日。</w:t>
      </w:r>
      <w:hyperlink r:id="rId124" w:history="1">
        <w:r w:rsidRPr="00C77E77">
          <w:rPr>
            <w:rStyle w:val="aa"/>
            <w:rFonts w:ascii="Times New Roman" w:eastAsia="標楷體" w:hAnsi="Times New Roman" w:cs="Times New Roman"/>
            <w:sz w:val="28"/>
            <w:szCs w:val="28"/>
            <w:u w:val="none"/>
          </w:rPr>
          <w:t>http://twbusiness.nat.gov.tw/epaperArticleFixed.do?id=265027588</w:t>
        </w:r>
      </w:hyperlink>
      <w:r w:rsidRPr="00C77E77">
        <w:rPr>
          <w:rFonts w:ascii="Times New Roman" w:eastAsia="標楷體" w:hAnsi="Times New Roman" w:cs="Times New Roman"/>
          <w:sz w:val="28"/>
          <w:szCs w:val="28"/>
        </w:rPr>
        <w:t xml:space="preserve"> </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喜陽能源科技有限公司，〈可再生能源達到印度能源結構的</w:t>
      </w:r>
      <w:r w:rsidRPr="00C77E77">
        <w:rPr>
          <w:rStyle w:val="aa"/>
          <w:rFonts w:ascii="Times New Roman" w:eastAsia="標楷體" w:hAnsi="Times New Roman" w:cs="Times New Roman"/>
          <w:color w:val="000000" w:themeColor="text1"/>
          <w:sz w:val="28"/>
          <w:szCs w:val="28"/>
          <w:u w:val="none"/>
        </w:rPr>
        <w:t>5.7</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2016/5/9</w:t>
      </w:r>
      <w:r w:rsidRPr="00C77E77">
        <w:rPr>
          <w:rStyle w:val="aa"/>
          <w:rFonts w:ascii="Times New Roman" w:eastAsia="標楷體" w:hAnsi="Times New Roman" w:cs="Times New Roman"/>
          <w:color w:val="000000" w:themeColor="text1"/>
          <w:sz w:val="28"/>
          <w:szCs w:val="28"/>
          <w:u w:val="none"/>
        </w:rPr>
        <w:t>：</w:t>
      </w:r>
      <w:hyperlink r:id="rId125" w:history="1">
        <w:r w:rsidRPr="00C77E77">
          <w:rPr>
            <w:rStyle w:val="aa"/>
            <w:rFonts w:ascii="Times New Roman" w:eastAsia="標楷體" w:hAnsi="Times New Roman" w:cs="Times New Roman"/>
            <w:sz w:val="28"/>
            <w:szCs w:val="28"/>
            <w:u w:val="none"/>
          </w:rPr>
          <w:t>http://www.i-likesun.com/news.php?store=energy&amp;no=no&amp;id=1470&amp;sub=PV+News&amp;sub1=%E5%A4%AA%E9%99%BD%E8%83%BD&amp;sub2=%E5%8F%AF%E5%86%8D%E7%94%9F%E8%83%BD%E6%BA%90%E9%81%94%E5%88%B0%E5%8D%B0%E5%BA%A6%E8%83%BD%E6%BA%90%E7%B5%90%E6%A7%8B%E7%9A%845.7%EF%BC%85</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喜陽能源科技有限公司，〈東南亞太陽能前景看好帶動泰國大型電廠建設潮〉，</w:t>
      </w:r>
      <w:r w:rsidRPr="00C77E77">
        <w:rPr>
          <w:rStyle w:val="aa"/>
          <w:rFonts w:ascii="Times New Roman" w:eastAsia="標楷體" w:hAnsi="Times New Roman" w:cs="Times New Roman"/>
          <w:color w:val="000000" w:themeColor="text1"/>
          <w:sz w:val="28"/>
          <w:szCs w:val="28"/>
          <w:u w:val="none"/>
        </w:rPr>
        <w:t>2015/10/21</w:t>
      </w:r>
      <w:r w:rsidRPr="00C77E77">
        <w:rPr>
          <w:rStyle w:val="aa"/>
          <w:rFonts w:ascii="Times New Roman" w:eastAsia="標楷體" w:hAnsi="Times New Roman" w:cs="Times New Roman"/>
          <w:color w:val="000000" w:themeColor="text1"/>
          <w:sz w:val="28"/>
          <w:szCs w:val="28"/>
          <w:u w:val="none"/>
        </w:rPr>
        <w:t>：</w:t>
      </w:r>
      <w:hyperlink r:id="rId126" w:history="1">
        <w:r w:rsidRPr="00C77E77">
          <w:rPr>
            <w:rStyle w:val="aa"/>
            <w:rFonts w:ascii="Times New Roman" w:eastAsia="標楷體" w:hAnsi="Times New Roman" w:cs="Times New Roman"/>
            <w:sz w:val="28"/>
            <w:szCs w:val="28"/>
            <w:u w:val="none"/>
          </w:rPr>
          <w:t>http://www.i-likesun.com/news.php?store=energy&amp;no=no&amp;id=1013&amp;sub=PV%20News&amp;sub1=%E5%A4%AA%E9%99%BD%E8%83%BD&amp;sub2=%E6%9D%B1%E5%8D%97%E4%BA%9E%E5%A4%AA%E9%99%BD%E8%83%BD%E5%89%8D%E6%99%AF%E7%9C%8B%E5%A5%BD%E5%B8%B6%E5%8B%95%E6%B3%B0%E5%9C%8B%E5%A4%A7%E5%9E%8B%E9%9B%BB%E5%BB%A0%E5%BB%BA%E8%A8%AD%E6%BD%AE</w:t>
        </w:r>
      </w:hyperlink>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貿協全球網，</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，〈印度與我經貿關係〉。</w:t>
      </w:r>
      <w:hyperlink r:id="rId127" w:history="1">
        <w:r w:rsidRPr="00C77E77">
          <w:rPr>
            <w:rStyle w:val="aa"/>
            <w:rFonts w:ascii="Times New Roman" w:eastAsia="標楷體" w:hAnsi="Times New Roman" w:cs="Times New Roman"/>
            <w:sz w:val="28"/>
            <w:szCs w:val="28"/>
            <w:u w:val="none"/>
          </w:rPr>
          <w:t>http://www.taitraesource.com/total01.asp</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黃奎博、周容卉，</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，〈我國「南向政策」之回顧與影響〉，《展望與探索》，</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61-69</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黃朝盟、吳濟安，〈電子化政府的影響評估〉，發表於國立臺北大學第一屆「公</w:t>
      </w:r>
      <w:r w:rsidRPr="00C77E77">
        <w:rPr>
          <w:rFonts w:ascii="Times New Roman" w:eastAsia="標楷體" w:hAnsi="Times New Roman" w:cs="Times New Roman"/>
          <w:sz w:val="28"/>
          <w:szCs w:val="28"/>
        </w:rPr>
        <w:lastRenderedPageBreak/>
        <w:t>共行政與公法」學術研討會（臺北：國立臺北大學主辦，</w:t>
      </w:r>
      <w:r w:rsidRPr="00C77E77">
        <w:rPr>
          <w:rFonts w:ascii="Times New Roman" w:eastAsia="標楷體" w:hAnsi="Times New Roman" w:cs="Times New Roman"/>
          <w:sz w:val="28"/>
          <w:szCs w:val="28"/>
        </w:rPr>
        <w:t>2005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日）。</w:t>
      </w:r>
      <w:hyperlink r:id="rId128" w:history="1">
        <w:r w:rsidRPr="00C77E77">
          <w:rPr>
            <w:rStyle w:val="aa"/>
            <w:rFonts w:ascii="Times New Roman" w:eastAsia="標楷體" w:hAnsi="Times New Roman" w:cs="Times New Roman"/>
            <w:sz w:val="28"/>
            <w:szCs w:val="28"/>
            <w:u w:val="none"/>
          </w:rPr>
          <w:t>http://www.ntpu.edu.tw/~pa/news/95news/attachment/951215/951215-05.pdf</w:t>
        </w:r>
      </w:hyperlink>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新加坡經濟發展局，</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，〈投資新加坡</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月至</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w:t>
      </w:r>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新北全球商貿網，</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年，〈新北跨境電子商務</w:t>
      </w:r>
      <w:r w:rsidRPr="00C77E77">
        <w:rPr>
          <w:rFonts w:ascii="Times New Roman" w:eastAsia="標楷體" w:hAnsi="Times New Roman" w:cs="Times New Roman"/>
          <w:sz w:val="28"/>
          <w:szCs w:val="28"/>
        </w:rPr>
        <w:t>B2B</w:t>
      </w:r>
      <w:r w:rsidRPr="00C77E77">
        <w:rPr>
          <w:rFonts w:ascii="Times New Roman" w:eastAsia="標楷體" w:hAnsi="Times New Roman" w:cs="Times New Roman"/>
          <w:sz w:val="28"/>
          <w:szCs w:val="28"/>
        </w:rPr>
        <w:t>媒合洽談會〉，</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日。</w:t>
      </w:r>
      <w:hyperlink r:id="rId129" w:history="1">
        <w:r w:rsidRPr="00C77E77">
          <w:rPr>
            <w:rStyle w:val="aa"/>
            <w:rFonts w:ascii="Times New Roman" w:eastAsia="標楷體" w:hAnsi="Times New Roman" w:cs="Times New Roman"/>
            <w:sz w:val="28"/>
            <w:szCs w:val="28"/>
            <w:u w:val="none"/>
          </w:rPr>
          <w:t>http://www.careernet.org.tw/n/Class-8480.html</w:t>
        </w:r>
      </w:hyperlink>
    </w:p>
    <w:p w:rsidR="008D5640" w:rsidRPr="00C77E77" w:rsidRDefault="008D5640" w:rsidP="008208EB">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新北全球商貿網，</w:t>
      </w:r>
      <w:r w:rsidRPr="00C77E77">
        <w:rPr>
          <w:rStyle w:val="aa"/>
          <w:rFonts w:ascii="Times New Roman" w:eastAsia="標楷體" w:hAnsi="Times New Roman" w:cs="Times New Roman"/>
          <w:color w:val="000000" w:themeColor="text1"/>
          <w:sz w:val="28"/>
          <w:szCs w:val="28"/>
          <w:u w:val="none"/>
        </w:rPr>
        <w:t>2015</w:t>
      </w:r>
      <w:r w:rsidRPr="00C77E77">
        <w:rPr>
          <w:rStyle w:val="aa"/>
          <w:rFonts w:ascii="Times New Roman" w:eastAsia="標楷體" w:hAnsi="Times New Roman" w:cs="Times New Roman"/>
          <w:color w:val="000000" w:themeColor="text1"/>
          <w:sz w:val="28"/>
          <w:szCs w:val="28"/>
          <w:u w:val="none"/>
        </w:rPr>
        <w:t>年，〈新北跨境電子商務</w:t>
      </w:r>
      <w:r w:rsidRPr="00C77E77">
        <w:rPr>
          <w:rStyle w:val="aa"/>
          <w:rFonts w:ascii="Times New Roman" w:eastAsia="標楷體" w:hAnsi="Times New Roman" w:cs="Times New Roman"/>
          <w:color w:val="000000" w:themeColor="text1"/>
          <w:sz w:val="28"/>
          <w:szCs w:val="28"/>
          <w:u w:val="none"/>
        </w:rPr>
        <w:t>B2B</w:t>
      </w:r>
      <w:r w:rsidRPr="00C77E77">
        <w:rPr>
          <w:rStyle w:val="aa"/>
          <w:rFonts w:ascii="Times New Roman" w:eastAsia="標楷體" w:hAnsi="Times New Roman" w:cs="Times New Roman"/>
          <w:color w:val="000000" w:themeColor="text1"/>
          <w:sz w:val="28"/>
          <w:szCs w:val="28"/>
          <w:u w:val="none"/>
        </w:rPr>
        <w:t>媒合洽談會〉，</w:t>
      </w:r>
      <w:r w:rsidRPr="00C77E77">
        <w:rPr>
          <w:rStyle w:val="aa"/>
          <w:rFonts w:ascii="Times New Roman" w:eastAsia="標楷體" w:hAnsi="Times New Roman" w:cs="Times New Roman"/>
          <w:color w:val="000000" w:themeColor="text1"/>
          <w:sz w:val="28"/>
          <w:szCs w:val="28"/>
          <w:u w:val="none"/>
        </w:rPr>
        <w:t>8</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25</w:t>
      </w:r>
      <w:r w:rsidRPr="00C77E77">
        <w:rPr>
          <w:rStyle w:val="aa"/>
          <w:rFonts w:ascii="Times New Roman" w:eastAsia="標楷體" w:hAnsi="Times New Roman" w:cs="Times New Roman"/>
          <w:color w:val="000000" w:themeColor="text1"/>
          <w:sz w:val="28"/>
          <w:szCs w:val="28"/>
          <w:u w:val="none"/>
        </w:rPr>
        <w:t>日。</w:t>
      </w:r>
      <w:hyperlink r:id="rId130" w:history="1">
        <w:r w:rsidRPr="00C77E77">
          <w:rPr>
            <w:rStyle w:val="aa"/>
            <w:rFonts w:ascii="Times New Roman" w:eastAsia="標楷體" w:hAnsi="Times New Roman" w:cs="Times New Roman"/>
            <w:sz w:val="28"/>
            <w:szCs w:val="28"/>
            <w:u w:val="none"/>
          </w:rPr>
          <w:t>http://www.careernet.org.tw/n/Class-8480.html</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Fonts w:ascii="Times New Roman" w:eastAsia="標楷體" w:hAnsi="Times New Roman" w:cs="Times New Roman"/>
          <w:sz w:val="28"/>
          <w:szCs w:val="28"/>
        </w:rPr>
        <w:t>楊玉婷，</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月，〈泰國農業發展現況與相關政策探析〉，《臺灣經濟研究月刊》。</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楊舒媚，</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年，〈農委會：</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年休耕面積少</w:t>
      </w:r>
      <w:r w:rsidRPr="00C77E77">
        <w:rPr>
          <w:rFonts w:ascii="Times New Roman" w:eastAsia="標楷體" w:hAnsi="Times New Roman" w:cs="Times New Roman"/>
          <w:sz w:val="28"/>
          <w:szCs w:val="28"/>
        </w:rPr>
        <w:t>8.8</w:t>
      </w:r>
      <w:r w:rsidRPr="00C77E77">
        <w:rPr>
          <w:rFonts w:ascii="Times New Roman" w:eastAsia="標楷體" w:hAnsi="Times New Roman" w:cs="Times New Roman"/>
          <w:sz w:val="28"/>
          <w:szCs w:val="28"/>
        </w:rPr>
        <w:t>萬公頃〉，中時電子報，</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日。</w:t>
      </w:r>
      <w:hyperlink r:id="rId131" w:history="1">
        <w:r w:rsidRPr="00C77E77">
          <w:rPr>
            <w:rStyle w:val="aa"/>
            <w:rFonts w:ascii="Times New Roman" w:eastAsia="標楷體" w:hAnsi="Times New Roman" w:cs="Times New Roman"/>
            <w:sz w:val="28"/>
            <w:szCs w:val="28"/>
            <w:u w:val="none"/>
          </w:rPr>
          <w:t>http://www.chinatimes.com/realtimenews/20140312004400-260407</w:t>
        </w:r>
      </w:hyperlink>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經濟日報，〈新日光：下半年沒悲觀理由〉，</w:t>
      </w:r>
      <w:r w:rsidRPr="00C77E77">
        <w:rPr>
          <w:rStyle w:val="aa"/>
          <w:rFonts w:ascii="Times New Roman" w:eastAsia="標楷體" w:hAnsi="Times New Roman" w:cs="Times New Roman"/>
          <w:color w:val="000000" w:themeColor="text1"/>
          <w:sz w:val="28"/>
          <w:szCs w:val="28"/>
          <w:u w:val="none"/>
        </w:rPr>
        <w:t>2016/6/17</w:t>
      </w:r>
      <w:r w:rsidRPr="00C77E77">
        <w:rPr>
          <w:rStyle w:val="aa"/>
          <w:rFonts w:ascii="Times New Roman" w:eastAsia="標楷體" w:hAnsi="Times New Roman" w:cs="Times New Roman"/>
          <w:color w:val="000000" w:themeColor="text1"/>
          <w:sz w:val="28"/>
          <w:szCs w:val="28"/>
          <w:u w:val="none"/>
        </w:rPr>
        <w:t>：</w:t>
      </w:r>
      <w:hyperlink r:id="rId132" w:history="1">
        <w:r w:rsidRPr="00C77E77">
          <w:rPr>
            <w:rStyle w:val="aa"/>
            <w:rFonts w:ascii="Times New Roman" w:eastAsia="標楷體" w:hAnsi="Times New Roman" w:cs="Times New Roman"/>
            <w:sz w:val="28"/>
            <w:szCs w:val="28"/>
            <w:u w:val="none"/>
          </w:rPr>
          <w:t>http://udn.com/news/story/7253/1767085-%E6%96%B0%E6%97%A5%E5%85%89%EF%BC%9A%E4%B8%8B%E5%8D%8A%E5%B9%B4%E6%B2%92%E6%82%B2%E8%A7%80%E7%90%86%E7%94%B1</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經濟日報，</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征印尼</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雅加達「堵城」有解〉，</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日。</w:t>
      </w:r>
      <w:hyperlink r:id="rId133" w:history="1">
        <w:r w:rsidRPr="00C77E77">
          <w:rPr>
            <w:rStyle w:val="aa"/>
            <w:rFonts w:ascii="Times New Roman" w:eastAsia="標楷體" w:hAnsi="Times New Roman" w:cs="Times New Roman"/>
            <w:sz w:val="28"/>
            <w:szCs w:val="28"/>
            <w:u w:val="none"/>
          </w:rPr>
          <w:t>http://udn.com/news/story/7238/1225944-ETC%E5%BE%81%E5%8D%B0%E5%B0%BC-%E9%9B%85%E5%8A%A0%E9%81%94%E3%80%8C%E5%A0%B5%E5%9F%8E%E3%80%8D%E6%9C%89%E8%A7%A3</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經濟日報，</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，〈宏碁搶進印度雲服務〉</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日。</w:t>
      </w:r>
      <w:hyperlink r:id="rId134" w:history="1">
        <w:r w:rsidRPr="00C77E77">
          <w:rPr>
            <w:rStyle w:val="aa"/>
            <w:rFonts w:ascii="Times New Roman" w:eastAsia="標楷體" w:hAnsi="Times New Roman" w:cs="Times New Roman"/>
            <w:sz w:val="28"/>
            <w:szCs w:val="28"/>
            <w:u w:val="none"/>
          </w:rPr>
          <w:t>http://udn.com/news/story/7253/1418282</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經濟日報，</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，〈遠通</w:t>
      </w:r>
      <w:r w:rsidRPr="00C77E77">
        <w:rPr>
          <w:rFonts w:ascii="Times New Roman" w:eastAsia="標楷體" w:hAnsi="Times New Roman" w:cs="Times New Roman"/>
          <w:sz w:val="28"/>
          <w:szCs w:val="28"/>
        </w:rPr>
        <w:t xml:space="preserve">ETC </w:t>
      </w:r>
      <w:r w:rsidRPr="00C77E77">
        <w:rPr>
          <w:rFonts w:ascii="Times New Roman" w:eastAsia="標楷體" w:hAnsi="Times New Roman" w:cs="Times New Roman"/>
          <w:sz w:val="28"/>
          <w:szCs w:val="28"/>
        </w:rPr>
        <w:t>拚整廠輸出海外〉，</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日。</w:t>
      </w:r>
      <w:hyperlink r:id="rId135" w:history="1">
        <w:r w:rsidRPr="00C77E77">
          <w:rPr>
            <w:rStyle w:val="aa"/>
            <w:rFonts w:ascii="Times New Roman" w:eastAsia="標楷體" w:hAnsi="Times New Roman" w:cs="Times New Roman"/>
            <w:sz w:val="28"/>
            <w:szCs w:val="28"/>
            <w:u w:val="none"/>
          </w:rPr>
          <w:t>http://money.udn.com/money/story/561</w:t>
        </w:r>
        <w:r w:rsidRPr="00C77E77">
          <w:rPr>
            <w:rStyle w:val="aa"/>
            <w:rFonts w:ascii="Times New Roman" w:eastAsia="標楷體" w:hAnsi="Times New Roman" w:cs="Times New Roman"/>
            <w:sz w:val="28"/>
            <w:szCs w:val="28"/>
            <w:u w:val="none"/>
          </w:rPr>
          <w:t>。</w:t>
        </w:r>
        <w:r w:rsidRPr="00C77E77">
          <w:rPr>
            <w:rStyle w:val="aa"/>
            <w:rFonts w:ascii="Times New Roman" w:eastAsia="標楷體" w:hAnsi="Times New Roman" w:cs="Times New Roman"/>
            <w:sz w:val="28"/>
            <w:szCs w:val="28"/>
            <w:u w:val="none"/>
          </w:rPr>
          <w:t>/1756088-%E9%81%A0%E9%80%9AETC-%E6%8B%9A%E6%95%B4%E5%BB%A0%E8%BC%B8%E5%87%BA%E6%B5%B7%E5%A4%96</w:t>
        </w:r>
      </w:hyperlink>
    </w:p>
    <w:p w:rsidR="008D5640" w:rsidRPr="00C77E77" w:rsidRDefault="008D5640" w:rsidP="00C70A64">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經濟日報，</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，《工業之母何去何從？沒了石化業</w:t>
      </w:r>
      <w:r w:rsidRPr="00C77E77">
        <w:rPr>
          <w:rStyle w:val="aa"/>
          <w:rFonts w:ascii="Times New Roman" w:eastAsia="標楷體" w:hAnsi="Times New Roman" w:cs="Times New Roman"/>
          <w:color w:val="000000" w:themeColor="text1"/>
          <w:sz w:val="28"/>
          <w:szCs w:val="28"/>
          <w:u w:val="none"/>
        </w:rPr>
        <w:t>40</w:t>
      </w:r>
      <w:r w:rsidRPr="00C77E77">
        <w:rPr>
          <w:rStyle w:val="aa"/>
          <w:rFonts w:ascii="Times New Roman" w:eastAsia="標楷體" w:hAnsi="Times New Roman" w:cs="Times New Roman"/>
          <w:color w:val="000000" w:themeColor="text1"/>
          <w:sz w:val="28"/>
          <w:szCs w:val="28"/>
          <w:u w:val="none"/>
        </w:rPr>
        <w:t>萬工作不保》，</w:t>
      </w:r>
      <w:r w:rsidRPr="00C77E77">
        <w:rPr>
          <w:rStyle w:val="aa"/>
          <w:rFonts w:ascii="Times New Roman" w:eastAsia="標楷體" w:hAnsi="Times New Roman" w:cs="Times New Roman"/>
          <w:color w:val="000000" w:themeColor="text1"/>
          <w:sz w:val="28"/>
          <w:szCs w:val="28"/>
          <w:u w:val="none"/>
        </w:rPr>
        <w:t>3</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20</w:t>
      </w:r>
      <w:r w:rsidRPr="00C77E77">
        <w:rPr>
          <w:rStyle w:val="aa"/>
          <w:rFonts w:ascii="Times New Roman" w:eastAsia="標楷體" w:hAnsi="Times New Roman" w:cs="Times New Roman"/>
          <w:color w:val="000000" w:themeColor="text1"/>
          <w:sz w:val="28"/>
          <w:szCs w:val="28"/>
          <w:u w:val="none"/>
        </w:rPr>
        <w:t>日。</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經濟日報社論，</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，〈經濟／新南向政策</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擴大格局創造雙贏〉，</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日。</w:t>
      </w:r>
      <w:hyperlink r:id="rId136" w:history="1">
        <w:r w:rsidRPr="00C77E77">
          <w:rPr>
            <w:rStyle w:val="aa"/>
            <w:rFonts w:ascii="Times New Roman" w:eastAsia="標楷體" w:hAnsi="Times New Roman" w:cs="Times New Roman"/>
            <w:sz w:val="28"/>
            <w:szCs w:val="28"/>
            <w:u w:val="none"/>
          </w:rPr>
          <w:t>http://udn.com/news/story/7338/1686578-%E7%B6%93%E6%BF%9F%EF%BC%8F%E6%96%B0%E5%8D%97%E5%90%91%E6%94%BF%E7%AD%96-%E6%93%B4%E5%A4%A7%E6%A0%BC%E5%B1%80%E5%89%B5%E9%80%A0%E9%9B%99%E8%B4%8F</w:t>
        </w:r>
      </w:hyperlink>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查詢日期：</w:t>
      </w:r>
      <w:r w:rsidRPr="00C77E77">
        <w:rPr>
          <w:rFonts w:ascii="Times New Roman" w:eastAsia="標楷體" w:hAnsi="Times New Roman" w:cs="Times New Roman"/>
          <w:sz w:val="28"/>
          <w:szCs w:val="28"/>
        </w:rPr>
        <w:t>2016/5/12</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經濟部，</w:t>
      </w:r>
      <w:r w:rsidRPr="00C77E77">
        <w:rPr>
          <w:rFonts w:ascii="Times New Roman" w:eastAsia="標楷體" w:hAnsi="Times New Roman" w:cs="Times New Roman"/>
          <w:sz w:val="28"/>
          <w:szCs w:val="28"/>
        </w:rPr>
        <w:t>1991</w:t>
      </w:r>
      <w:r w:rsidRPr="00C77E77">
        <w:rPr>
          <w:rFonts w:ascii="Times New Roman" w:eastAsia="標楷體" w:hAnsi="Times New Roman" w:cs="Times New Roman"/>
          <w:sz w:val="28"/>
          <w:szCs w:val="28"/>
        </w:rPr>
        <w:t>，《「加強對東南亞及澳紐地區經貿工作綱領」專案報告》。</w:t>
      </w:r>
      <w:r w:rsidRPr="00C77E77">
        <w:rPr>
          <w:rFonts w:ascii="Times New Roman" w:eastAsia="標楷體" w:hAnsi="Times New Roman" w:cs="Times New Roman"/>
          <w:sz w:val="28"/>
          <w:szCs w:val="28"/>
        </w:rPr>
        <w:t xml:space="preserve"> </w:t>
      </w:r>
      <w:hyperlink r:id="rId137" w:history="1">
        <w:r w:rsidRPr="00C77E77">
          <w:rPr>
            <w:rStyle w:val="aa"/>
            <w:rFonts w:ascii="Times New Roman" w:eastAsia="標楷體" w:hAnsi="Times New Roman" w:cs="Times New Roman"/>
            <w:sz w:val="28"/>
            <w:szCs w:val="28"/>
            <w:u w:val="none"/>
          </w:rPr>
          <w:t>http://npl.ly.gov.tw/npl/report/900425/5.pdf</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w:t>
      </w:r>
      <w:r w:rsidRPr="00C77E77">
        <w:rPr>
          <w:rFonts w:ascii="Times New Roman" w:eastAsia="標楷體" w:hAnsi="Times New Roman" w:cs="Times New Roman"/>
          <w:sz w:val="28"/>
          <w:szCs w:val="28"/>
        </w:rPr>
        <w:t>2001</w:t>
      </w:r>
      <w:r w:rsidRPr="00C77E77">
        <w:rPr>
          <w:rFonts w:ascii="Times New Roman" w:eastAsia="標楷體" w:hAnsi="Times New Roman" w:cs="Times New Roman"/>
          <w:sz w:val="28"/>
          <w:szCs w:val="28"/>
        </w:rPr>
        <w:t>，《加強對東南亞及紐澳地區經貿工作綱領》。</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，〈電子商務雲端創新應用與基礎環境建置計畫〉。</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年，〈打造整廠</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系統整合出口旗艦計畫〉，</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14</w:t>
      </w:r>
      <w:r w:rsidRPr="00C77E77">
        <w:rPr>
          <w:rFonts w:ascii="Times New Roman" w:eastAsia="標楷體" w:hAnsi="Times New Roman" w:cs="Times New Roman"/>
          <w:sz w:val="28"/>
          <w:szCs w:val="28"/>
        </w:rPr>
        <w:t>日。</w:t>
      </w:r>
    </w:p>
    <w:p w:rsidR="008D5640" w:rsidRPr="00C77E77" w:rsidRDefault="008D5640" w:rsidP="00C70A64">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經濟部工業局，</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，《石化廠整廠輸出方案》。</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經濟部工業局系統整合推動辦公室，〈成立緣起〉。</w:t>
      </w:r>
      <w:hyperlink r:id="rId138" w:history="1">
        <w:r w:rsidRPr="00C77E77">
          <w:rPr>
            <w:rStyle w:val="aa"/>
            <w:rFonts w:ascii="Times New Roman" w:eastAsia="標楷體" w:hAnsi="Times New Roman" w:cs="Times New Roman"/>
            <w:sz w:val="28"/>
            <w:szCs w:val="28"/>
            <w:u w:val="none"/>
          </w:rPr>
          <w:t>http://www.sipa.org.tw/CHT/about_us.aspx</w:t>
        </w:r>
      </w:hyperlink>
      <w:r w:rsidRPr="00C77E77">
        <w:rPr>
          <w:rFonts w:ascii="Times New Roman" w:eastAsia="標楷體" w:hAnsi="Times New Roman" w:cs="Times New Roman"/>
          <w:sz w:val="28"/>
          <w:szCs w:val="28"/>
        </w:rPr>
        <w:t xml:space="preserve"> </w:t>
      </w:r>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color w:val="000000" w:themeColor="text1"/>
          <w:sz w:val="28"/>
          <w:szCs w:val="28"/>
        </w:rPr>
        <w:t>經濟部投資業務處，（歷年），〈我國核准對大陸投資統計總表〉、〈我國在東協各國投資統計表〉。</w:t>
      </w:r>
      <w:hyperlink r:id="rId139" w:history="1">
        <w:r w:rsidRPr="00C77E77">
          <w:rPr>
            <w:rStyle w:val="aa"/>
            <w:rFonts w:ascii="Times New Roman" w:eastAsia="標楷體" w:hAnsi="Times New Roman" w:cs="Times New Roman"/>
            <w:sz w:val="28"/>
            <w:szCs w:val="28"/>
            <w:u w:val="none"/>
          </w:rPr>
          <w:t>http://twbusiness.nat.gov.tw/page.do?id=16</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，印尼投資環境簡介。</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，印度投資環境簡介。</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，柬埔寨投資環境簡介。</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，泰國投資環境簡介。</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，馬來西亞投資環境簡介。</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，菲律賓投資環境簡介。</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，越南投資環境簡介。</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，新加坡投資環境簡介。</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經濟部投資業務處，</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，緬甸投資環境簡介。</w:t>
      </w:r>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color w:val="000000"/>
          <w:sz w:val="28"/>
          <w:szCs w:val="28"/>
        </w:rPr>
        <w:t>經濟部投審會，《中華民國歷年核准華僑及外國人投資技術合作對外投資對外技術合作統計年報》。</w:t>
      </w:r>
      <w:hyperlink r:id="rId140" w:history="1">
        <w:r w:rsidRPr="00C77E77">
          <w:rPr>
            <w:rStyle w:val="aa"/>
            <w:rFonts w:ascii="Times New Roman" w:eastAsia="標楷體" w:hAnsi="Times New Roman" w:cs="Times New Roman"/>
            <w:sz w:val="28"/>
            <w:szCs w:val="28"/>
            <w:u w:val="none"/>
          </w:rPr>
          <w:t>http://www.moeaic.gov.tw/system_external/ctlr?PRO=PubsCateLoad&amp;MET=&amp;page=1&amp;lang=0</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經濟部能源局，綠色能源產業躍升計畫：</w:t>
      </w:r>
      <w:hyperlink r:id="rId141" w:history="1">
        <w:r w:rsidRPr="00C77E77">
          <w:rPr>
            <w:rStyle w:val="aa"/>
            <w:rFonts w:ascii="Times New Roman" w:eastAsia="標楷體" w:hAnsi="Times New Roman" w:cs="Times New Roman"/>
            <w:sz w:val="28"/>
            <w:szCs w:val="28"/>
            <w:u w:val="none"/>
          </w:rPr>
          <w:t>http://web3.moeaboe.gov.tw/ecw/populace/content/wHandMenuFile.ashx?menu_id=110</w:t>
        </w:r>
      </w:hyperlink>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經濟部駐新加坡臺北代表處經濟組，</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，〈受人均收入增加、中產階級擴張及電子商務崛起所賜，東協零售業將快速發展〉，</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日。</w:t>
      </w:r>
      <w:hyperlink r:id="rId142" w:history="1">
        <w:r w:rsidRPr="00C77E77">
          <w:rPr>
            <w:rStyle w:val="aa"/>
            <w:rFonts w:ascii="Times New Roman" w:eastAsia="標楷體" w:hAnsi="Times New Roman" w:cs="Times New Roman"/>
            <w:sz w:val="28"/>
            <w:szCs w:val="28"/>
            <w:u w:val="none"/>
          </w:rPr>
          <w:t>http://info.taiwantrade.com/CH/bizsearchdetail/8288317/C?keyword0=</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資策會，</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，〈臺灣電子商務金額預估〉。</w:t>
      </w:r>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資策會</w:t>
      </w:r>
      <w:r w:rsidRPr="00C77E77">
        <w:rPr>
          <w:rFonts w:ascii="Times New Roman" w:eastAsia="標楷體" w:hAnsi="Times New Roman" w:cs="Times New Roman"/>
          <w:sz w:val="28"/>
          <w:szCs w:val="28"/>
        </w:rPr>
        <w:t>MIC</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，〈全球資訊服務及軟體市場平穩成長〉，</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日。</w:t>
      </w:r>
      <w:hyperlink r:id="rId143" w:history="1">
        <w:r w:rsidRPr="00C77E77">
          <w:rPr>
            <w:rStyle w:val="aa"/>
            <w:rFonts w:ascii="Times New Roman" w:eastAsia="標楷體" w:hAnsi="Times New Roman" w:cs="Times New Roman"/>
            <w:sz w:val="28"/>
            <w:szCs w:val="28"/>
            <w:u w:val="none"/>
          </w:rPr>
          <w:t>https://mic.iii.org.tw/micnew/IndustryObservations_PressRelease02.aspx?sqno=393</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資策會</w:t>
      </w:r>
      <w:r w:rsidRPr="00C77E77">
        <w:rPr>
          <w:rFonts w:ascii="Times New Roman" w:eastAsia="標楷體" w:hAnsi="Times New Roman" w:cs="Times New Roman"/>
          <w:sz w:val="28"/>
          <w:szCs w:val="28"/>
        </w:rPr>
        <w:t>MIC</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，經濟部</w:t>
      </w:r>
      <w:r w:rsidRPr="00C77E77">
        <w:rPr>
          <w:rFonts w:ascii="Times New Roman" w:eastAsia="標楷體" w:hAnsi="Times New Roman" w:cs="Times New Roman"/>
          <w:sz w:val="28"/>
          <w:szCs w:val="28"/>
        </w:rPr>
        <w:t>ITIS</w:t>
      </w:r>
      <w:r w:rsidRPr="00C77E77">
        <w:rPr>
          <w:rFonts w:ascii="Times New Roman" w:eastAsia="標楷體" w:hAnsi="Times New Roman" w:cs="Times New Roman"/>
          <w:sz w:val="28"/>
          <w:szCs w:val="28"/>
        </w:rPr>
        <w:t>計畫，</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農委會，農政與農情，</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月（第</w:t>
      </w:r>
      <w:r w:rsidRPr="00C77E77">
        <w:rPr>
          <w:rFonts w:ascii="Times New Roman" w:eastAsia="標楷體" w:hAnsi="Times New Roman" w:cs="Times New Roman"/>
          <w:sz w:val="28"/>
          <w:szCs w:val="28"/>
        </w:rPr>
        <w:t>274</w:t>
      </w:r>
      <w:r w:rsidRPr="00C77E77">
        <w:rPr>
          <w:rFonts w:ascii="Times New Roman" w:eastAsia="標楷體" w:hAnsi="Times New Roman" w:cs="Times New Roman"/>
          <w:sz w:val="28"/>
          <w:szCs w:val="28"/>
        </w:rPr>
        <w:t>期）。</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鉅亨網，〈不讓中美晶專美</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五邦能源投資菲律賓</w:t>
      </w:r>
      <w:r w:rsidRPr="00C77E77">
        <w:rPr>
          <w:rStyle w:val="aa"/>
          <w:rFonts w:ascii="Times New Roman" w:eastAsia="標楷體" w:hAnsi="Times New Roman" w:cs="Times New Roman"/>
          <w:color w:val="000000" w:themeColor="text1"/>
          <w:sz w:val="28"/>
          <w:szCs w:val="28"/>
          <w:u w:val="none"/>
        </w:rPr>
        <w:t>30MW</w:t>
      </w:r>
      <w:r w:rsidRPr="00C77E77">
        <w:rPr>
          <w:rStyle w:val="aa"/>
          <w:rFonts w:ascii="Times New Roman" w:eastAsia="標楷體" w:hAnsi="Times New Roman" w:cs="Times New Roman"/>
          <w:color w:val="000000" w:themeColor="text1"/>
          <w:sz w:val="28"/>
          <w:szCs w:val="28"/>
          <w:u w:val="none"/>
        </w:rPr>
        <w:t>電廠</w:t>
      </w:r>
      <w:r w:rsidRPr="00C77E77">
        <w:rPr>
          <w:rStyle w:val="aa"/>
          <w:rFonts w:ascii="Times New Roman" w:eastAsia="標楷體" w:hAnsi="Times New Roman" w:cs="Times New Roman"/>
          <w:color w:val="000000" w:themeColor="text1"/>
          <w:sz w:val="28"/>
          <w:szCs w:val="28"/>
          <w:u w:val="none"/>
        </w:rPr>
        <w:t xml:space="preserve"> 5</w:t>
      </w:r>
      <w:r w:rsidRPr="00C77E77">
        <w:rPr>
          <w:rStyle w:val="aa"/>
          <w:rFonts w:ascii="Times New Roman" w:eastAsia="標楷體" w:hAnsi="Times New Roman" w:cs="Times New Roman"/>
          <w:color w:val="000000" w:themeColor="text1"/>
          <w:sz w:val="28"/>
          <w:szCs w:val="28"/>
          <w:u w:val="none"/>
        </w:rPr>
        <w:t>年回收〉，</w:t>
      </w:r>
      <w:r w:rsidRPr="00C77E77">
        <w:rPr>
          <w:rStyle w:val="aa"/>
          <w:rFonts w:ascii="Times New Roman" w:eastAsia="標楷體" w:hAnsi="Times New Roman" w:cs="Times New Roman"/>
          <w:color w:val="000000" w:themeColor="text1"/>
          <w:sz w:val="28"/>
          <w:szCs w:val="28"/>
          <w:u w:val="none"/>
        </w:rPr>
        <w:lastRenderedPageBreak/>
        <w:t>2015/7/14</w:t>
      </w:r>
      <w:r w:rsidRPr="00C77E77">
        <w:rPr>
          <w:rStyle w:val="aa"/>
          <w:rFonts w:ascii="Times New Roman" w:eastAsia="標楷體" w:hAnsi="Times New Roman" w:cs="Times New Roman"/>
          <w:color w:val="000000" w:themeColor="text1"/>
          <w:sz w:val="28"/>
          <w:szCs w:val="28"/>
          <w:u w:val="none"/>
        </w:rPr>
        <w:t>：</w:t>
      </w:r>
      <w:hyperlink r:id="rId144" w:history="1">
        <w:r w:rsidRPr="00C77E77">
          <w:rPr>
            <w:rStyle w:val="aa"/>
            <w:rFonts w:ascii="Times New Roman" w:eastAsia="標楷體" w:hAnsi="Times New Roman" w:cs="Times New Roman"/>
            <w:sz w:val="28"/>
            <w:szCs w:val="28"/>
            <w:u w:val="none"/>
          </w:rPr>
          <w:t>https://tw.stock.yahoo.com/news_content/url/d/a/20150714/%E4%B8%8D%E8%AE%93%E4%B8%AD%E7%BE%8E%E6%99%B6%E5%B0%88%E7%BE%8E-%E4%BA%94%E9%82%A6%E8%83%BD%E6%BA%90%E6%8A%95%E8%B3%87%E8%8F%B2%E5%BE%8B%E8%B3%9330mw%E9%9B%BB%E5%BB%A0-5%E5%B9%B4%E5%9B%9E%E6%94%B6-091024258.html</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鉅亨網，</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，〈東南亞電子商務興起下的最大受惠者：第三方物流公司〉</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日。</w:t>
      </w:r>
      <w:hyperlink r:id="rId145" w:history="1">
        <w:r w:rsidRPr="00C77E77">
          <w:rPr>
            <w:rStyle w:val="aa"/>
            <w:rFonts w:ascii="Times New Roman" w:eastAsia="標楷體" w:hAnsi="Times New Roman" w:cs="Times New Roman"/>
            <w:sz w:val="28"/>
            <w:szCs w:val="28"/>
            <w:u w:val="none"/>
          </w:rPr>
          <w:t>http://news.cnyes.com/Content/20151223/20151223155617683993812.shtml?c=headline_sitehead&amp;utm_source=fbfan&amp;utm_medium=news&amp;utm_campaign=2015122322e1</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綠色能源產業資訊網，〈氫能與燃料電池產業簡介〉，最後瀏覽日期</w:t>
      </w:r>
      <w:r w:rsidRPr="00C77E77">
        <w:rPr>
          <w:rStyle w:val="aa"/>
          <w:rFonts w:ascii="Times New Roman" w:eastAsia="標楷體" w:hAnsi="Times New Roman" w:cs="Times New Roman"/>
          <w:color w:val="000000" w:themeColor="text1"/>
          <w:sz w:val="28"/>
          <w:szCs w:val="28"/>
          <w:u w:val="none"/>
        </w:rPr>
        <w:t>2016/8/3</w:t>
      </w:r>
      <w:r w:rsidRPr="00C77E77">
        <w:rPr>
          <w:rStyle w:val="aa"/>
          <w:rFonts w:ascii="Times New Roman" w:eastAsia="標楷體" w:hAnsi="Times New Roman" w:cs="Times New Roman"/>
          <w:color w:val="000000" w:themeColor="text1"/>
          <w:sz w:val="28"/>
          <w:szCs w:val="28"/>
          <w:u w:val="none"/>
        </w:rPr>
        <w:t>：</w:t>
      </w:r>
      <w:hyperlink r:id="rId146" w:history="1">
        <w:r w:rsidRPr="00C77E77">
          <w:rPr>
            <w:rStyle w:val="aa"/>
            <w:rFonts w:ascii="Times New Roman" w:eastAsia="標楷體" w:hAnsi="Times New Roman" w:cs="Times New Roman"/>
            <w:sz w:val="28"/>
            <w:szCs w:val="28"/>
            <w:u w:val="none"/>
          </w:rPr>
          <w:t>http://www.taiwangreenenergy.org.tw/Domain/domain-6.aspx</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綠色能源產業資訊網，〈電動車輛產業簡介〉，最後瀏覽日期</w:t>
      </w:r>
      <w:r w:rsidRPr="00C77E77">
        <w:rPr>
          <w:rStyle w:val="aa"/>
          <w:rFonts w:ascii="Times New Roman" w:eastAsia="標楷體" w:hAnsi="Times New Roman" w:cs="Times New Roman"/>
          <w:color w:val="000000" w:themeColor="text1"/>
          <w:sz w:val="28"/>
          <w:szCs w:val="28"/>
          <w:u w:val="none"/>
        </w:rPr>
        <w:t>2016/8/4</w:t>
      </w:r>
      <w:r w:rsidRPr="00C77E77">
        <w:rPr>
          <w:rStyle w:val="aa"/>
          <w:rFonts w:ascii="Times New Roman" w:eastAsia="標楷體" w:hAnsi="Times New Roman" w:cs="Times New Roman"/>
          <w:color w:val="000000" w:themeColor="text1"/>
          <w:sz w:val="28"/>
          <w:szCs w:val="28"/>
          <w:u w:val="none"/>
        </w:rPr>
        <w:t>：</w:t>
      </w:r>
      <w:hyperlink r:id="rId147" w:history="1">
        <w:r w:rsidRPr="00C77E77">
          <w:rPr>
            <w:rStyle w:val="aa"/>
            <w:rFonts w:ascii="Times New Roman" w:eastAsia="標楷體" w:hAnsi="Times New Roman" w:cs="Times New Roman"/>
            <w:sz w:val="28"/>
            <w:szCs w:val="28"/>
            <w:u w:val="none"/>
          </w:rPr>
          <w:t>http://www.taiwangreenenergy.org.tw/Domain/domain-7.aspx</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綠能趨勢網，〈北汽與</w:t>
      </w:r>
      <w:r w:rsidRPr="00C77E77">
        <w:rPr>
          <w:rStyle w:val="aa"/>
          <w:rFonts w:ascii="Times New Roman" w:eastAsia="標楷體" w:hAnsi="Times New Roman" w:cs="Times New Roman"/>
          <w:color w:val="000000" w:themeColor="text1"/>
          <w:sz w:val="28"/>
          <w:szCs w:val="28"/>
          <w:u w:val="none"/>
        </w:rPr>
        <w:t>Amber Dual</w:t>
      </w:r>
      <w:r w:rsidRPr="00C77E77">
        <w:rPr>
          <w:rStyle w:val="aa"/>
          <w:rFonts w:ascii="Times New Roman" w:eastAsia="標楷體" w:hAnsi="Times New Roman" w:cs="Times New Roman"/>
          <w:color w:val="000000" w:themeColor="text1"/>
          <w:sz w:val="28"/>
          <w:szCs w:val="28"/>
          <w:u w:val="none"/>
        </w:rPr>
        <w:t>合資逾</w:t>
      </w:r>
      <w:r w:rsidRPr="00C77E77">
        <w:rPr>
          <w:rStyle w:val="aa"/>
          <w:rFonts w:ascii="Times New Roman" w:eastAsia="標楷體" w:hAnsi="Times New Roman" w:cs="Times New Roman"/>
          <w:color w:val="000000" w:themeColor="text1"/>
          <w:sz w:val="28"/>
          <w:szCs w:val="28"/>
          <w:u w:val="none"/>
        </w:rPr>
        <w:t>2</w:t>
      </w:r>
      <w:r w:rsidRPr="00C77E77">
        <w:rPr>
          <w:rStyle w:val="aa"/>
          <w:rFonts w:ascii="Times New Roman" w:eastAsia="標楷體" w:hAnsi="Times New Roman" w:cs="Times New Roman"/>
          <w:color w:val="000000" w:themeColor="text1"/>
          <w:sz w:val="28"/>
          <w:szCs w:val="28"/>
          <w:u w:val="none"/>
        </w:rPr>
        <w:t>億人民幣</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建馬來西亞電動車工廠〉，</w:t>
      </w:r>
      <w:r w:rsidRPr="00C77E77">
        <w:rPr>
          <w:rStyle w:val="aa"/>
          <w:rFonts w:ascii="Times New Roman" w:eastAsia="標楷體" w:hAnsi="Times New Roman" w:cs="Times New Roman"/>
          <w:color w:val="000000" w:themeColor="text1"/>
          <w:sz w:val="28"/>
          <w:szCs w:val="28"/>
          <w:u w:val="none"/>
        </w:rPr>
        <w:t>2015/5/21</w:t>
      </w:r>
      <w:r w:rsidRPr="00C77E77">
        <w:rPr>
          <w:rStyle w:val="aa"/>
          <w:rFonts w:ascii="Times New Roman" w:eastAsia="標楷體" w:hAnsi="Times New Roman" w:cs="Times New Roman"/>
          <w:color w:val="000000" w:themeColor="text1"/>
          <w:sz w:val="28"/>
          <w:szCs w:val="28"/>
          <w:u w:val="none"/>
        </w:rPr>
        <w:t>：</w:t>
      </w:r>
      <w:hyperlink r:id="rId148" w:history="1">
        <w:r w:rsidRPr="00C77E77">
          <w:rPr>
            <w:rStyle w:val="aa"/>
            <w:rFonts w:ascii="Times New Roman" w:eastAsia="標楷體" w:hAnsi="Times New Roman" w:cs="Times New Roman"/>
            <w:sz w:val="28"/>
            <w:szCs w:val="28"/>
            <w:u w:val="none"/>
          </w:rPr>
          <w:t>http://www.energytrend.com.tw/news/20150521-11330.html</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綠能趨勢網，〈拚太陽能！泰國年底前發電量將超越東南亞各國總和〉，</w:t>
      </w:r>
      <w:r w:rsidRPr="00C77E77">
        <w:rPr>
          <w:rStyle w:val="aa"/>
          <w:rFonts w:ascii="Times New Roman" w:eastAsia="標楷體" w:hAnsi="Times New Roman" w:cs="Times New Roman"/>
          <w:color w:val="000000" w:themeColor="text1"/>
          <w:sz w:val="28"/>
          <w:szCs w:val="28"/>
          <w:u w:val="none"/>
        </w:rPr>
        <w:t>2015/7/16</w:t>
      </w:r>
      <w:r w:rsidRPr="00C77E77">
        <w:rPr>
          <w:rStyle w:val="aa"/>
          <w:rFonts w:ascii="Times New Roman" w:eastAsia="標楷體" w:hAnsi="Times New Roman" w:cs="Times New Roman"/>
          <w:color w:val="000000" w:themeColor="text1"/>
          <w:sz w:val="28"/>
          <w:szCs w:val="28"/>
          <w:u w:val="none"/>
        </w:rPr>
        <w:t>：</w:t>
      </w:r>
      <w:hyperlink r:id="rId149" w:history="1">
        <w:r w:rsidRPr="00C77E77">
          <w:rPr>
            <w:rStyle w:val="aa"/>
            <w:rFonts w:ascii="Times New Roman" w:eastAsia="標楷體" w:hAnsi="Times New Roman" w:cs="Times New Roman"/>
            <w:sz w:val="28"/>
            <w:szCs w:val="28"/>
            <w:u w:val="none"/>
          </w:rPr>
          <w:t>http://pv.energytrend.com.tw/news/20150716-11682.html</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綠能趨勢網，〈東南亞太陽能市場</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泰國及菲律賓商機大〉，</w:t>
      </w:r>
      <w:r w:rsidRPr="00C77E77">
        <w:rPr>
          <w:rStyle w:val="aa"/>
          <w:rFonts w:ascii="Times New Roman" w:eastAsia="標楷體" w:hAnsi="Times New Roman" w:cs="Times New Roman"/>
          <w:color w:val="000000" w:themeColor="text1"/>
          <w:sz w:val="28"/>
          <w:szCs w:val="28"/>
          <w:u w:val="none"/>
        </w:rPr>
        <w:t>2014/3/10</w:t>
      </w:r>
      <w:r w:rsidRPr="00C77E77">
        <w:rPr>
          <w:rStyle w:val="aa"/>
          <w:rFonts w:ascii="Times New Roman" w:eastAsia="標楷體" w:hAnsi="Times New Roman" w:cs="Times New Roman"/>
          <w:color w:val="000000" w:themeColor="text1"/>
          <w:sz w:val="28"/>
          <w:szCs w:val="28"/>
          <w:u w:val="none"/>
        </w:rPr>
        <w:t>：</w:t>
      </w:r>
      <w:hyperlink r:id="rId150" w:history="1">
        <w:r w:rsidRPr="00C77E77">
          <w:rPr>
            <w:rStyle w:val="aa"/>
            <w:rFonts w:ascii="Times New Roman" w:eastAsia="標楷體" w:hAnsi="Times New Roman" w:cs="Times New Roman"/>
            <w:sz w:val="28"/>
            <w:szCs w:val="28"/>
            <w:u w:val="none"/>
          </w:rPr>
          <w:t>http://pv.energytrend.com.tw/news/20140310-7983.html</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綠能趨勢網，〈越南：至</w:t>
      </w:r>
      <w:r w:rsidRPr="00C77E77">
        <w:rPr>
          <w:rStyle w:val="aa"/>
          <w:rFonts w:ascii="Times New Roman" w:eastAsia="標楷體" w:hAnsi="Times New Roman" w:cs="Times New Roman"/>
          <w:color w:val="000000" w:themeColor="text1"/>
          <w:sz w:val="28"/>
          <w:szCs w:val="28"/>
          <w:u w:val="none"/>
        </w:rPr>
        <w:t>2030</w:t>
      </w:r>
      <w:r w:rsidRPr="00C77E77">
        <w:rPr>
          <w:rStyle w:val="aa"/>
          <w:rFonts w:ascii="Times New Roman" w:eastAsia="標楷體" w:hAnsi="Times New Roman" w:cs="Times New Roman"/>
          <w:color w:val="000000" w:themeColor="text1"/>
          <w:sz w:val="28"/>
          <w:szCs w:val="28"/>
          <w:u w:val="none"/>
        </w:rPr>
        <w:t>年太陽能發電量占可再生能源發電的</w:t>
      </w:r>
      <w:r w:rsidRPr="00C77E77">
        <w:rPr>
          <w:rStyle w:val="aa"/>
          <w:rFonts w:ascii="Times New Roman" w:eastAsia="標楷體" w:hAnsi="Times New Roman" w:cs="Times New Roman"/>
          <w:color w:val="000000" w:themeColor="text1"/>
          <w:sz w:val="28"/>
          <w:szCs w:val="28"/>
          <w:u w:val="none"/>
        </w:rPr>
        <w:t>20</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2015/9/11</w:t>
      </w:r>
      <w:r w:rsidRPr="00C77E77">
        <w:rPr>
          <w:rStyle w:val="aa"/>
          <w:rFonts w:ascii="Times New Roman" w:eastAsia="標楷體" w:hAnsi="Times New Roman" w:cs="Times New Roman"/>
          <w:color w:val="000000" w:themeColor="text1"/>
          <w:sz w:val="28"/>
          <w:szCs w:val="28"/>
          <w:u w:val="none"/>
        </w:rPr>
        <w:t>：</w:t>
      </w:r>
      <w:hyperlink r:id="rId151" w:history="1">
        <w:r w:rsidRPr="00C77E77">
          <w:rPr>
            <w:rStyle w:val="aa"/>
            <w:rFonts w:ascii="Times New Roman" w:eastAsia="標楷體" w:hAnsi="Times New Roman" w:cs="Times New Roman"/>
            <w:sz w:val="28"/>
            <w:szCs w:val="28"/>
            <w:u w:val="none"/>
          </w:rPr>
          <w:t>http://pv.energytrend.com.tw/news/20150911-12097.html</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綠能趨勢網，〈新日光、昱晶加速海外布局</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產能約</w:t>
      </w:r>
      <w:r w:rsidRPr="00C77E77">
        <w:rPr>
          <w:rStyle w:val="aa"/>
          <w:rFonts w:ascii="Times New Roman" w:eastAsia="標楷體" w:hAnsi="Times New Roman" w:cs="Times New Roman"/>
          <w:color w:val="000000" w:themeColor="text1"/>
          <w:sz w:val="28"/>
          <w:szCs w:val="28"/>
          <w:u w:val="none"/>
        </w:rPr>
        <w:t xml:space="preserve"> 500MW</w:t>
      </w:r>
      <w:r w:rsidRPr="00C77E77">
        <w:rPr>
          <w:rStyle w:val="aa"/>
          <w:rFonts w:ascii="Times New Roman" w:eastAsia="標楷體" w:hAnsi="Times New Roman" w:cs="Times New Roman"/>
          <w:color w:val="000000" w:themeColor="text1"/>
          <w:sz w:val="28"/>
          <w:szCs w:val="28"/>
          <w:u w:val="none"/>
        </w:rPr>
        <w:t>〉，</w:t>
      </w:r>
      <w:r w:rsidRPr="00C77E77">
        <w:rPr>
          <w:rStyle w:val="aa"/>
          <w:rFonts w:ascii="Times New Roman" w:eastAsia="標楷體" w:hAnsi="Times New Roman" w:cs="Times New Roman"/>
          <w:color w:val="000000" w:themeColor="text1"/>
          <w:sz w:val="28"/>
          <w:szCs w:val="28"/>
          <w:u w:val="none"/>
        </w:rPr>
        <w:t>205/1/23</w:t>
      </w:r>
      <w:r w:rsidRPr="00C77E77">
        <w:rPr>
          <w:rStyle w:val="aa"/>
          <w:rFonts w:ascii="Times New Roman" w:eastAsia="標楷體" w:hAnsi="Times New Roman" w:cs="Times New Roman"/>
          <w:color w:val="000000" w:themeColor="text1"/>
          <w:sz w:val="28"/>
          <w:szCs w:val="28"/>
          <w:u w:val="none"/>
        </w:rPr>
        <w:t>：</w:t>
      </w:r>
      <w:hyperlink r:id="rId152" w:history="1">
        <w:r w:rsidRPr="00C77E77">
          <w:rPr>
            <w:rStyle w:val="aa"/>
            <w:rFonts w:ascii="Times New Roman" w:eastAsia="標楷體" w:hAnsi="Times New Roman" w:cs="Times New Roman"/>
            <w:sz w:val="28"/>
            <w:szCs w:val="28"/>
            <w:u w:val="none"/>
          </w:rPr>
          <w:t>http://pv.energytrend.com.tw/news/20150123-10415.html</w:t>
        </w:r>
      </w:hyperlink>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臺經社論，</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，〈「港灣城市論壇」提供國際港口城市合作交流平臺〉，</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hyperlink r:id="rId153" w:history="1">
        <w:r w:rsidRPr="00C77E77">
          <w:rPr>
            <w:rStyle w:val="aa"/>
            <w:rFonts w:ascii="Times New Roman" w:eastAsia="標楷體" w:hAnsi="Times New Roman" w:cs="Times New Roman"/>
            <w:sz w:val="28"/>
            <w:szCs w:val="28"/>
            <w:u w:val="none"/>
          </w:rPr>
          <w:t>http://www.tier.org.tw/comment/tiermon201508.aspx</w:t>
        </w:r>
      </w:hyperlink>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臺經時事關注，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，〈正視產業智慧化發展方向及國內面臨瓶頸〉，</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日。</w:t>
      </w:r>
      <w:hyperlink r:id="rId154" w:history="1">
        <w:r w:rsidRPr="00C77E77">
          <w:rPr>
            <w:rStyle w:val="aa"/>
            <w:rFonts w:ascii="Times New Roman" w:eastAsia="標楷體" w:hAnsi="Times New Roman" w:cs="Times New Roman"/>
            <w:sz w:val="28"/>
            <w:szCs w:val="28"/>
            <w:u w:val="none"/>
          </w:rPr>
          <w:t>http://www.tier.org.tw/comment/pec5010.aspx?GUID=affe38d2-d3c5-4d0f-9621-e9fccbdb4bb4</w:t>
        </w:r>
      </w:hyperlink>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臺經觀點，</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，〈迎接伊斯蘭商機〉，</w:t>
      </w:r>
      <w:r w:rsidRPr="00C77E77">
        <w:rPr>
          <w:rFonts w:ascii="Times New Roman" w:eastAsia="標楷體" w:hAnsi="Times New Roman" w:cs="Times New Roman"/>
          <w:sz w:val="28"/>
          <w:szCs w:val="28"/>
        </w:rPr>
        <w:t xml:space="preserve"> 7</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日。</w:t>
      </w:r>
      <w:hyperlink r:id="rId155" w:history="1">
        <w:r w:rsidRPr="00C77E77">
          <w:rPr>
            <w:rStyle w:val="aa"/>
            <w:rFonts w:ascii="Times New Roman" w:eastAsia="標楷體" w:hAnsi="Times New Roman" w:cs="Times New Roman"/>
            <w:sz w:val="28"/>
            <w:szCs w:val="28"/>
            <w:u w:val="none"/>
          </w:rPr>
          <w:t>http://www.tier.org.tw/comment/pec1010.aspx?GUID=86c4a348-e5f9-410e-9c71-b036699f4ead</w:t>
        </w:r>
      </w:hyperlink>
    </w:p>
    <w:p w:rsidR="008D5640" w:rsidRPr="00C77E77" w:rsidRDefault="008D5640" w:rsidP="00781721">
      <w:pPr>
        <w:spacing w:beforeLines="50" w:before="180" w:afterLines="50" w:after="180" w:line="500" w:lineRule="exact"/>
        <w:ind w:left="566" w:hangingChars="202" w:hanging="56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臺經觀點，</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，〈恢復中小企業的關鍵角色〉，</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19</w:t>
      </w:r>
      <w:r w:rsidRPr="00C77E77">
        <w:rPr>
          <w:rFonts w:ascii="Times New Roman" w:eastAsia="標楷體" w:hAnsi="Times New Roman" w:cs="Times New Roman"/>
          <w:sz w:val="28"/>
          <w:szCs w:val="28"/>
        </w:rPr>
        <w:t>日。</w:t>
      </w:r>
      <w:hyperlink r:id="rId156" w:history="1">
        <w:r w:rsidRPr="00C77E77">
          <w:rPr>
            <w:rStyle w:val="aa"/>
            <w:rFonts w:ascii="Times New Roman" w:eastAsia="標楷體" w:hAnsi="Times New Roman" w:cs="Times New Roman"/>
            <w:sz w:val="28"/>
            <w:szCs w:val="28"/>
            <w:u w:val="none"/>
          </w:rPr>
          <w:t>http://www.tier.org.tw/comment/pec1010.aspx?GUID=958a7dfc-9a96-4e17-89b4-fac1d3debea8</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臺灣經貿網，〈馬來西亞名列全球太陽能產業第</w:t>
      </w:r>
      <w:r w:rsidRPr="00C77E77">
        <w:rPr>
          <w:rStyle w:val="aa"/>
          <w:rFonts w:ascii="Times New Roman" w:eastAsia="標楷體" w:hAnsi="Times New Roman" w:cs="Times New Roman"/>
          <w:color w:val="000000" w:themeColor="text1"/>
          <w:sz w:val="28"/>
          <w:szCs w:val="28"/>
          <w:u w:val="none"/>
        </w:rPr>
        <w:t>3</w:t>
      </w:r>
      <w:r w:rsidRPr="00C77E77">
        <w:rPr>
          <w:rStyle w:val="aa"/>
          <w:rFonts w:ascii="Times New Roman" w:eastAsia="標楷體" w:hAnsi="Times New Roman" w:cs="Times New Roman"/>
          <w:color w:val="000000" w:themeColor="text1"/>
          <w:sz w:val="28"/>
          <w:szCs w:val="28"/>
          <w:u w:val="none"/>
        </w:rPr>
        <w:t>位〉，</w:t>
      </w:r>
      <w:r w:rsidRPr="00C77E77">
        <w:rPr>
          <w:rStyle w:val="aa"/>
          <w:rFonts w:ascii="Times New Roman" w:eastAsia="標楷體" w:hAnsi="Times New Roman" w:cs="Times New Roman"/>
          <w:color w:val="000000" w:themeColor="text1"/>
          <w:sz w:val="28"/>
          <w:szCs w:val="28"/>
          <w:u w:val="none"/>
        </w:rPr>
        <w:t>2014/12/15</w:t>
      </w:r>
      <w:r w:rsidRPr="00C77E77">
        <w:rPr>
          <w:rStyle w:val="aa"/>
          <w:rFonts w:ascii="Times New Roman" w:eastAsia="標楷體" w:hAnsi="Times New Roman" w:cs="Times New Roman"/>
          <w:color w:val="000000" w:themeColor="text1"/>
          <w:sz w:val="28"/>
          <w:szCs w:val="28"/>
          <w:u w:val="none"/>
        </w:rPr>
        <w:t>：</w:t>
      </w:r>
      <w:hyperlink r:id="rId157" w:history="1">
        <w:r w:rsidRPr="00C77E77">
          <w:rPr>
            <w:rStyle w:val="aa"/>
            <w:rFonts w:ascii="Times New Roman" w:eastAsia="標楷體" w:hAnsi="Times New Roman" w:cs="Times New Roman"/>
            <w:sz w:val="28"/>
            <w:szCs w:val="28"/>
            <w:u w:val="none"/>
          </w:rPr>
          <w:t>http://info.taiwantrade.com/CH/bizsearchdetail/7731318/C?keyword0</w:t>
        </w:r>
      </w:hyperlink>
      <w:r w:rsidRPr="00C77E77">
        <w:rPr>
          <w:rStyle w:val="aa"/>
          <w:rFonts w:ascii="Times New Roman" w:eastAsia="標楷體" w:hAnsi="Times New Roman" w:cs="Times New Roman"/>
          <w:color w:val="000000" w:themeColor="text1"/>
          <w:sz w:val="28"/>
          <w:szCs w:val="28"/>
          <w:u w:val="none"/>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臺灣經貿網，〈馬來西亞盼至</w:t>
      </w:r>
      <w:r w:rsidRPr="00C77E77">
        <w:rPr>
          <w:rStyle w:val="aa"/>
          <w:rFonts w:ascii="Times New Roman" w:eastAsia="標楷體" w:hAnsi="Times New Roman" w:cs="Times New Roman"/>
          <w:color w:val="000000" w:themeColor="text1"/>
          <w:sz w:val="28"/>
          <w:szCs w:val="28"/>
          <w:u w:val="none"/>
        </w:rPr>
        <w:t>2020</w:t>
      </w:r>
      <w:r w:rsidRPr="00C77E77">
        <w:rPr>
          <w:rStyle w:val="aa"/>
          <w:rFonts w:ascii="Times New Roman" w:eastAsia="標楷體" w:hAnsi="Times New Roman" w:cs="Times New Roman"/>
          <w:color w:val="000000" w:themeColor="text1"/>
          <w:sz w:val="28"/>
          <w:szCs w:val="28"/>
          <w:u w:val="none"/>
        </w:rPr>
        <w:t>年，綠色科技商機可達</w:t>
      </w:r>
      <w:r w:rsidRPr="00C77E77">
        <w:rPr>
          <w:rStyle w:val="aa"/>
          <w:rFonts w:ascii="Times New Roman" w:eastAsia="標楷體" w:hAnsi="Times New Roman" w:cs="Times New Roman"/>
          <w:color w:val="000000" w:themeColor="text1"/>
          <w:sz w:val="28"/>
          <w:szCs w:val="28"/>
          <w:u w:val="none"/>
        </w:rPr>
        <w:t>224</w:t>
      </w:r>
      <w:r w:rsidRPr="00C77E77">
        <w:rPr>
          <w:rStyle w:val="aa"/>
          <w:rFonts w:ascii="Times New Roman" w:eastAsia="標楷體" w:hAnsi="Times New Roman" w:cs="Times New Roman"/>
          <w:color w:val="000000" w:themeColor="text1"/>
          <w:sz w:val="28"/>
          <w:szCs w:val="28"/>
          <w:u w:val="none"/>
        </w:rPr>
        <w:t>億馬幣，</w:t>
      </w:r>
      <w:r w:rsidRPr="00C77E77">
        <w:rPr>
          <w:rStyle w:val="aa"/>
          <w:rFonts w:ascii="Times New Roman" w:eastAsia="標楷體" w:hAnsi="Times New Roman" w:cs="Times New Roman"/>
          <w:color w:val="000000" w:themeColor="text1"/>
          <w:sz w:val="28"/>
          <w:szCs w:val="28"/>
          <w:u w:val="none"/>
        </w:rPr>
        <w:t>2030</w:t>
      </w:r>
      <w:r w:rsidRPr="00C77E77">
        <w:rPr>
          <w:rStyle w:val="aa"/>
          <w:rFonts w:ascii="Times New Roman" w:eastAsia="標楷體" w:hAnsi="Times New Roman" w:cs="Times New Roman"/>
          <w:color w:val="000000" w:themeColor="text1"/>
          <w:sz w:val="28"/>
          <w:szCs w:val="28"/>
          <w:u w:val="none"/>
        </w:rPr>
        <w:t>年再提升至</w:t>
      </w:r>
      <w:r w:rsidRPr="00C77E77">
        <w:rPr>
          <w:rStyle w:val="aa"/>
          <w:rFonts w:ascii="Times New Roman" w:eastAsia="標楷體" w:hAnsi="Times New Roman" w:cs="Times New Roman"/>
          <w:color w:val="000000" w:themeColor="text1"/>
          <w:sz w:val="28"/>
          <w:szCs w:val="28"/>
          <w:u w:val="none"/>
        </w:rPr>
        <w:t>600</w:t>
      </w:r>
      <w:r w:rsidRPr="00C77E77">
        <w:rPr>
          <w:rStyle w:val="aa"/>
          <w:rFonts w:ascii="Times New Roman" w:eastAsia="標楷體" w:hAnsi="Times New Roman" w:cs="Times New Roman"/>
          <w:color w:val="000000" w:themeColor="text1"/>
          <w:sz w:val="28"/>
          <w:szCs w:val="28"/>
          <w:u w:val="none"/>
        </w:rPr>
        <w:t>億馬幣〉，</w:t>
      </w:r>
      <w:r w:rsidRPr="00C77E77">
        <w:rPr>
          <w:rStyle w:val="aa"/>
          <w:rFonts w:ascii="Times New Roman" w:eastAsia="標楷體" w:hAnsi="Times New Roman" w:cs="Times New Roman"/>
          <w:color w:val="000000" w:themeColor="text1"/>
          <w:sz w:val="28"/>
          <w:szCs w:val="28"/>
          <w:u w:val="none"/>
        </w:rPr>
        <w:t>2015/2/26</w:t>
      </w:r>
      <w:r w:rsidRPr="00C77E77">
        <w:rPr>
          <w:rStyle w:val="aa"/>
          <w:rFonts w:ascii="Times New Roman" w:eastAsia="標楷體" w:hAnsi="Times New Roman" w:cs="Times New Roman"/>
          <w:color w:val="000000" w:themeColor="text1"/>
          <w:sz w:val="28"/>
          <w:szCs w:val="28"/>
          <w:u w:val="none"/>
        </w:rPr>
        <w:t>：</w:t>
      </w:r>
      <w:hyperlink r:id="rId158" w:history="1">
        <w:r w:rsidRPr="00C77E77">
          <w:rPr>
            <w:rStyle w:val="aa"/>
            <w:rFonts w:ascii="Times New Roman" w:eastAsia="標楷體" w:hAnsi="Times New Roman" w:cs="Times New Roman"/>
            <w:sz w:val="28"/>
            <w:szCs w:val="28"/>
            <w:u w:val="none"/>
          </w:rPr>
          <w:t>http://info.taiwantrade.com/CH/bizsearchdetail/7812189/C?keyword0</w:t>
        </w:r>
      </w:hyperlink>
      <w:r w:rsidRPr="00C77E77">
        <w:rPr>
          <w:rStyle w:val="aa"/>
          <w:rFonts w:ascii="Times New Roman" w:eastAsia="標楷體" w:hAnsi="Times New Roman" w:cs="Times New Roman"/>
          <w:color w:val="000000" w:themeColor="text1"/>
          <w:sz w:val="28"/>
          <w:szCs w:val="28"/>
          <w:u w:val="none"/>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臺灣經貿網，〈馬來西亞與臺灣綠色產業具合作潛力〉，</w:t>
      </w:r>
      <w:r w:rsidRPr="00C77E77">
        <w:rPr>
          <w:rStyle w:val="aa"/>
          <w:rFonts w:ascii="Times New Roman" w:eastAsia="標楷體" w:hAnsi="Times New Roman" w:cs="Times New Roman"/>
          <w:color w:val="000000" w:themeColor="text1"/>
          <w:sz w:val="28"/>
          <w:szCs w:val="28"/>
          <w:u w:val="none"/>
        </w:rPr>
        <w:t>2013/10/9</w:t>
      </w:r>
      <w:r w:rsidRPr="00C77E77">
        <w:rPr>
          <w:rStyle w:val="aa"/>
          <w:rFonts w:ascii="Times New Roman" w:eastAsia="標楷體" w:hAnsi="Times New Roman" w:cs="Times New Roman"/>
          <w:color w:val="000000" w:themeColor="text1"/>
          <w:sz w:val="28"/>
          <w:szCs w:val="28"/>
          <w:u w:val="none"/>
        </w:rPr>
        <w:t>：</w:t>
      </w:r>
      <w:hyperlink r:id="rId159" w:history="1">
        <w:r w:rsidRPr="00C77E77">
          <w:rPr>
            <w:rStyle w:val="aa"/>
            <w:rFonts w:ascii="Times New Roman" w:eastAsia="標楷體" w:hAnsi="Times New Roman" w:cs="Times New Roman"/>
            <w:sz w:val="28"/>
            <w:szCs w:val="28"/>
            <w:u w:val="none"/>
          </w:rPr>
          <w:t>http://info.taiwantrade.com/CH/bizsearchdetail/7279201/C?keyword0</w:t>
        </w:r>
      </w:hyperlink>
      <w:r w:rsidRPr="00C77E77">
        <w:rPr>
          <w:rStyle w:val="aa"/>
          <w:rFonts w:ascii="Times New Roman" w:eastAsia="標楷體" w:hAnsi="Times New Roman" w:cs="Times New Roman"/>
          <w:color w:val="000000" w:themeColor="text1"/>
          <w:sz w:val="28"/>
          <w:szCs w:val="28"/>
          <w:u w:val="none"/>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臺灣經貿網，〈新加坡軍營及學校將有機會使用太陽能〉，</w:t>
      </w:r>
      <w:r w:rsidRPr="00C77E77">
        <w:rPr>
          <w:rStyle w:val="aa"/>
          <w:rFonts w:ascii="Times New Roman" w:eastAsia="標楷體" w:hAnsi="Times New Roman" w:cs="Times New Roman"/>
          <w:color w:val="000000" w:themeColor="text1"/>
          <w:sz w:val="28"/>
          <w:szCs w:val="28"/>
          <w:u w:val="none"/>
        </w:rPr>
        <w:t>2014/9/1</w:t>
      </w:r>
      <w:r w:rsidRPr="00C77E77">
        <w:rPr>
          <w:rStyle w:val="aa"/>
          <w:rFonts w:ascii="Times New Roman" w:eastAsia="標楷體" w:hAnsi="Times New Roman" w:cs="Times New Roman"/>
          <w:color w:val="000000" w:themeColor="text1"/>
          <w:sz w:val="28"/>
          <w:szCs w:val="28"/>
          <w:u w:val="none"/>
        </w:rPr>
        <w:t>：</w:t>
      </w:r>
      <w:hyperlink r:id="rId160" w:history="1">
        <w:r w:rsidRPr="00C77E77">
          <w:rPr>
            <w:rStyle w:val="aa"/>
            <w:rFonts w:ascii="Times New Roman" w:eastAsia="標楷體" w:hAnsi="Times New Roman" w:cs="Times New Roman"/>
            <w:sz w:val="28"/>
            <w:szCs w:val="28"/>
            <w:u w:val="none"/>
          </w:rPr>
          <w:t>http://info.taiwantrade.com/CH/bizsearchdetail/7606521/C?keyword0</w:t>
        </w:r>
      </w:hyperlink>
      <w:r w:rsidRPr="00C77E77">
        <w:rPr>
          <w:rStyle w:val="aa"/>
          <w:rFonts w:ascii="Times New Roman" w:eastAsia="標楷體" w:hAnsi="Times New Roman" w:cs="Times New Roman"/>
          <w:color w:val="000000" w:themeColor="text1"/>
          <w:sz w:val="28"/>
          <w:szCs w:val="28"/>
          <w:u w:val="none"/>
        </w:rPr>
        <w:t>=</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臺灣電子商務產值分析表，經濟部「電子商務雲端創新應用與基礎環境建置計畫」（</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）；臺灣電子商務金額預估，資策會（</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lastRenderedPageBreak/>
        <w:t>遠東人月刊編輯室編，</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年，〈智慧國道的推手</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遠通電收創新交通服務〉，《遠東人月刊》，</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月號。</w:t>
      </w:r>
      <w:hyperlink r:id="rId161" w:history="1">
        <w:r w:rsidRPr="00C77E77">
          <w:rPr>
            <w:rStyle w:val="aa"/>
            <w:rFonts w:ascii="Times New Roman" w:eastAsia="標楷體" w:hAnsi="Times New Roman" w:cs="Times New Roman"/>
            <w:sz w:val="28"/>
            <w:szCs w:val="28"/>
            <w:u w:val="none"/>
          </w:rPr>
          <w:t>http://www.fenc.com/magazine/show_faq_new.aspx?SN=6667</w:t>
        </w:r>
      </w:hyperlink>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Fonts w:ascii="Times New Roman" w:eastAsia="標楷體" w:hAnsi="Times New Roman" w:cs="Times New Roman"/>
          <w:sz w:val="28"/>
          <w:szCs w:val="28"/>
        </w:rPr>
        <w:t>遠東人月刊編輯室編，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年，〈從交通收費升級智慧產業　遠通電收做創新科技的實踐家〉，《遠東人月刊》，</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月號。</w:t>
      </w:r>
      <w:hyperlink r:id="rId162" w:history="1">
        <w:r w:rsidRPr="00C77E77">
          <w:rPr>
            <w:rStyle w:val="aa"/>
            <w:rFonts w:ascii="Times New Roman" w:eastAsia="標楷體" w:hAnsi="Times New Roman" w:cs="Times New Roman"/>
            <w:sz w:val="28"/>
            <w:szCs w:val="28"/>
            <w:u w:val="none"/>
          </w:rPr>
          <w:t>http://www.fenc.com/magazine/show_faq_new.aspx?SN=8493</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劉孟俊，</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，〈臺灣推動南向政策之回顧與前瞻〉，徐遵慈編，《東南亞區域整合</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臺灣觀點》：</w:t>
      </w:r>
      <w:r w:rsidRPr="00C77E77">
        <w:rPr>
          <w:rFonts w:ascii="Times New Roman" w:eastAsia="標楷體" w:hAnsi="Times New Roman" w:cs="Times New Roman"/>
          <w:sz w:val="28"/>
          <w:szCs w:val="28"/>
        </w:rPr>
        <w:t>287-326</w:t>
      </w:r>
      <w:r w:rsidRPr="00C77E77">
        <w:rPr>
          <w:rFonts w:ascii="Times New Roman" w:eastAsia="標楷體" w:hAnsi="Times New Roman" w:cs="Times New Roman"/>
          <w:sz w:val="28"/>
          <w:szCs w:val="28"/>
        </w:rPr>
        <w:t>，臺北：財團法人中華經濟研究院。</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蕭亞漩，</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，〈印度石化產業發展現況（上）〉，工研院</w:t>
      </w:r>
      <w:r w:rsidRPr="00C77E77">
        <w:rPr>
          <w:rFonts w:ascii="Times New Roman" w:eastAsia="標楷體" w:hAnsi="Times New Roman" w:cs="Times New Roman"/>
          <w:sz w:val="28"/>
          <w:szCs w:val="28"/>
        </w:rPr>
        <w:t>IEK</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14</w:t>
      </w:r>
      <w:r w:rsidRPr="00C77E77">
        <w:rPr>
          <w:rFonts w:ascii="Times New Roman" w:eastAsia="標楷體" w:hAnsi="Times New Roman" w:cs="Times New Roman"/>
          <w:sz w:val="28"/>
          <w:szCs w:val="28"/>
        </w:rPr>
        <w:t>日，</w:t>
      </w:r>
      <w:hyperlink r:id="rId163" w:history="1">
        <w:r w:rsidRPr="00C77E77">
          <w:rPr>
            <w:rStyle w:val="aa"/>
            <w:rFonts w:ascii="Times New Roman" w:eastAsia="標楷體" w:hAnsi="Times New Roman" w:cs="Times New Roman"/>
            <w:sz w:val="28"/>
            <w:szCs w:val="28"/>
            <w:u w:val="none"/>
          </w:rPr>
          <w:t>http://www2.itis.org.tw/netreport/NetReport_Detail.aspx?rpno=28868166</w:t>
        </w:r>
      </w:hyperlink>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426" w:hangingChars="152" w:hanging="426"/>
        <w:rPr>
          <w:rFonts w:ascii="Times New Roman" w:eastAsia="標楷體" w:hAnsi="Times New Roman" w:cs="Times New Roman"/>
          <w:sz w:val="28"/>
          <w:szCs w:val="28"/>
        </w:rPr>
      </w:pPr>
      <w:r w:rsidRPr="00C77E77">
        <w:rPr>
          <w:rFonts w:ascii="Times New Roman" w:eastAsia="標楷體" w:hAnsi="Times New Roman" w:cs="Times New Roman"/>
          <w:sz w:val="28"/>
          <w:szCs w:val="28"/>
        </w:rPr>
        <w:t>蕭亞漩，</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，〈印度石化產業發展現況（下）〉，工研院</w:t>
      </w:r>
      <w:r w:rsidRPr="00C77E77">
        <w:rPr>
          <w:rFonts w:ascii="Times New Roman" w:eastAsia="標楷體" w:hAnsi="Times New Roman" w:cs="Times New Roman"/>
          <w:sz w:val="28"/>
          <w:szCs w:val="28"/>
        </w:rPr>
        <w:t>IEK</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日，</w:t>
      </w:r>
      <w:hyperlink r:id="rId164" w:history="1">
        <w:r w:rsidRPr="00C77E77">
          <w:rPr>
            <w:rStyle w:val="aa"/>
            <w:rFonts w:ascii="Times New Roman" w:eastAsia="標楷體" w:hAnsi="Times New Roman" w:cs="Times New Roman"/>
            <w:sz w:val="28"/>
            <w:szCs w:val="28"/>
            <w:u w:val="none"/>
          </w:rPr>
          <w:t>http://www2.itis.org.tw/netReport/NetReport_Detail.aspx?rpno=701876721</w:t>
        </w:r>
      </w:hyperlink>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蕭新煌，</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，〈新南向政策的「要」與「不要」〉，自由評論網。</w:t>
      </w:r>
      <w:hyperlink r:id="rId165" w:history="1">
        <w:r w:rsidRPr="00C77E77">
          <w:rPr>
            <w:rStyle w:val="aa"/>
            <w:rFonts w:ascii="Times New Roman" w:eastAsia="標楷體" w:hAnsi="Times New Roman" w:cs="Times New Roman"/>
            <w:sz w:val="28"/>
            <w:szCs w:val="28"/>
            <w:u w:val="none"/>
          </w:rPr>
          <w:t>http://talk.ltn.com.tw/article/paper/970713</w:t>
        </w:r>
      </w:hyperlink>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查詢時間</w:t>
      </w:r>
      <w:r w:rsidRPr="00C77E77">
        <w:rPr>
          <w:rFonts w:ascii="Times New Roman" w:eastAsia="標楷體" w:hAnsi="Times New Roman" w:cs="Times New Roman"/>
          <w:sz w:val="28"/>
          <w:szCs w:val="28"/>
        </w:rPr>
        <w:t>2016/7/1</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聯合晚報，〈印度拚照明</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臺廠搶商機〉，</w:t>
      </w:r>
      <w:r w:rsidRPr="00C77E77">
        <w:rPr>
          <w:rStyle w:val="aa"/>
          <w:rFonts w:ascii="Times New Roman" w:eastAsia="標楷體" w:hAnsi="Times New Roman" w:cs="Times New Roman"/>
          <w:color w:val="000000" w:themeColor="text1"/>
          <w:sz w:val="28"/>
          <w:szCs w:val="28"/>
          <w:u w:val="none"/>
        </w:rPr>
        <w:t>2016/7/15</w:t>
      </w:r>
      <w:r w:rsidRPr="00C77E77">
        <w:rPr>
          <w:rStyle w:val="aa"/>
          <w:rFonts w:ascii="Times New Roman" w:eastAsia="標楷體" w:hAnsi="Times New Roman" w:cs="Times New Roman"/>
          <w:color w:val="000000" w:themeColor="text1"/>
          <w:sz w:val="28"/>
          <w:szCs w:val="28"/>
          <w:u w:val="none"/>
        </w:rPr>
        <w:t>：</w:t>
      </w:r>
      <w:hyperlink r:id="rId166" w:history="1">
        <w:r w:rsidRPr="00C77E77">
          <w:rPr>
            <w:rStyle w:val="aa"/>
            <w:rFonts w:ascii="Times New Roman" w:eastAsia="標楷體" w:hAnsi="Times New Roman" w:cs="Times New Roman"/>
            <w:sz w:val="28"/>
            <w:szCs w:val="28"/>
            <w:u w:val="none"/>
          </w:rPr>
          <w:t>http://udn.com/news/story/7240/1830828-%E5%8D%B0%E5%BA%A6%E6%8B%9A%E7%85%A7%E6%98%8E-%E5%8F%B0%E5%BB%A0%E6%90%B6%E5%95%86%E6%A9%9F</w:t>
        </w:r>
      </w:hyperlink>
    </w:p>
    <w:p w:rsidR="008D5640" w:rsidRPr="00C77E77" w:rsidRDefault="008D5640" w:rsidP="00C70A64">
      <w:pPr>
        <w:spacing w:beforeLines="50" w:before="180" w:afterLines="50" w:after="180" w:line="500" w:lineRule="exact"/>
        <w:ind w:left="426" w:hangingChars="152" w:hanging="426"/>
        <w:rPr>
          <w:rStyle w:val="aa"/>
          <w:rFonts w:ascii="Times New Roman" w:eastAsia="標楷體" w:hAnsi="Times New Roman" w:cs="Times New Roman"/>
          <w:color w:val="000000" w:themeColor="text1"/>
          <w:sz w:val="28"/>
          <w:szCs w:val="28"/>
          <w:u w:val="none"/>
        </w:rPr>
      </w:pPr>
      <w:r w:rsidRPr="00C77E77">
        <w:rPr>
          <w:rStyle w:val="aa"/>
          <w:rFonts w:ascii="Times New Roman" w:eastAsia="標楷體" w:hAnsi="Times New Roman" w:cs="Times New Roman"/>
          <w:color w:val="000000" w:themeColor="text1"/>
          <w:sz w:val="28"/>
          <w:szCs w:val="28"/>
          <w:u w:val="none"/>
        </w:rPr>
        <w:t>聯合新聞網，</w:t>
      </w:r>
      <w:r w:rsidRPr="00C77E77">
        <w:rPr>
          <w:rStyle w:val="aa"/>
          <w:rFonts w:ascii="Times New Roman" w:eastAsia="標楷體" w:hAnsi="Times New Roman" w:cs="Times New Roman"/>
          <w:color w:val="000000" w:themeColor="text1"/>
          <w:sz w:val="28"/>
          <w:szCs w:val="28"/>
          <w:u w:val="none"/>
        </w:rPr>
        <w:t>2016</w:t>
      </w:r>
      <w:r w:rsidRPr="00C77E77">
        <w:rPr>
          <w:rStyle w:val="aa"/>
          <w:rFonts w:ascii="Times New Roman" w:eastAsia="標楷體" w:hAnsi="Times New Roman" w:cs="Times New Roman"/>
          <w:color w:val="000000" w:themeColor="text1"/>
          <w:sz w:val="28"/>
          <w:szCs w:val="28"/>
          <w:u w:val="none"/>
        </w:rPr>
        <w:t>年，〈財經觀點／男性美妝市場</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泰有潛力〉，</w:t>
      </w:r>
      <w:r w:rsidRPr="00C77E77">
        <w:rPr>
          <w:rStyle w:val="aa"/>
          <w:rFonts w:ascii="Times New Roman" w:eastAsia="標楷體" w:hAnsi="Times New Roman" w:cs="Times New Roman"/>
          <w:color w:val="000000" w:themeColor="text1"/>
          <w:sz w:val="28"/>
          <w:szCs w:val="28"/>
          <w:u w:val="none"/>
        </w:rPr>
        <w:t>7</w:t>
      </w:r>
      <w:r w:rsidRPr="00C77E77">
        <w:rPr>
          <w:rStyle w:val="aa"/>
          <w:rFonts w:ascii="Times New Roman" w:eastAsia="標楷體" w:hAnsi="Times New Roman" w:cs="Times New Roman"/>
          <w:color w:val="000000" w:themeColor="text1"/>
          <w:sz w:val="28"/>
          <w:szCs w:val="28"/>
          <w:u w:val="none"/>
        </w:rPr>
        <w:t>月</w:t>
      </w:r>
      <w:r w:rsidRPr="00C77E77">
        <w:rPr>
          <w:rStyle w:val="aa"/>
          <w:rFonts w:ascii="Times New Roman" w:eastAsia="標楷體" w:hAnsi="Times New Roman" w:cs="Times New Roman"/>
          <w:color w:val="000000" w:themeColor="text1"/>
          <w:sz w:val="28"/>
          <w:szCs w:val="28"/>
          <w:u w:val="none"/>
        </w:rPr>
        <w:t>20</w:t>
      </w:r>
      <w:r w:rsidRPr="00C77E77">
        <w:rPr>
          <w:rStyle w:val="aa"/>
          <w:rFonts w:ascii="Times New Roman" w:eastAsia="標楷體" w:hAnsi="Times New Roman" w:cs="Times New Roman"/>
          <w:color w:val="000000" w:themeColor="text1"/>
          <w:sz w:val="28"/>
          <w:szCs w:val="28"/>
          <w:u w:val="none"/>
        </w:rPr>
        <w:t>日。</w:t>
      </w:r>
      <w:hyperlink r:id="rId167" w:history="1">
        <w:r w:rsidRPr="00C77E77">
          <w:rPr>
            <w:rStyle w:val="aa"/>
            <w:rFonts w:ascii="Times New Roman" w:eastAsia="標楷體" w:hAnsi="Times New Roman" w:cs="Times New Roman"/>
            <w:sz w:val="28"/>
            <w:szCs w:val="28"/>
            <w:u w:val="none"/>
          </w:rPr>
          <w:t>http://udn.com/news/story/7241/1839502</w:t>
        </w:r>
      </w:hyperlink>
    </w:p>
    <w:p w:rsidR="008D5640" w:rsidRPr="00C77E77" w:rsidRDefault="008D5640" w:rsidP="00781721">
      <w:pPr>
        <w:spacing w:beforeLines="50" w:before="180" w:afterLines="50" w:after="180" w:line="500" w:lineRule="exact"/>
        <w:ind w:left="566" w:hangingChars="202" w:hanging="566"/>
        <w:rPr>
          <w:rFonts w:ascii="Times New Roman" w:eastAsia="標楷體" w:hAnsi="Times New Roman" w:cs="Times New Roman"/>
          <w:sz w:val="28"/>
          <w:szCs w:val="28"/>
        </w:rPr>
      </w:pPr>
      <w:r w:rsidRPr="00C77E77">
        <w:rPr>
          <w:rFonts w:ascii="Times New Roman" w:eastAsia="標楷體" w:hAnsi="Times New Roman" w:cs="Times New Roman"/>
          <w:sz w:val="28"/>
          <w:szCs w:val="28"/>
        </w:rPr>
        <w:t>顏真真，</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，〈全球景氣不佳，上市櫃公司海外獲利衰退創</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年來新高〉，今日新聞，</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22</w:t>
      </w:r>
      <w:r w:rsidRPr="00C77E77">
        <w:rPr>
          <w:rFonts w:ascii="Times New Roman" w:eastAsia="標楷體" w:hAnsi="Times New Roman" w:cs="Times New Roman"/>
          <w:sz w:val="28"/>
          <w:szCs w:val="28"/>
        </w:rPr>
        <w:t>日。</w:t>
      </w:r>
      <w:hyperlink r:id="rId168" w:history="1">
        <w:r w:rsidRPr="00C77E77">
          <w:rPr>
            <w:rStyle w:val="aa"/>
            <w:rFonts w:ascii="Times New Roman" w:eastAsia="標楷體" w:hAnsi="Times New Roman" w:cs="Times New Roman"/>
            <w:sz w:val="28"/>
            <w:szCs w:val="28"/>
            <w:u w:val="none"/>
          </w:rPr>
          <w:t>http://www.nownews.com/n/2016/04/22/2072763</w:t>
        </w:r>
      </w:hyperlink>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查詢日期：</w:t>
      </w:r>
      <w:r w:rsidRPr="00C77E77">
        <w:rPr>
          <w:rFonts w:ascii="Times New Roman" w:eastAsia="標楷體" w:hAnsi="Times New Roman" w:cs="Times New Roman"/>
          <w:sz w:val="28"/>
          <w:szCs w:val="28"/>
        </w:rPr>
        <w:t>2016/4/23</w:t>
      </w:r>
      <w:r w:rsidRPr="00C77E77">
        <w:rPr>
          <w:rFonts w:ascii="Times New Roman" w:eastAsia="標楷體" w:hAnsi="Times New Roman" w:cs="Times New Roman"/>
          <w:sz w:val="28"/>
          <w:szCs w:val="28"/>
        </w:rPr>
        <w:t>。</w:t>
      </w:r>
    </w:p>
    <w:p w:rsidR="008D5640" w:rsidRPr="00C77E77" w:rsidRDefault="008D5640" w:rsidP="00781721">
      <w:pPr>
        <w:spacing w:beforeLines="50" w:before="180" w:afterLines="50" w:after="180" w:line="500" w:lineRule="exact"/>
        <w:ind w:left="426" w:hangingChars="152" w:hanging="426"/>
        <w:rPr>
          <w:rStyle w:val="aa"/>
          <w:rFonts w:ascii="Times New Roman" w:eastAsia="標楷體" w:hAnsi="Times New Roman" w:cs="Times New Roman"/>
          <w:sz w:val="28"/>
          <w:szCs w:val="28"/>
          <w:u w:val="none"/>
        </w:rPr>
      </w:pPr>
      <w:r w:rsidRPr="00C77E77">
        <w:rPr>
          <w:rStyle w:val="aa"/>
          <w:rFonts w:ascii="Times New Roman" w:eastAsia="標楷體" w:hAnsi="Times New Roman" w:cs="Times New Roman"/>
          <w:color w:val="000000" w:themeColor="text1"/>
          <w:sz w:val="28"/>
          <w:szCs w:val="28"/>
          <w:u w:val="none"/>
        </w:rPr>
        <w:t>蘋果日報，〈新日光新竹模組廠熄燈</w:t>
      </w:r>
      <w:r w:rsidRPr="00C77E77">
        <w:rPr>
          <w:rStyle w:val="aa"/>
          <w:rFonts w:ascii="Times New Roman" w:eastAsia="標楷體" w:hAnsi="Times New Roman" w:cs="Times New Roman"/>
          <w:color w:val="000000" w:themeColor="text1"/>
          <w:sz w:val="28"/>
          <w:szCs w:val="28"/>
          <w:u w:val="none"/>
        </w:rPr>
        <w:t xml:space="preserve"> </w:t>
      </w:r>
      <w:r w:rsidRPr="00C77E77">
        <w:rPr>
          <w:rStyle w:val="aa"/>
          <w:rFonts w:ascii="Times New Roman" w:eastAsia="標楷體" w:hAnsi="Times New Roman" w:cs="Times New Roman"/>
          <w:color w:val="000000" w:themeColor="text1"/>
          <w:sz w:val="28"/>
          <w:szCs w:val="28"/>
          <w:u w:val="none"/>
        </w:rPr>
        <w:t>電池廠員工也求資遣〉，</w:t>
      </w:r>
      <w:r w:rsidRPr="00C77E77">
        <w:rPr>
          <w:rStyle w:val="aa"/>
          <w:rFonts w:ascii="Times New Roman" w:eastAsia="標楷體" w:hAnsi="Times New Roman" w:cs="Times New Roman"/>
          <w:color w:val="000000" w:themeColor="text1"/>
          <w:sz w:val="28"/>
          <w:szCs w:val="28"/>
          <w:u w:val="none"/>
        </w:rPr>
        <w:t>2016/5/24</w:t>
      </w:r>
      <w:r w:rsidRPr="00C77E77">
        <w:rPr>
          <w:rStyle w:val="aa"/>
          <w:rFonts w:ascii="Times New Roman" w:eastAsia="標楷體" w:hAnsi="Times New Roman" w:cs="Times New Roman"/>
          <w:color w:val="000000" w:themeColor="text1"/>
          <w:sz w:val="28"/>
          <w:szCs w:val="28"/>
          <w:u w:val="none"/>
        </w:rPr>
        <w:t>：</w:t>
      </w:r>
      <w:hyperlink r:id="rId169" w:history="1">
        <w:r w:rsidRPr="00C77E77">
          <w:rPr>
            <w:rStyle w:val="aa"/>
            <w:rFonts w:ascii="Times New Roman" w:eastAsia="標楷體" w:hAnsi="Times New Roman" w:cs="Times New Roman"/>
            <w:sz w:val="28"/>
            <w:szCs w:val="28"/>
            <w:u w:val="none"/>
          </w:rPr>
          <w:t>http://www.appledaily.com.tw/appledaily/article/finance/20160524/37230742/</w:t>
        </w:r>
      </w:hyperlink>
    </w:p>
    <w:p w:rsidR="00E77DD6" w:rsidRPr="00C77E77" w:rsidRDefault="00FA44BA">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39441E" w:rsidRPr="00C77E77" w:rsidRDefault="00006DCD" w:rsidP="009F567C">
      <w:pPr>
        <w:pStyle w:val="1"/>
        <w:spacing w:beforeLines="50" w:afterLines="50" w:line="360" w:lineRule="auto"/>
        <w:rPr>
          <w:rFonts w:ascii="Times New Roman" w:eastAsia="標楷體" w:hAnsi="Times New Roman" w:cs="Times New Roman"/>
          <w:color w:val="000000" w:themeColor="text1"/>
          <w:sz w:val="36"/>
          <w:szCs w:val="36"/>
        </w:rPr>
      </w:pPr>
      <w:bookmarkStart w:id="170" w:name="_Toc461553484"/>
      <w:bookmarkStart w:id="171" w:name="_Toc470676328"/>
      <w:r w:rsidRPr="00C77E77">
        <w:rPr>
          <w:rFonts w:ascii="Times New Roman" w:eastAsia="標楷體" w:hAnsi="Times New Roman" w:cs="Times New Roman"/>
          <w:color w:val="000000" w:themeColor="text1"/>
          <w:sz w:val="36"/>
          <w:szCs w:val="36"/>
        </w:rPr>
        <w:lastRenderedPageBreak/>
        <w:t>附錄一：</w:t>
      </w:r>
      <w:r w:rsidR="00342C38" w:rsidRPr="00C77E77">
        <w:rPr>
          <w:rFonts w:ascii="Times New Roman" w:eastAsia="標楷體" w:hAnsi="Times New Roman" w:cs="Times New Roman"/>
          <w:sz w:val="36"/>
          <w:szCs w:val="36"/>
        </w:rPr>
        <w:t>期末報告審查意見與回覆</w:t>
      </w:r>
      <w:bookmarkEnd w:id="1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954"/>
        <w:gridCol w:w="20"/>
        <w:gridCol w:w="3262"/>
        <w:gridCol w:w="32"/>
      </w:tblGrid>
      <w:tr w:rsidR="00F15EB2" w:rsidRPr="00C77E77" w:rsidTr="004A552C">
        <w:trPr>
          <w:gridAfter w:val="1"/>
          <w:wAfter w:w="17" w:type="pct"/>
          <w:trHeight w:val="20"/>
        </w:trPr>
        <w:tc>
          <w:tcPr>
            <w:tcW w:w="3212" w:type="pct"/>
            <w:shd w:val="clear" w:color="auto" w:fill="auto"/>
          </w:tcPr>
          <w:p w:rsidR="00F15EB2" w:rsidRPr="00C77E77" w:rsidRDefault="00F15EB2" w:rsidP="004A552C">
            <w:pPr>
              <w:adjustRightInd w:val="0"/>
              <w:snapToGrid w:val="0"/>
              <w:spacing w:beforeLines="50" w:before="180" w:afterLines="50" w:after="180" w:line="0" w:lineRule="atLeast"/>
              <w:jc w:val="center"/>
              <w:rPr>
                <w:rFonts w:ascii="Times New Roman" w:eastAsia="標楷體" w:hAnsi="Times New Roman" w:cs="Times New Roman"/>
                <w:b/>
                <w:color w:val="000000" w:themeColor="text1"/>
                <w:szCs w:val="24"/>
              </w:rPr>
            </w:pPr>
            <w:r w:rsidRPr="00C77E77">
              <w:rPr>
                <w:rFonts w:ascii="Times New Roman" w:eastAsia="標楷體" w:hAnsi="Times New Roman" w:cs="Times New Roman"/>
                <w:b/>
                <w:color w:val="000000" w:themeColor="text1"/>
                <w:szCs w:val="24"/>
              </w:rPr>
              <w:t>審查意見</w:t>
            </w:r>
          </w:p>
        </w:tc>
        <w:tc>
          <w:tcPr>
            <w:tcW w:w="1771" w:type="pct"/>
            <w:gridSpan w:val="2"/>
            <w:shd w:val="clear" w:color="auto" w:fill="auto"/>
          </w:tcPr>
          <w:p w:rsidR="00F15EB2" w:rsidRPr="00C77E77" w:rsidRDefault="00F15EB2" w:rsidP="004A552C">
            <w:pPr>
              <w:adjustRightInd w:val="0"/>
              <w:snapToGrid w:val="0"/>
              <w:spacing w:beforeLines="50" w:before="180" w:afterLines="50" w:after="180" w:line="0" w:lineRule="atLeast"/>
              <w:jc w:val="center"/>
              <w:rPr>
                <w:rFonts w:ascii="Times New Roman" w:eastAsia="標楷體" w:hAnsi="Times New Roman" w:cs="Times New Roman"/>
                <w:b/>
                <w:color w:val="000000" w:themeColor="text1"/>
                <w:szCs w:val="24"/>
              </w:rPr>
            </w:pPr>
            <w:r w:rsidRPr="00C77E77">
              <w:rPr>
                <w:rFonts w:ascii="Times New Roman" w:eastAsia="標楷體" w:hAnsi="Times New Roman" w:cs="Times New Roman"/>
                <w:b/>
                <w:color w:val="000000" w:themeColor="text1"/>
                <w:szCs w:val="24"/>
              </w:rPr>
              <w:t>結案報告回應</w:t>
            </w:r>
          </w:p>
        </w:tc>
      </w:tr>
      <w:tr w:rsidR="00F15EB2" w:rsidRPr="00C77E77" w:rsidTr="004A552C">
        <w:trPr>
          <w:gridAfter w:val="1"/>
          <w:wAfter w:w="17" w:type="pct"/>
          <w:trHeight w:val="20"/>
        </w:trPr>
        <w:tc>
          <w:tcPr>
            <w:tcW w:w="4983" w:type="pct"/>
            <w:gridSpan w:val="3"/>
            <w:shd w:val="clear" w:color="auto" w:fill="auto"/>
          </w:tcPr>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台灣大學經濟系劉委員碧珍</w:t>
            </w:r>
          </w:p>
        </w:tc>
      </w:tr>
      <w:tr w:rsidR="00F15EB2" w:rsidRPr="00C77E77" w:rsidTr="004A552C">
        <w:trPr>
          <w:gridAfter w:val="1"/>
          <w:wAfter w:w="17" w:type="pct"/>
          <w:trHeight w:val="703"/>
        </w:trPr>
        <w:tc>
          <w:tcPr>
            <w:tcW w:w="3212" w:type="pct"/>
            <w:tcBorders>
              <w:bottom w:val="single" w:sz="4" w:space="0" w:color="auto"/>
            </w:tcBorders>
          </w:tcPr>
          <w:p w:rsidR="00F15EB2" w:rsidRPr="00C77E77" w:rsidRDefault="00F15EB2" w:rsidP="0001327A">
            <w:pPr>
              <w:pStyle w:val="ab"/>
              <w:widowControl/>
              <w:numPr>
                <w:ilvl w:val="0"/>
                <w:numId w:val="140"/>
              </w:numPr>
              <w:snapToGrid w:val="0"/>
              <w:spacing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報告第二章主要討論我國與印度及東南亞的雙邊投資與貿易關係，過去</w:t>
            </w:r>
            <w:r w:rsidRPr="00C77E77">
              <w:rPr>
                <w:rFonts w:ascii="Times New Roman" w:eastAsia="標楷體" w:hAnsi="Times New Roman" w:cs="Times New Roman"/>
                <w:color w:val="000000" w:themeColor="text1"/>
                <w:szCs w:val="24"/>
              </w:rPr>
              <w:t>10</w:t>
            </w:r>
            <w:r w:rsidRPr="00C77E77">
              <w:rPr>
                <w:rFonts w:ascii="Times New Roman" w:eastAsia="標楷體" w:hAnsi="Times New Roman" w:cs="Times New Roman"/>
                <w:color w:val="000000" w:themeColor="text1"/>
                <w:szCs w:val="24"/>
              </w:rPr>
              <w:t>年對東協出口占比有長期上升趨勢，建議報告可以參酌過去的研究文獻，分析對東南亞出口貿易擴張，主要是對外投資帶動的中間財出口成長，還是針對當地市場的最終財出口成長，俾作為規劃未來經貿拓展策略之參考。另有關最近</w:t>
            </w:r>
            <w:r w:rsidRPr="00C77E77">
              <w:rPr>
                <w:rFonts w:ascii="Times New Roman" w:eastAsia="標楷體" w:hAnsi="Times New Roman" w:cs="Times New Roman"/>
                <w:color w:val="000000" w:themeColor="text1"/>
                <w:szCs w:val="24"/>
              </w:rPr>
              <w:t>2</w:t>
            </w:r>
            <w:r w:rsidRPr="00C77E77">
              <w:rPr>
                <w:rFonts w:ascii="Times New Roman" w:eastAsia="標楷體" w:hAnsi="Times New Roman" w:cs="Times New Roman"/>
                <w:color w:val="000000" w:themeColor="text1"/>
                <w:szCs w:val="24"/>
              </w:rPr>
              <w:t>年對東協貿易急遽下跌，報告</w:t>
            </w:r>
            <w:r w:rsidRPr="00C77E77">
              <w:rPr>
                <w:rFonts w:ascii="Times New Roman" w:eastAsia="標楷體" w:hAnsi="Times New Roman" w:cs="Times New Roman"/>
                <w:color w:val="000000" w:themeColor="text1"/>
                <w:szCs w:val="24"/>
              </w:rPr>
              <w:t>P.65</w:t>
            </w:r>
            <w:r w:rsidRPr="00C77E77">
              <w:rPr>
                <w:rFonts w:ascii="Times New Roman" w:eastAsia="標楷體" w:hAnsi="Times New Roman" w:cs="Times New Roman"/>
                <w:color w:val="000000" w:themeColor="text1"/>
                <w:szCs w:val="24"/>
              </w:rPr>
              <w:t>提出主要原因是中國大陸供應鏈興起、美國製造業回流與國際分工改變，建議強化中間的邏輯推理，俾利研判係因短期現象或長期結構因素所致。</w:t>
            </w:r>
          </w:p>
          <w:p w:rsidR="00F15EB2" w:rsidRPr="00C77E77" w:rsidRDefault="00F15EB2" w:rsidP="00C63068">
            <w:pPr>
              <w:pStyle w:val="ab"/>
              <w:snapToGrid w:val="0"/>
              <w:spacing w:line="0" w:lineRule="atLeast"/>
              <w:ind w:leftChars="0" w:left="390"/>
              <w:jc w:val="both"/>
              <w:rPr>
                <w:rFonts w:ascii="Times New Roman" w:eastAsia="標楷體" w:hAnsi="Times New Roman" w:cs="Times New Roman"/>
                <w:color w:val="000000" w:themeColor="text1"/>
                <w:szCs w:val="24"/>
              </w:rPr>
            </w:pPr>
          </w:p>
          <w:p w:rsidR="00F15EB2" w:rsidRPr="00C77E77" w:rsidRDefault="00F15EB2" w:rsidP="00C63068">
            <w:pPr>
              <w:pStyle w:val="ab"/>
              <w:snapToGrid w:val="0"/>
              <w:spacing w:line="0" w:lineRule="atLeast"/>
              <w:ind w:leftChars="0" w:left="390"/>
              <w:jc w:val="both"/>
              <w:rPr>
                <w:rFonts w:ascii="Times New Roman" w:eastAsia="標楷體" w:hAnsi="Times New Roman" w:cs="Times New Roman"/>
                <w:color w:val="000000" w:themeColor="text1"/>
                <w:szCs w:val="24"/>
              </w:rPr>
            </w:pPr>
          </w:p>
          <w:p w:rsidR="00C63068" w:rsidRPr="00C77E77" w:rsidRDefault="00C63068" w:rsidP="00C63068">
            <w:pPr>
              <w:pStyle w:val="ab"/>
              <w:snapToGrid w:val="0"/>
              <w:spacing w:line="0" w:lineRule="atLeast"/>
              <w:ind w:leftChars="0" w:left="390"/>
              <w:jc w:val="both"/>
              <w:rPr>
                <w:rFonts w:ascii="Times New Roman" w:eastAsia="標楷體" w:hAnsi="Times New Roman" w:cs="Times New Roman"/>
                <w:color w:val="000000" w:themeColor="text1"/>
                <w:szCs w:val="24"/>
              </w:rPr>
            </w:pPr>
          </w:p>
          <w:p w:rsidR="00C63068" w:rsidRPr="00C77E77" w:rsidRDefault="00C63068" w:rsidP="00C63068">
            <w:pPr>
              <w:pStyle w:val="ab"/>
              <w:snapToGrid w:val="0"/>
              <w:spacing w:line="0" w:lineRule="atLeast"/>
              <w:ind w:leftChars="0" w:left="390"/>
              <w:jc w:val="both"/>
              <w:rPr>
                <w:rFonts w:ascii="Times New Roman" w:eastAsia="標楷體" w:hAnsi="Times New Roman" w:cs="Times New Roman"/>
                <w:color w:val="000000" w:themeColor="text1"/>
                <w:szCs w:val="24"/>
              </w:rPr>
            </w:pPr>
          </w:p>
          <w:p w:rsidR="00F15EB2" w:rsidRPr="00C77E77" w:rsidRDefault="00F15EB2" w:rsidP="00C63068">
            <w:pPr>
              <w:pStyle w:val="ab"/>
              <w:snapToGrid w:val="0"/>
              <w:spacing w:line="0" w:lineRule="atLeast"/>
              <w:ind w:leftChars="0" w:left="390"/>
              <w:jc w:val="both"/>
              <w:rPr>
                <w:rFonts w:ascii="Times New Roman" w:eastAsia="標楷體" w:hAnsi="Times New Roman" w:cs="Times New Roman"/>
                <w:color w:val="000000" w:themeColor="text1"/>
                <w:szCs w:val="24"/>
              </w:rPr>
            </w:pPr>
          </w:p>
          <w:p w:rsidR="00F15EB2" w:rsidRPr="00C77E77" w:rsidRDefault="00F15EB2" w:rsidP="0001327A">
            <w:pPr>
              <w:pStyle w:val="ab"/>
              <w:widowControl/>
              <w:numPr>
                <w:ilvl w:val="0"/>
                <w:numId w:val="140"/>
              </w:numPr>
              <w:snapToGrid w:val="0"/>
              <w:spacing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報告以「</w:t>
            </w:r>
            <w:r w:rsidRPr="00C77E77">
              <w:rPr>
                <w:rFonts w:ascii="Times New Roman" w:eastAsia="標楷體" w:hAnsi="Times New Roman" w:cs="Times New Roman"/>
                <w:color w:val="000000" w:themeColor="text1"/>
                <w:szCs w:val="24"/>
              </w:rPr>
              <w:t>10+2</w:t>
            </w:r>
            <w:r w:rsidRPr="00C77E77">
              <w:rPr>
                <w:rFonts w:ascii="Times New Roman" w:eastAsia="標楷體" w:hAnsi="Times New Roman" w:cs="Times New Roman"/>
                <w:color w:val="000000" w:themeColor="text1"/>
                <w:szCs w:val="24"/>
              </w:rPr>
              <w:t>」產業南向發展進行架構分析，可思考如何利用所呈現的詳細資料整理出新南向的路徑圖</w:t>
            </w:r>
            <w:r w:rsidRPr="00C77E77">
              <w:rPr>
                <w:rFonts w:ascii="Times New Roman" w:eastAsia="標楷體" w:hAnsi="Times New Roman" w:cs="Times New Roman"/>
                <w:color w:val="000000" w:themeColor="text1"/>
                <w:szCs w:val="24"/>
              </w:rPr>
              <w:t>(roadmap)</w:t>
            </w:r>
            <w:r w:rsidRPr="00C77E77">
              <w:rPr>
                <w:rFonts w:ascii="Times New Roman" w:eastAsia="標楷體" w:hAnsi="Times New Roman" w:cs="Times New Roman"/>
                <w:color w:val="000000" w:themeColor="text1"/>
                <w:szCs w:val="24"/>
              </w:rPr>
              <w:t>，清楚定位臺灣在亞洲的發展模式與角色定位，整體圖像</w:t>
            </w:r>
            <w:r w:rsidRPr="00C77E77">
              <w:rPr>
                <w:rFonts w:ascii="Times New Roman" w:eastAsia="標楷體" w:hAnsi="Times New Roman" w:cs="Times New Roman"/>
                <w:color w:val="000000" w:themeColor="text1"/>
                <w:szCs w:val="24"/>
              </w:rPr>
              <w:t>(picture)</w:t>
            </w:r>
            <w:r w:rsidRPr="00C77E77">
              <w:rPr>
                <w:rFonts w:ascii="Times New Roman" w:eastAsia="標楷體" w:hAnsi="Times New Roman" w:cs="Times New Roman"/>
                <w:color w:val="000000" w:themeColor="text1"/>
                <w:szCs w:val="24"/>
              </w:rPr>
              <w:t>才會比較清楚。基於政府資源有限，發展策略應有所聚焦，較易看到實際的效果，或可從幾個面向進行篩選，例如「對政府提供協助的需求」或「對提振經濟成長與就業的幫助」等。</w:t>
            </w:r>
          </w:p>
          <w:p w:rsidR="00C63068" w:rsidRPr="00C77E77" w:rsidRDefault="00C63068" w:rsidP="00C63068">
            <w:pPr>
              <w:pStyle w:val="ab"/>
              <w:widowControl/>
              <w:snapToGrid w:val="0"/>
              <w:spacing w:line="0" w:lineRule="atLeast"/>
              <w:ind w:leftChars="0" w:left="390"/>
              <w:jc w:val="both"/>
              <w:rPr>
                <w:rFonts w:ascii="Times New Roman" w:eastAsia="標楷體" w:hAnsi="Times New Roman" w:cs="Times New Roman"/>
                <w:color w:val="000000" w:themeColor="text1"/>
                <w:szCs w:val="24"/>
              </w:rPr>
            </w:pPr>
          </w:p>
          <w:p w:rsidR="00F15EB2" w:rsidRPr="00C77E77" w:rsidRDefault="00F15EB2" w:rsidP="0001327A">
            <w:pPr>
              <w:pStyle w:val="ab"/>
              <w:widowControl/>
              <w:numPr>
                <w:ilvl w:val="0"/>
                <w:numId w:val="140"/>
              </w:numPr>
              <w:snapToGrid w:val="0"/>
              <w:spacing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關於推動新南向政策的合作夥伴，過去的想法是兩岸合作進軍東協市場，惟未來兩岸關係不明朗，可改為強調結合西方國家廠商，對產業升級也能有所幫助。</w:t>
            </w:r>
          </w:p>
          <w:p w:rsidR="00C63068" w:rsidRPr="00C77E77" w:rsidRDefault="00C63068" w:rsidP="00C63068">
            <w:pPr>
              <w:pStyle w:val="ab"/>
              <w:rPr>
                <w:rFonts w:ascii="Times New Roman" w:eastAsia="標楷體" w:hAnsi="Times New Roman" w:cs="Times New Roman"/>
                <w:color w:val="000000" w:themeColor="text1"/>
                <w:szCs w:val="24"/>
              </w:rPr>
            </w:pPr>
          </w:p>
          <w:p w:rsidR="00C63068" w:rsidRPr="00C77E77" w:rsidRDefault="00C63068" w:rsidP="00C63068">
            <w:pPr>
              <w:pStyle w:val="ab"/>
              <w:widowControl/>
              <w:snapToGrid w:val="0"/>
              <w:spacing w:line="0" w:lineRule="atLeast"/>
              <w:ind w:leftChars="0" w:left="390"/>
              <w:jc w:val="both"/>
              <w:rPr>
                <w:rFonts w:ascii="Times New Roman" w:eastAsia="標楷體" w:hAnsi="Times New Roman" w:cs="Times New Roman"/>
                <w:color w:val="000000" w:themeColor="text1"/>
                <w:szCs w:val="24"/>
              </w:rPr>
            </w:pPr>
          </w:p>
          <w:p w:rsidR="00F15EB2" w:rsidRPr="00C77E77" w:rsidRDefault="00F15EB2" w:rsidP="0001327A">
            <w:pPr>
              <w:pStyle w:val="ab"/>
              <w:widowControl/>
              <w:numPr>
                <w:ilvl w:val="0"/>
                <w:numId w:val="140"/>
              </w:numPr>
              <w:spacing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為推動新南向政策，建議具體列出需要建構及提升的基礎建設與能力，如報告</w:t>
            </w:r>
            <w:r w:rsidRPr="00C77E77">
              <w:rPr>
                <w:rFonts w:ascii="Times New Roman" w:eastAsia="標楷體" w:hAnsi="Times New Roman" w:cs="Times New Roman"/>
                <w:color w:val="000000" w:themeColor="text1"/>
                <w:szCs w:val="24"/>
              </w:rPr>
              <w:t>P.83</w:t>
            </w:r>
            <w:r w:rsidRPr="00C77E77">
              <w:rPr>
                <w:rFonts w:ascii="Times New Roman" w:eastAsia="標楷體" w:hAnsi="Times New Roman" w:cs="Times New Roman"/>
                <w:color w:val="000000" w:themeColor="text1"/>
                <w:szCs w:val="24"/>
              </w:rPr>
              <w:t>提到的「電商務公民學院」等方案，以供政府參考。</w:t>
            </w:r>
          </w:p>
          <w:p w:rsidR="00F15EB2" w:rsidRPr="00C77E77" w:rsidRDefault="00F15EB2" w:rsidP="004A552C">
            <w:pPr>
              <w:pStyle w:val="ab"/>
              <w:spacing w:beforeLines="50" w:before="180" w:afterLines="50" w:after="180" w:line="0" w:lineRule="atLeast"/>
              <w:ind w:leftChars="0" w:left="390"/>
              <w:jc w:val="both"/>
              <w:rPr>
                <w:rFonts w:ascii="Times New Roman" w:hAnsi="Times New Roman" w:cs="Times New Roman"/>
                <w:color w:val="000000" w:themeColor="text1"/>
                <w:szCs w:val="24"/>
              </w:rPr>
            </w:pPr>
          </w:p>
        </w:tc>
        <w:tc>
          <w:tcPr>
            <w:tcW w:w="1771" w:type="pct"/>
            <w:gridSpan w:val="2"/>
          </w:tcPr>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感謝委員意見。</w:t>
            </w: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w:t>
            </w:r>
            <w:r w:rsidRPr="00C77E77">
              <w:rPr>
                <w:rFonts w:ascii="Times New Roman" w:eastAsia="標楷體" w:hAnsi="Times New Roman" w:cs="Times New Roman"/>
                <w:color w:val="000000" w:themeColor="text1"/>
                <w:szCs w:val="24"/>
              </w:rPr>
              <w:t>已參考相關研究報告進行補充，台灣出口到東協市場的產品以中間財居多，由台灣出口關鍵零組件到東協去生產、組裝成最終產品。詳見</w:t>
            </w:r>
            <w:r w:rsidRPr="00C77E77">
              <w:rPr>
                <w:rFonts w:ascii="Times New Roman" w:eastAsia="標楷體" w:hAnsi="Times New Roman" w:cs="Times New Roman"/>
                <w:color w:val="000000" w:themeColor="text1"/>
                <w:szCs w:val="24"/>
              </w:rPr>
              <w:t>p.65</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 xml:space="preserve"> </w:t>
            </w: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 xml:space="preserve">2. </w:t>
            </w:r>
            <w:r w:rsidRPr="00C77E77">
              <w:rPr>
                <w:rFonts w:ascii="Times New Roman" w:eastAsia="標楷體" w:hAnsi="Times New Roman" w:cs="Times New Roman"/>
                <w:color w:val="000000" w:themeColor="text1"/>
                <w:szCs w:val="24"/>
              </w:rPr>
              <w:t>已補充我國與東協貿易下降的原因，首先是來自貿易移轉效果。次為台灣產業出口結構失衡，紅海式價格競爭面臨瓶頸。三為臺灣對外貿易依存度高，易受國際景氣的影響。詳見</w:t>
            </w:r>
            <w:r w:rsidRPr="00C77E77">
              <w:rPr>
                <w:rFonts w:ascii="Times New Roman" w:eastAsia="標楷體" w:hAnsi="Times New Roman" w:cs="Times New Roman"/>
                <w:color w:val="000000" w:themeColor="text1"/>
                <w:szCs w:val="24"/>
              </w:rPr>
              <w:t>p.65</w:t>
            </w:r>
            <w:r w:rsidRPr="00C77E77">
              <w:rPr>
                <w:rFonts w:ascii="Times New Roman" w:eastAsia="標楷體" w:hAnsi="Times New Roman" w:cs="Times New Roman"/>
                <w:color w:val="000000" w:themeColor="text1"/>
                <w:szCs w:val="24"/>
              </w:rPr>
              <w:t>。</w:t>
            </w:r>
          </w:p>
          <w:p w:rsidR="00C63068" w:rsidRPr="00C77E77" w:rsidRDefault="00C63068" w:rsidP="00C63068">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已遵照委員的意見，新增表</w:t>
            </w:r>
            <w:r w:rsidRPr="00C77E77">
              <w:rPr>
                <w:rFonts w:ascii="Times New Roman" w:eastAsia="標楷體" w:hAnsi="Times New Roman" w:cs="Times New Roman"/>
                <w:color w:val="000000" w:themeColor="text1"/>
                <w:szCs w:val="24"/>
              </w:rPr>
              <w:t>5-2-13</w:t>
            </w:r>
            <w:r w:rsidRPr="00C77E77">
              <w:rPr>
                <w:rFonts w:ascii="Times New Roman" w:eastAsia="標楷體" w:hAnsi="Times New Roman" w:cs="Times New Roman"/>
                <w:color w:val="000000" w:themeColor="text1"/>
                <w:szCs w:val="24"/>
              </w:rPr>
              <w:t>，從台灣利基為出發點，分析各項產業南向發展對於台灣本地經濟與就業的影響，詳見</w:t>
            </w:r>
            <w:r w:rsidRPr="00C77E77">
              <w:rPr>
                <w:rFonts w:ascii="Times New Roman" w:eastAsia="標楷體" w:hAnsi="Times New Roman" w:cs="Times New Roman"/>
                <w:color w:val="000000" w:themeColor="text1"/>
                <w:szCs w:val="24"/>
              </w:rPr>
              <w:t>p.212-213</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p>
          <w:p w:rsidR="00C63068" w:rsidRPr="00C77E77" w:rsidRDefault="00C63068" w:rsidP="00C63068">
            <w:pPr>
              <w:adjustRightInd w:val="0"/>
              <w:snapToGrid w:val="0"/>
              <w:spacing w:line="0" w:lineRule="atLeast"/>
              <w:rPr>
                <w:rFonts w:ascii="Times New Roman" w:eastAsia="標楷體" w:hAnsi="Times New Roman" w:cs="Times New Roman"/>
                <w:color w:val="000000" w:themeColor="text1"/>
                <w:szCs w:val="24"/>
              </w:rPr>
            </w:pPr>
          </w:p>
          <w:p w:rsidR="00C63068" w:rsidRPr="00C77E77" w:rsidRDefault="00C63068" w:rsidP="00C63068">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三</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已增修至我國可靈活採取與第三國合作的模式建議，詳見</w:t>
            </w:r>
            <w:r w:rsidRPr="00C77E77">
              <w:rPr>
                <w:rFonts w:ascii="Times New Roman" w:eastAsia="標楷體" w:hAnsi="Times New Roman" w:cs="Times New Roman"/>
                <w:color w:val="000000" w:themeColor="text1"/>
                <w:szCs w:val="24"/>
              </w:rPr>
              <w:t>p.177</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p>
          <w:p w:rsidR="00C63068" w:rsidRPr="00C77E77" w:rsidRDefault="00C63068" w:rsidP="00C63068">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C63068">
            <w:pPr>
              <w:adjustRightInd w:val="0"/>
              <w:snapToGrid w:val="0"/>
              <w:spacing w:line="0" w:lineRule="atLeast"/>
              <w:rPr>
                <w:rFonts w:ascii="Times New Roman" w:eastAsia="標楷體" w:hAnsi="Times New Roman" w:cs="Times New Roman"/>
                <w:bCs/>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四</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已遵照委員的意見，新增表</w:t>
            </w:r>
            <w:r w:rsidRPr="00C77E77">
              <w:rPr>
                <w:rFonts w:ascii="Times New Roman" w:eastAsia="標楷體" w:hAnsi="Times New Roman" w:cs="Times New Roman"/>
                <w:color w:val="000000" w:themeColor="text1"/>
                <w:szCs w:val="24"/>
              </w:rPr>
              <w:t>5-2-13</w:t>
            </w:r>
            <w:r w:rsidRPr="00C77E77">
              <w:rPr>
                <w:rFonts w:ascii="Times New Roman" w:eastAsia="標楷體" w:hAnsi="Times New Roman" w:cs="Times New Roman"/>
                <w:color w:val="000000" w:themeColor="text1"/>
                <w:szCs w:val="24"/>
              </w:rPr>
              <w:t>，羅列政府可協助各項產業提升基礎能力的方案，詳見</w:t>
            </w:r>
            <w:r w:rsidRPr="00C77E77">
              <w:rPr>
                <w:rFonts w:ascii="Times New Roman" w:eastAsia="標楷體" w:hAnsi="Times New Roman" w:cs="Times New Roman"/>
                <w:color w:val="000000" w:themeColor="text1"/>
                <w:szCs w:val="24"/>
              </w:rPr>
              <w:t>p.212-213</w:t>
            </w:r>
            <w:r w:rsidRPr="00C77E77">
              <w:rPr>
                <w:rFonts w:ascii="Times New Roman" w:eastAsia="標楷體" w:hAnsi="Times New Roman" w:cs="Times New Roman"/>
                <w:color w:val="000000" w:themeColor="text1"/>
                <w:szCs w:val="24"/>
              </w:rPr>
              <w:t>。</w:t>
            </w:r>
          </w:p>
        </w:tc>
      </w:tr>
      <w:tr w:rsidR="00F15EB2" w:rsidRPr="00C77E77" w:rsidTr="004A552C">
        <w:trPr>
          <w:trHeight w:val="567"/>
          <w:tblHeader/>
        </w:trPr>
        <w:tc>
          <w:tcPr>
            <w:tcW w:w="5000" w:type="pct"/>
            <w:gridSpan w:val="4"/>
            <w:shd w:val="clear" w:color="auto" w:fill="auto"/>
            <w:vAlign w:val="center"/>
          </w:tcPr>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財團法人資訊工業策進會國際處王委員志翔</w:t>
            </w:r>
          </w:p>
        </w:tc>
      </w:tr>
      <w:tr w:rsidR="00F15EB2" w:rsidRPr="00C77E77" w:rsidTr="004A552C">
        <w:trPr>
          <w:trHeight w:val="567"/>
        </w:trPr>
        <w:tc>
          <w:tcPr>
            <w:tcW w:w="3212" w:type="pct"/>
            <w:vAlign w:val="center"/>
          </w:tcPr>
          <w:p w:rsidR="00F15EB2" w:rsidRPr="00C77E77" w:rsidRDefault="00F15EB2" w:rsidP="0001327A">
            <w:pPr>
              <w:pStyle w:val="ab"/>
              <w:widowControl/>
              <w:numPr>
                <w:ilvl w:val="0"/>
                <w:numId w:val="141"/>
              </w:numPr>
              <w:snapToGrid w:val="0"/>
              <w:spacing w:beforeLines="50" w:before="180" w:afterLines="50" w:after="180"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建議思考推動「</w:t>
            </w:r>
            <w:r w:rsidRPr="00C77E77">
              <w:rPr>
                <w:rFonts w:ascii="Times New Roman" w:eastAsia="標楷體" w:hAnsi="Times New Roman" w:cs="Times New Roman"/>
                <w:color w:val="000000" w:themeColor="text1"/>
                <w:szCs w:val="24"/>
              </w:rPr>
              <w:t>10+2</w:t>
            </w:r>
            <w:r w:rsidRPr="00C77E77">
              <w:rPr>
                <w:rFonts w:ascii="Times New Roman" w:eastAsia="標楷體" w:hAnsi="Times New Roman" w:cs="Times New Roman"/>
                <w:color w:val="000000" w:themeColor="text1"/>
                <w:szCs w:val="24"/>
              </w:rPr>
              <w:t>」產業最大的挑戰為何，俾提出相應之建議。舉如：國內業者將智慧系統輸出，面對</w:t>
            </w:r>
            <w:r w:rsidRPr="00C77E77">
              <w:rPr>
                <w:rFonts w:ascii="Times New Roman" w:eastAsia="標楷體" w:hAnsi="Times New Roman" w:cs="Times New Roman"/>
                <w:color w:val="000000" w:themeColor="text1"/>
                <w:szCs w:val="24"/>
              </w:rPr>
              <w:lastRenderedPageBreak/>
              <w:t>(1)</w:t>
            </w:r>
            <w:r w:rsidRPr="00C77E77">
              <w:rPr>
                <w:rFonts w:ascii="Times New Roman" w:eastAsia="標楷體" w:hAnsi="Times New Roman" w:cs="Times New Roman"/>
                <w:color w:val="000000" w:themeColor="text1"/>
                <w:szCs w:val="24"/>
              </w:rPr>
              <w:t>當地市場資訊不足；</w:t>
            </w:r>
            <w:r w:rsidRPr="00C77E77">
              <w:rPr>
                <w:rFonts w:ascii="Times New Roman" w:eastAsia="標楷體" w:hAnsi="Times New Roman" w:cs="Times New Roman"/>
                <w:color w:val="000000" w:themeColor="text1"/>
                <w:szCs w:val="24"/>
              </w:rPr>
              <w:t>(2)</w:t>
            </w:r>
            <w:r w:rsidRPr="00C77E77">
              <w:rPr>
                <w:rFonts w:ascii="Times New Roman" w:eastAsia="標楷體" w:hAnsi="Times New Roman" w:cs="Times New Roman"/>
                <w:color w:val="000000" w:themeColor="text1"/>
                <w:szCs w:val="24"/>
              </w:rPr>
              <w:t>缺少在地合作夥伴；</w:t>
            </w:r>
            <w:r w:rsidRPr="00C77E77">
              <w:rPr>
                <w:rFonts w:ascii="Times New Roman" w:eastAsia="標楷體" w:hAnsi="Times New Roman" w:cs="Times New Roman"/>
                <w:color w:val="000000" w:themeColor="text1"/>
                <w:szCs w:val="24"/>
              </w:rPr>
              <w:t>(3)</w:t>
            </w:r>
            <w:r w:rsidRPr="00C77E77">
              <w:rPr>
                <w:rFonts w:ascii="Times New Roman" w:eastAsia="標楷體" w:hAnsi="Times New Roman" w:cs="Times New Roman"/>
                <w:color w:val="000000" w:themeColor="text1"/>
                <w:szCs w:val="24"/>
              </w:rPr>
              <w:t>缺乏融資協助等挑戰，宜提出政策相關建議。</w:t>
            </w:r>
          </w:p>
          <w:p w:rsidR="00F15EB2" w:rsidRPr="00C77E77" w:rsidRDefault="00F15EB2" w:rsidP="0001327A">
            <w:pPr>
              <w:pStyle w:val="ab"/>
              <w:widowControl/>
              <w:numPr>
                <w:ilvl w:val="0"/>
                <w:numId w:val="141"/>
              </w:numPr>
              <w:snapToGrid w:val="0"/>
              <w:spacing w:beforeLines="50" w:before="180" w:afterLines="50" w:after="180"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10+2</w:t>
            </w:r>
            <w:r w:rsidRPr="00C77E77">
              <w:rPr>
                <w:rFonts w:ascii="Times New Roman" w:eastAsia="標楷體" w:hAnsi="Times New Roman" w:cs="Times New Roman"/>
                <w:color w:val="000000" w:themeColor="text1"/>
                <w:szCs w:val="24"/>
              </w:rPr>
              <w:t>」產業之輸出亦需要考慮其推動上的先決條件及前提，包括電力供應、供應鏈完整性等當地政經發展現況及產業環境，以利後續推動。</w:t>
            </w:r>
          </w:p>
          <w:p w:rsidR="00F15EB2" w:rsidRPr="00C77E77" w:rsidRDefault="00F15EB2" w:rsidP="0001327A">
            <w:pPr>
              <w:pStyle w:val="ab"/>
              <w:widowControl/>
              <w:numPr>
                <w:ilvl w:val="0"/>
                <w:numId w:val="141"/>
              </w:numPr>
              <w:snapToGrid w:val="0"/>
              <w:spacing w:beforeLines="50" w:before="180" w:afterLines="50" w:after="180"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有關建置示範場域方面，或可運用現有資源，舉如：智慧城巿方面，臺北、臺中、高雄等曾經取得國際智慧城市發展獎項，包括智慧交通、智慧商務、智慧學習、智慧能源等方面，已完成相當多的建置，可以透過如臺北舉辦「</w:t>
            </w:r>
            <w:r w:rsidRPr="00C77E77">
              <w:rPr>
                <w:rFonts w:ascii="Times New Roman" w:eastAsia="標楷體" w:hAnsi="Times New Roman" w:cs="Times New Roman"/>
                <w:color w:val="000000" w:themeColor="text1"/>
                <w:szCs w:val="24"/>
              </w:rPr>
              <w:t>2016</w:t>
            </w:r>
            <w:r w:rsidRPr="00C77E77">
              <w:rPr>
                <w:rFonts w:ascii="Times New Roman" w:eastAsia="標楷體" w:hAnsi="Times New Roman" w:cs="Times New Roman"/>
                <w:color w:val="000000" w:themeColor="text1"/>
                <w:szCs w:val="24"/>
              </w:rPr>
              <w:t>智慧城市展」之機會，邀請東南亞及印度潛在客戶來臺參展，並安排參訪地方政府的各項政策。</w:t>
            </w:r>
          </w:p>
        </w:tc>
        <w:tc>
          <w:tcPr>
            <w:tcW w:w="1788" w:type="pct"/>
            <w:gridSpan w:val="3"/>
          </w:tcPr>
          <w:p w:rsidR="00F15EB2" w:rsidRPr="00C77E77" w:rsidRDefault="00F15EB2" w:rsidP="00C63068">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感謝委員意見。</w:t>
            </w: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已遵照意見新增至台灣國</w:t>
            </w:r>
            <w:r w:rsidRPr="00C77E77">
              <w:rPr>
                <w:rFonts w:ascii="Times New Roman" w:eastAsia="標楷體" w:hAnsi="Times New Roman" w:cs="Times New Roman"/>
                <w:color w:val="000000" w:themeColor="text1"/>
                <w:szCs w:val="24"/>
              </w:rPr>
              <w:lastRenderedPageBreak/>
              <w:t>內業者輸出智慧系統時所面對的困難，詳見</w:t>
            </w:r>
            <w:r w:rsidRPr="00C77E77">
              <w:rPr>
                <w:rFonts w:ascii="Times New Roman" w:eastAsia="標楷體" w:hAnsi="Times New Roman" w:cs="Times New Roman"/>
                <w:color w:val="000000" w:themeColor="text1"/>
                <w:szCs w:val="24"/>
              </w:rPr>
              <w:t>p. 175</w:t>
            </w:r>
            <w:r w:rsidRPr="00C77E77">
              <w:rPr>
                <w:rFonts w:ascii="Times New Roman" w:eastAsia="標楷體" w:hAnsi="Times New Roman" w:cs="Times New Roman"/>
                <w:color w:val="000000" w:themeColor="text1"/>
                <w:szCs w:val="24"/>
              </w:rPr>
              <w:t>。</w:t>
            </w:r>
          </w:p>
          <w:p w:rsidR="00C63068" w:rsidRPr="00C77E77" w:rsidRDefault="00C63068" w:rsidP="00C63068">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已遵照意見新增至整體佈局之建議，詳見</w:t>
            </w:r>
            <w:r w:rsidRPr="00C77E77">
              <w:rPr>
                <w:rFonts w:ascii="Times New Roman" w:eastAsia="標楷體" w:hAnsi="Times New Roman" w:cs="Times New Roman"/>
                <w:color w:val="000000" w:themeColor="text1"/>
                <w:szCs w:val="24"/>
              </w:rPr>
              <w:t>p. 171</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三</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已遵照意見新增至建立示範場域之建議，詳見</w:t>
            </w:r>
            <w:r w:rsidRPr="00C77E77">
              <w:rPr>
                <w:rFonts w:ascii="Times New Roman" w:eastAsia="標楷體" w:hAnsi="Times New Roman" w:cs="Times New Roman"/>
                <w:color w:val="000000" w:themeColor="text1"/>
                <w:szCs w:val="24"/>
              </w:rPr>
              <w:t>p. 172</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bCs/>
                <w:color w:val="000000" w:themeColor="text1"/>
                <w:szCs w:val="24"/>
              </w:rPr>
            </w:pPr>
          </w:p>
        </w:tc>
      </w:tr>
      <w:tr w:rsidR="00F15EB2" w:rsidRPr="00C77E77" w:rsidTr="004A552C">
        <w:trPr>
          <w:trHeight w:val="567"/>
          <w:tblHeader/>
        </w:trPr>
        <w:tc>
          <w:tcPr>
            <w:tcW w:w="5000" w:type="pct"/>
            <w:gridSpan w:val="4"/>
            <w:shd w:val="clear" w:color="auto" w:fill="auto"/>
            <w:vAlign w:val="center"/>
          </w:tcPr>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財團法人商業發展研究院商業發展與政策研究所朱委員浩</w:t>
            </w:r>
          </w:p>
        </w:tc>
      </w:tr>
      <w:tr w:rsidR="00F15EB2" w:rsidRPr="00C77E77" w:rsidTr="004A552C">
        <w:trPr>
          <w:trHeight w:val="567"/>
        </w:trPr>
        <w:tc>
          <w:tcPr>
            <w:tcW w:w="3212" w:type="pct"/>
          </w:tcPr>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有關本研究報告的相關政策建議內容，建議研究團隊進一步思考以下意見：</w:t>
            </w: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w:t>
            </w:r>
            <w:r w:rsidRPr="00C77E77">
              <w:rPr>
                <w:rFonts w:ascii="Times New Roman" w:eastAsia="標楷體" w:hAnsi="Times New Roman" w:cs="Times New Roman"/>
                <w:color w:val="000000" w:themeColor="text1"/>
                <w:szCs w:val="24"/>
              </w:rPr>
              <w:t>外貿協會需要的不是新增資源投入，而是調整工作重點；不應只是提供一般</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經貿商情等</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資訊，而是蒐集廠商所需之資訊，如當地潛在合作夥伴等。</w:t>
            </w: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2.</w:t>
            </w:r>
            <w:r w:rsidRPr="00C77E77">
              <w:rPr>
                <w:rFonts w:ascii="Times New Roman" w:eastAsia="標楷體" w:hAnsi="Times New Roman" w:cs="Times New Roman"/>
                <w:color w:val="000000" w:themeColor="text1"/>
                <w:szCs w:val="24"/>
              </w:rPr>
              <w:t>報告</w:t>
            </w:r>
            <w:r w:rsidRPr="00C77E77">
              <w:rPr>
                <w:rFonts w:ascii="Times New Roman" w:eastAsia="標楷體" w:hAnsi="Times New Roman" w:cs="Times New Roman"/>
                <w:color w:val="000000" w:themeColor="text1"/>
                <w:szCs w:val="24"/>
              </w:rPr>
              <w:t>P.170</w:t>
            </w:r>
            <w:r w:rsidRPr="00C77E77">
              <w:rPr>
                <w:rFonts w:ascii="Times New Roman" w:eastAsia="標楷體" w:hAnsi="Times New Roman" w:cs="Times New Roman"/>
                <w:color w:val="000000" w:themeColor="text1"/>
                <w:szCs w:val="24"/>
              </w:rPr>
              <w:t>提出「加大協助拓銷的經費，補助公協會帶頭進行行銷」之建議，應注意公協會素質不一的問題。</w:t>
            </w: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3.</w:t>
            </w:r>
            <w:r w:rsidRPr="00C77E77">
              <w:rPr>
                <w:rFonts w:ascii="Times New Roman" w:eastAsia="標楷體" w:hAnsi="Times New Roman" w:cs="Times New Roman"/>
                <w:color w:val="000000" w:themeColor="text1"/>
                <w:szCs w:val="24"/>
              </w:rPr>
              <w:t>報告</w:t>
            </w:r>
            <w:r w:rsidRPr="00C77E77">
              <w:rPr>
                <w:rFonts w:ascii="Times New Roman" w:eastAsia="標楷體" w:hAnsi="Times New Roman" w:cs="Times New Roman"/>
                <w:color w:val="000000" w:themeColor="text1"/>
                <w:szCs w:val="24"/>
              </w:rPr>
              <w:t>P.171</w:t>
            </w:r>
            <w:r w:rsidRPr="00C77E77">
              <w:rPr>
                <w:rFonts w:ascii="Times New Roman" w:eastAsia="標楷體" w:hAnsi="Times New Roman" w:cs="Times New Roman"/>
                <w:color w:val="000000" w:themeColor="text1"/>
                <w:szCs w:val="24"/>
              </w:rPr>
              <w:t>提出「臺灣政府能夠出面與當地政府協調</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設立臺灣廠商的工業區」之建議，事實上過去南向政策均有類似做法，惟成效不彰，建議先行分析過去的實施經驗，避免重蹈覆轍。</w:t>
            </w: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4.</w:t>
            </w:r>
            <w:r w:rsidRPr="00C77E77">
              <w:rPr>
                <w:rFonts w:ascii="Times New Roman" w:eastAsia="標楷體" w:hAnsi="Times New Roman" w:cs="Times New Roman"/>
                <w:color w:val="000000" w:themeColor="text1"/>
                <w:szCs w:val="24"/>
              </w:rPr>
              <w:t>與日本廠商合作是很好的策略，但必須思考日本廠商為什麼需要與臺商合作，合作的誘因為何。</w:t>
            </w: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5.</w:t>
            </w:r>
            <w:r w:rsidRPr="00C77E77">
              <w:rPr>
                <w:rFonts w:ascii="Times New Roman" w:eastAsia="標楷體" w:hAnsi="Times New Roman" w:cs="Times New Roman"/>
                <w:color w:val="000000" w:themeColor="text1"/>
                <w:szCs w:val="24"/>
              </w:rPr>
              <w:t>透過文化交流增進雙向了解，相當有發展空間，或可深化相關內容。</w:t>
            </w: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6.</w:t>
            </w:r>
            <w:r w:rsidRPr="00C77E77">
              <w:rPr>
                <w:rFonts w:ascii="Times New Roman" w:eastAsia="標楷體" w:hAnsi="Times New Roman" w:cs="Times New Roman"/>
                <w:color w:val="000000" w:themeColor="text1"/>
                <w:szCs w:val="24"/>
              </w:rPr>
              <w:t>電子商務的推動方向應清楚界定，舉如：產品價格低應非重點，而是我國商品要有特色化。</w:t>
            </w: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7.</w:t>
            </w:r>
            <w:r w:rsidRPr="00C77E77">
              <w:rPr>
                <w:rFonts w:ascii="Times New Roman" w:eastAsia="標楷體" w:hAnsi="Times New Roman" w:cs="Times New Roman"/>
                <w:color w:val="000000" w:themeColor="text1"/>
                <w:szCs w:val="24"/>
              </w:rPr>
              <w:t>可考量以租賃方式解決中小企業資金需求。</w:t>
            </w:r>
          </w:p>
          <w:p w:rsidR="00C63068" w:rsidRPr="00C77E77" w:rsidRDefault="00C63068"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8.</w:t>
            </w:r>
            <w:r w:rsidRPr="00C77E77">
              <w:rPr>
                <w:rFonts w:ascii="Times New Roman" w:eastAsia="標楷體" w:hAnsi="Times New Roman" w:cs="Times New Roman"/>
                <w:color w:val="000000" w:themeColor="text1"/>
                <w:szCs w:val="24"/>
              </w:rPr>
              <w:t>因印度對中國大陸仍有資安疑慮，臺灣不宜與中國大陸合作開發手機巿場，可考量臺灣自行開發。</w:t>
            </w: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p>
          <w:p w:rsidR="00C63068" w:rsidRPr="00C77E77" w:rsidRDefault="00C63068"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C63068">
            <w:pPr>
              <w:snapToGrid w:val="0"/>
              <w:spacing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9.</w:t>
            </w:r>
            <w:r w:rsidRPr="00C77E77">
              <w:rPr>
                <w:rFonts w:ascii="Times New Roman" w:eastAsia="標楷體" w:hAnsi="Times New Roman" w:cs="Times New Roman"/>
                <w:color w:val="000000" w:themeColor="text1"/>
                <w:szCs w:val="24"/>
              </w:rPr>
              <w:t>各產業短中長期策略建議</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詳見簡報</w:t>
            </w:r>
            <w:r w:rsidRPr="00C77E77">
              <w:rPr>
                <w:rFonts w:ascii="Times New Roman" w:eastAsia="標楷體" w:hAnsi="Times New Roman" w:cs="Times New Roman"/>
                <w:color w:val="000000" w:themeColor="text1"/>
                <w:szCs w:val="24"/>
              </w:rPr>
              <w:t>P.13-P.15)</w:t>
            </w:r>
            <w:r w:rsidRPr="00C77E77">
              <w:rPr>
                <w:rFonts w:ascii="Times New Roman" w:eastAsia="標楷體" w:hAnsi="Times New Roman" w:cs="Times New Roman"/>
                <w:color w:val="000000" w:themeColor="text1"/>
                <w:szCs w:val="24"/>
              </w:rPr>
              <w:t>應加以強化，特別是如何做到的部分。</w:t>
            </w: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10.</w:t>
            </w:r>
            <w:r w:rsidRPr="00C77E77">
              <w:rPr>
                <w:rFonts w:ascii="Times New Roman" w:eastAsia="標楷體" w:hAnsi="Times New Roman" w:cs="Times New Roman"/>
                <w:color w:val="000000" w:themeColor="text1"/>
                <w:szCs w:val="24"/>
              </w:rPr>
              <w:t>若關稅問題無法解決的情況下，強化政府應如何處理業者外移問題。</w:t>
            </w:r>
          </w:p>
        </w:tc>
        <w:tc>
          <w:tcPr>
            <w:tcW w:w="1788" w:type="pct"/>
            <w:gridSpan w:val="3"/>
          </w:tcPr>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感謝委員意見。</w:t>
            </w:r>
          </w:p>
          <w:p w:rsidR="00F15EB2" w:rsidRPr="00C77E77" w:rsidRDefault="00F15EB2" w:rsidP="00C63068">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w:t>
            </w:r>
            <w:r w:rsidRPr="00C77E77">
              <w:rPr>
                <w:rFonts w:ascii="Times New Roman" w:eastAsia="標楷體" w:hAnsi="Times New Roman" w:cs="Times New Roman"/>
                <w:color w:val="000000" w:themeColor="text1"/>
                <w:szCs w:val="24"/>
              </w:rPr>
              <w:t>已遵照意見增修於調整外貿協會的工作重點，詳見</w:t>
            </w:r>
            <w:r w:rsidRPr="00C77E77">
              <w:rPr>
                <w:rFonts w:ascii="Times New Roman" w:eastAsia="標楷體" w:hAnsi="Times New Roman" w:cs="Times New Roman"/>
                <w:color w:val="000000" w:themeColor="text1"/>
                <w:szCs w:val="24"/>
              </w:rPr>
              <w:t>p. 174</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p>
          <w:p w:rsidR="00C63068" w:rsidRPr="00C77E77" w:rsidRDefault="00C63068" w:rsidP="004A552C">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2.</w:t>
            </w:r>
            <w:r w:rsidRPr="00C77E77">
              <w:rPr>
                <w:rFonts w:ascii="Times New Roman" w:eastAsia="標楷體" w:hAnsi="Times New Roman" w:cs="Times New Roman"/>
                <w:color w:val="000000" w:themeColor="text1"/>
                <w:szCs w:val="24"/>
              </w:rPr>
              <w:t>此部分確有不甚周延之處，已刪除該項建議。</w:t>
            </w:r>
          </w:p>
          <w:p w:rsidR="00F15EB2" w:rsidRPr="00C77E77" w:rsidRDefault="00F15EB2" w:rsidP="004A552C">
            <w:pPr>
              <w:adjustRightInd w:val="0"/>
              <w:snapToGrid w:val="0"/>
              <w:spacing w:line="0" w:lineRule="atLeast"/>
              <w:rPr>
                <w:rFonts w:ascii="Times New Roman" w:eastAsia="標楷體" w:hAnsi="Times New Roman" w:cs="Times New Roman"/>
                <w:bCs/>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bCs/>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bCs/>
                <w:color w:val="000000" w:themeColor="text1"/>
                <w:szCs w:val="24"/>
              </w:rPr>
              <w:t>3.</w:t>
            </w:r>
            <w:r w:rsidRPr="00C77E77">
              <w:rPr>
                <w:rFonts w:ascii="Times New Roman" w:eastAsia="標楷體" w:hAnsi="Times New Roman" w:cs="Times New Roman"/>
                <w:color w:val="000000" w:themeColor="text1"/>
                <w:szCs w:val="24"/>
              </w:rPr>
              <w:t>已遵照意見補充台旺工業區案例，詳見</w:t>
            </w:r>
            <w:r w:rsidRPr="00C77E77">
              <w:rPr>
                <w:rFonts w:ascii="Times New Roman" w:eastAsia="標楷體" w:hAnsi="Times New Roman" w:cs="Times New Roman"/>
                <w:color w:val="000000" w:themeColor="text1"/>
                <w:szCs w:val="24"/>
              </w:rPr>
              <w:t>p. 176</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4.</w:t>
            </w:r>
            <w:r w:rsidRPr="00C77E77">
              <w:rPr>
                <w:rFonts w:ascii="Times New Roman" w:eastAsia="標楷體" w:hAnsi="Times New Roman" w:cs="Times New Roman"/>
                <w:color w:val="000000" w:themeColor="text1"/>
                <w:szCs w:val="24"/>
              </w:rPr>
              <w:t>已遵照意見增修至與第三國的合作建議，詳見</w:t>
            </w:r>
            <w:r w:rsidRPr="00C77E77">
              <w:rPr>
                <w:rFonts w:ascii="Times New Roman" w:eastAsia="標楷體" w:hAnsi="Times New Roman" w:cs="Times New Roman"/>
                <w:color w:val="000000" w:themeColor="text1"/>
                <w:szCs w:val="24"/>
              </w:rPr>
              <w:t>p. 177</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5.</w:t>
            </w:r>
            <w:r w:rsidRPr="00C77E77">
              <w:rPr>
                <w:rFonts w:ascii="Times New Roman" w:eastAsia="標楷體" w:hAnsi="Times New Roman" w:cs="Times New Roman"/>
                <w:color w:val="000000" w:themeColor="text1"/>
                <w:szCs w:val="24"/>
              </w:rPr>
              <w:t>已遵照意見補充台灣鄉土連續劇案例，詳見</w:t>
            </w:r>
            <w:r w:rsidRPr="00C77E77">
              <w:rPr>
                <w:rFonts w:ascii="Times New Roman" w:eastAsia="標楷體" w:hAnsi="Times New Roman" w:cs="Times New Roman"/>
                <w:color w:val="000000" w:themeColor="text1"/>
                <w:szCs w:val="24"/>
              </w:rPr>
              <w:t>p. 181</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bCs/>
                <w:color w:val="000000" w:themeColor="text1"/>
                <w:szCs w:val="24"/>
              </w:rPr>
              <w:t>6.</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已遵照意見增修電子商務的建議，詳見</w:t>
            </w:r>
            <w:r w:rsidRPr="00C77E77">
              <w:rPr>
                <w:rFonts w:ascii="Times New Roman" w:eastAsia="標楷體" w:hAnsi="Times New Roman" w:cs="Times New Roman"/>
                <w:color w:val="000000" w:themeColor="text1"/>
                <w:szCs w:val="24"/>
              </w:rPr>
              <w:t>p. 188-190</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7.</w:t>
            </w:r>
            <w:r w:rsidRPr="00C77E77">
              <w:rPr>
                <w:rFonts w:ascii="Times New Roman" w:eastAsia="標楷體" w:hAnsi="Times New Roman" w:cs="Times New Roman"/>
                <w:color w:val="000000" w:themeColor="text1"/>
                <w:szCs w:val="24"/>
              </w:rPr>
              <w:t>已遵照意見增修於</w:t>
            </w:r>
            <w:r w:rsidRPr="00C77E77">
              <w:rPr>
                <w:rFonts w:ascii="Times New Roman" w:eastAsia="標楷體" w:hAnsi="Times New Roman" w:cs="Times New Roman"/>
                <w:color w:val="000000" w:themeColor="text1"/>
                <w:szCs w:val="24"/>
              </w:rPr>
              <w:t>p. 173-174</w:t>
            </w:r>
            <w:r w:rsidRPr="00C77E77">
              <w:rPr>
                <w:rFonts w:ascii="Times New Roman" w:eastAsia="標楷體" w:hAnsi="Times New Roman" w:cs="Times New Roman"/>
                <w:color w:val="000000" w:themeColor="text1"/>
                <w:szCs w:val="24"/>
              </w:rPr>
              <w:t>。</w:t>
            </w:r>
          </w:p>
          <w:p w:rsidR="00C63068" w:rsidRPr="00C77E77" w:rsidRDefault="00C63068" w:rsidP="004A552C">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 xml:space="preserve">8. </w:t>
            </w:r>
            <w:r w:rsidRPr="00C77E77">
              <w:rPr>
                <w:rFonts w:ascii="Times New Roman" w:eastAsia="標楷體" w:hAnsi="Times New Roman" w:cs="Times New Roman"/>
                <w:color w:val="000000" w:themeColor="text1"/>
                <w:szCs w:val="24"/>
              </w:rPr>
              <w:t>已補充說明臺灣除可考量自行開發印度的手機市場以外，也</w:t>
            </w:r>
            <w:r w:rsidRPr="00C77E77">
              <w:rPr>
                <w:rFonts w:ascii="Times New Roman" w:eastAsia="標楷體" w:hAnsi="Times New Roman" w:cs="Times New Roman"/>
                <w:color w:val="000000" w:themeColor="text1"/>
                <w:szCs w:val="24"/>
              </w:rPr>
              <w:lastRenderedPageBreak/>
              <w:t>可以在印度發展兩岸手機產業鏈的分工生產模式，詳見</w:t>
            </w:r>
            <w:r w:rsidRPr="00C77E77">
              <w:rPr>
                <w:rFonts w:ascii="Times New Roman" w:eastAsia="標楷體" w:hAnsi="Times New Roman" w:cs="Times New Roman"/>
                <w:color w:val="000000" w:themeColor="text1"/>
                <w:szCs w:val="24"/>
              </w:rPr>
              <w:t>p.217</w:t>
            </w:r>
            <w:r w:rsidRPr="00C77E77">
              <w:rPr>
                <w:rFonts w:ascii="Times New Roman" w:eastAsia="標楷體" w:hAnsi="Times New Roman" w:cs="Times New Roman"/>
                <w:color w:val="000000" w:themeColor="text1"/>
                <w:szCs w:val="24"/>
              </w:rPr>
              <w:t>。</w:t>
            </w:r>
          </w:p>
          <w:p w:rsidR="00C63068" w:rsidRPr="00C77E77" w:rsidRDefault="00C63068" w:rsidP="00C63068">
            <w:pPr>
              <w:adjustRightInd w:val="0"/>
              <w:snapToGrid w:val="0"/>
              <w:spacing w:line="0" w:lineRule="atLeast"/>
              <w:rPr>
                <w:rFonts w:ascii="Times New Roman" w:eastAsia="標楷體" w:hAnsi="Times New Roman" w:cs="Times New Roman"/>
                <w:bCs/>
                <w:color w:val="000000" w:themeColor="text1"/>
                <w:szCs w:val="24"/>
              </w:rPr>
            </w:pPr>
          </w:p>
          <w:p w:rsidR="00F15EB2" w:rsidRPr="00C77E77" w:rsidRDefault="00F15EB2" w:rsidP="00C63068">
            <w:pPr>
              <w:adjustRightInd w:val="0"/>
              <w:snapToGrid w:val="0"/>
              <w:spacing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bCs/>
                <w:color w:val="000000" w:themeColor="text1"/>
                <w:szCs w:val="24"/>
              </w:rPr>
              <w:t>9.</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已針對「</w:t>
            </w:r>
            <w:r w:rsidRPr="00C77E77">
              <w:rPr>
                <w:rFonts w:ascii="Times New Roman" w:eastAsia="標楷體" w:hAnsi="Times New Roman" w:cs="Times New Roman"/>
                <w:color w:val="000000" w:themeColor="text1"/>
                <w:szCs w:val="24"/>
              </w:rPr>
              <w:t>10+2</w:t>
            </w:r>
            <w:r w:rsidRPr="00C77E77">
              <w:rPr>
                <w:rFonts w:ascii="Times New Roman" w:eastAsia="標楷體" w:hAnsi="Times New Roman" w:cs="Times New Roman"/>
                <w:color w:val="000000" w:themeColor="text1"/>
                <w:szCs w:val="24"/>
              </w:rPr>
              <w:t>」個別產業在不同國家可以推動的切入點，強化說明短中長期推動建議。詳見下列位置：</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b/>
                <w:color w:val="000000" w:themeColor="text1"/>
                <w:szCs w:val="24"/>
              </w:rPr>
            </w:pPr>
            <w:r w:rsidRPr="00C77E77">
              <w:rPr>
                <w:rFonts w:ascii="Times New Roman" w:eastAsia="標楷體" w:hAnsi="Times New Roman" w:cs="Times New Roman"/>
                <w:b/>
                <w:color w:val="000000" w:themeColor="text1"/>
                <w:szCs w:val="24"/>
              </w:rPr>
              <w:t>電子收費</w:t>
            </w:r>
            <w:r w:rsidRPr="00C77E77">
              <w:rPr>
                <w:rFonts w:ascii="Times New Roman" w:eastAsia="標楷體" w:hAnsi="Times New Roman" w:cs="Times New Roman"/>
                <w:color w:val="000000" w:themeColor="text1"/>
                <w:szCs w:val="24"/>
              </w:rPr>
              <w:t>p. 182-183</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b/>
                <w:color w:val="000000" w:themeColor="text1"/>
                <w:szCs w:val="24"/>
              </w:rPr>
            </w:pPr>
            <w:r w:rsidRPr="00C77E77">
              <w:rPr>
                <w:rFonts w:ascii="Times New Roman" w:eastAsia="標楷體" w:hAnsi="Times New Roman" w:cs="Times New Roman"/>
                <w:b/>
                <w:color w:val="000000" w:themeColor="text1"/>
                <w:szCs w:val="24"/>
              </w:rPr>
              <w:t>電子化政府</w:t>
            </w:r>
            <w:r w:rsidRPr="00C77E77">
              <w:rPr>
                <w:rFonts w:ascii="Times New Roman" w:eastAsia="標楷體" w:hAnsi="Times New Roman" w:cs="Times New Roman"/>
                <w:color w:val="000000" w:themeColor="text1"/>
                <w:szCs w:val="24"/>
              </w:rPr>
              <w:t xml:space="preserve"> p.184</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b/>
                <w:color w:val="000000" w:themeColor="text1"/>
                <w:szCs w:val="24"/>
              </w:rPr>
            </w:pPr>
            <w:r w:rsidRPr="00C77E77">
              <w:rPr>
                <w:rFonts w:ascii="Times New Roman" w:eastAsia="標楷體" w:hAnsi="Times New Roman" w:cs="Times New Roman"/>
                <w:b/>
                <w:color w:val="000000" w:themeColor="text1"/>
                <w:szCs w:val="24"/>
              </w:rPr>
              <w:t>智慧校園</w:t>
            </w:r>
            <w:r w:rsidRPr="00C77E77">
              <w:rPr>
                <w:rFonts w:ascii="Times New Roman" w:eastAsia="標楷體" w:hAnsi="Times New Roman" w:cs="Times New Roman"/>
                <w:color w:val="000000" w:themeColor="text1"/>
                <w:szCs w:val="24"/>
              </w:rPr>
              <w:t>p.185-186</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電子商務</w:t>
            </w:r>
            <w:r w:rsidRPr="00C77E77">
              <w:rPr>
                <w:rFonts w:ascii="Times New Roman" w:eastAsia="標楷體" w:hAnsi="Times New Roman" w:cs="Times New Roman"/>
                <w:color w:val="000000" w:themeColor="text1"/>
                <w:szCs w:val="24"/>
              </w:rPr>
              <w:t>p.</w:t>
            </w:r>
            <w:r w:rsidR="00BE20FF" w:rsidRPr="00C77E77">
              <w:rPr>
                <w:rFonts w:ascii="Times New Roman" w:eastAsia="標楷體" w:hAnsi="Times New Roman" w:cs="Times New Roman"/>
                <w:color w:val="000000" w:themeColor="text1"/>
                <w:szCs w:val="24"/>
              </w:rPr>
              <w:t>188-190</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智慧物流</w:t>
            </w:r>
            <w:r w:rsidRPr="00C77E77">
              <w:rPr>
                <w:rFonts w:ascii="Times New Roman" w:eastAsia="標楷體" w:hAnsi="Times New Roman" w:cs="Times New Roman"/>
                <w:color w:val="000000" w:themeColor="text1"/>
                <w:szCs w:val="24"/>
              </w:rPr>
              <w:t>p.191-194</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雲端系統</w:t>
            </w:r>
            <w:r w:rsidRPr="00C77E77">
              <w:rPr>
                <w:rFonts w:ascii="Times New Roman" w:eastAsia="標楷體" w:hAnsi="Times New Roman" w:cs="Times New Roman"/>
                <w:color w:val="000000" w:themeColor="text1"/>
                <w:szCs w:val="24"/>
              </w:rPr>
              <w:t>p.196-197</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太陽能產業</w:t>
            </w:r>
            <w:r w:rsidRPr="00C77E77">
              <w:rPr>
                <w:rFonts w:ascii="Times New Roman" w:eastAsia="標楷體" w:hAnsi="Times New Roman" w:cs="Times New Roman"/>
                <w:color w:val="000000" w:themeColor="text1"/>
                <w:szCs w:val="24"/>
              </w:rPr>
              <w:t>p.197-198</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LED</w:t>
            </w:r>
            <w:r w:rsidRPr="00C77E77">
              <w:rPr>
                <w:rFonts w:ascii="Times New Roman" w:eastAsia="標楷體" w:hAnsi="Times New Roman" w:cs="Times New Roman"/>
                <w:color w:val="000000" w:themeColor="text1"/>
                <w:szCs w:val="24"/>
              </w:rPr>
              <w:t xml:space="preserve"> p.199-200</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綠色運輸</w:t>
            </w:r>
            <w:r w:rsidRPr="00C77E77">
              <w:rPr>
                <w:rFonts w:ascii="Times New Roman" w:eastAsia="標楷體" w:hAnsi="Times New Roman" w:cs="Times New Roman"/>
                <w:color w:val="000000" w:themeColor="text1"/>
                <w:szCs w:val="24"/>
              </w:rPr>
              <w:t>p.201</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石化</w:t>
            </w:r>
            <w:r w:rsidRPr="00C77E77">
              <w:rPr>
                <w:rFonts w:ascii="Times New Roman" w:eastAsia="標楷體" w:hAnsi="Times New Roman" w:cs="Times New Roman"/>
                <w:color w:val="000000" w:themeColor="text1"/>
                <w:szCs w:val="24"/>
              </w:rPr>
              <w:t>p.202-203</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智慧健康</w:t>
            </w:r>
            <w:r w:rsidRPr="00C77E77">
              <w:rPr>
                <w:rFonts w:ascii="Times New Roman" w:eastAsia="標楷體" w:hAnsi="Times New Roman" w:cs="Times New Roman"/>
                <w:color w:val="000000" w:themeColor="text1"/>
                <w:szCs w:val="24"/>
              </w:rPr>
              <w:t>p.204-206</w:t>
            </w:r>
            <w:r w:rsidRPr="00C77E77">
              <w:rPr>
                <w:rFonts w:ascii="Times New Roman" w:eastAsia="標楷體" w:hAnsi="Times New Roman" w:cs="Times New Roman"/>
                <w:color w:val="000000" w:themeColor="text1"/>
                <w:szCs w:val="24"/>
              </w:rPr>
              <w:t>；</w:t>
            </w:r>
          </w:p>
          <w:p w:rsidR="00F15EB2" w:rsidRPr="00C77E77" w:rsidRDefault="00F15EB2" w:rsidP="00C63068">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新農業</w:t>
            </w:r>
            <w:r w:rsidRPr="00C77E77">
              <w:rPr>
                <w:rFonts w:ascii="Times New Roman" w:eastAsia="標楷體" w:hAnsi="Times New Roman" w:cs="Times New Roman"/>
                <w:color w:val="000000" w:themeColor="text1"/>
                <w:szCs w:val="24"/>
              </w:rPr>
              <w:t>p. 209-212</w:t>
            </w:r>
            <w:r w:rsidRPr="00C77E77">
              <w:rPr>
                <w:rFonts w:ascii="Times New Roman" w:eastAsia="標楷體" w:hAnsi="Times New Roman" w:cs="Times New Roman"/>
                <w:color w:val="000000" w:themeColor="text1"/>
                <w:szCs w:val="24"/>
              </w:rPr>
              <w:t>。</w:t>
            </w:r>
          </w:p>
          <w:p w:rsidR="00C63068" w:rsidRPr="00C77E77" w:rsidRDefault="00C63068" w:rsidP="00C63068">
            <w:pPr>
              <w:adjustRightInd w:val="0"/>
              <w:snapToGrid w:val="0"/>
              <w:spacing w:line="0" w:lineRule="atLeast"/>
              <w:rPr>
                <w:rFonts w:ascii="Times New Roman" w:eastAsia="標楷體" w:hAnsi="Times New Roman" w:cs="Times New Roman"/>
                <w:color w:val="000000" w:themeColor="text1"/>
                <w:szCs w:val="24"/>
              </w:rPr>
            </w:pPr>
          </w:p>
          <w:p w:rsidR="00F15EB2" w:rsidRPr="00C77E77" w:rsidRDefault="00F15EB2" w:rsidP="00C63068">
            <w:pPr>
              <w:adjustRightInd w:val="0"/>
              <w:snapToGrid w:val="0"/>
              <w:spacing w:line="0" w:lineRule="atLeast"/>
              <w:rPr>
                <w:rFonts w:ascii="Times New Roman" w:eastAsia="標楷體" w:hAnsi="Times New Roman" w:cs="Times New Roman"/>
                <w:bCs/>
                <w:color w:val="000000" w:themeColor="text1"/>
                <w:szCs w:val="24"/>
              </w:rPr>
            </w:pPr>
            <w:r w:rsidRPr="00C77E77">
              <w:rPr>
                <w:rFonts w:ascii="Times New Roman" w:eastAsia="標楷體" w:hAnsi="Times New Roman" w:cs="Times New Roman"/>
                <w:color w:val="000000" w:themeColor="text1"/>
                <w:szCs w:val="24"/>
              </w:rPr>
              <w:t>10.</w:t>
            </w:r>
            <w:r w:rsidRPr="00C77E77">
              <w:rPr>
                <w:rFonts w:ascii="Times New Roman" w:eastAsia="標楷體" w:hAnsi="Times New Roman" w:cs="Times New Roman"/>
                <w:color w:val="000000" w:themeColor="text1"/>
                <w:szCs w:val="24"/>
              </w:rPr>
              <w:t>已補充說明可協助業者與國際接軌提升競爭力，及協助當地原物料和土地的取得，詳見</w:t>
            </w:r>
            <w:r w:rsidRPr="00C77E77">
              <w:rPr>
                <w:rFonts w:ascii="Times New Roman" w:eastAsia="標楷體" w:hAnsi="Times New Roman" w:cs="Times New Roman"/>
                <w:color w:val="000000" w:themeColor="text1"/>
                <w:szCs w:val="24"/>
              </w:rPr>
              <w:t>p.174-175</w:t>
            </w:r>
            <w:r w:rsidRPr="00C77E77">
              <w:rPr>
                <w:rFonts w:ascii="Times New Roman" w:eastAsia="標楷體" w:hAnsi="Times New Roman" w:cs="Times New Roman"/>
                <w:color w:val="000000" w:themeColor="text1"/>
                <w:szCs w:val="24"/>
              </w:rPr>
              <w:t>。</w:t>
            </w:r>
          </w:p>
        </w:tc>
      </w:tr>
      <w:tr w:rsidR="00F15EB2" w:rsidRPr="00C77E77" w:rsidTr="004A552C">
        <w:trPr>
          <w:trHeight w:val="567"/>
        </w:trPr>
        <w:tc>
          <w:tcPr>
            <w:tcW w:w="3212" w:type="pct"/>
            <w:vAlign w:val="center"/>
          </w:tcPr>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建議論述調整之處：</w:t>
            </w: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w:t>
            </w:r>
            <w:r w:rsidRPr="00C77E77">
              <w:rPr>
                <w:rFonts w:ascii="Times New Roman" w:eastAsia="標楷體" w:hAnsi="Times New Roman" w:cs="Times New Roman"/>
                <w:color w:val="000000" w:themeColor="text1"/>
                <w:szCs w:val="24"/>
              </w:rPr>
              <w:t>報告</w:t>
            </w:r>
            <w:r w:rsidRPr="00C77E77">
              <w:rPr>
                <w:rFonts w:ascii="Times New Roman" w:eastAsia="標楷體" w:hAnsi="Times New Roman" w:cs="Times New Roman"/>
                <w:color w:val="000000" w:themeColor="text1"/>
                <w:szCs w:val="24"/>
              </w:rPr>
              <w:t>P.24</w:t>
            </w:r>
            <w:r w:rsidRPr="00C77E77">
              <w:rPr>
                <w:rFonts w:ascii="Times New Roman" w:eastAsia="標楷體" w:hAnsi="Times New Roman" w:cs="Times New Roman"/>
                <w:color w:val="000000" w:themeColor="text1"/>
                <w:szCs w:val="24"/>
              </w:rPr>
              <w:t>第一段「國民黨和中</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」出現在報告中是否恰當？</w:t>
            </w: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2.</w:t>
            </w:r>
            <w:r w:rsidRPr="00C77E77">
              <w:rPr>
                <w:rFonts w:ascii="Times New Roman" w:eastAsia="標楷體" w:hAnsi="Times New Roman" w:cs="Times New Roman"/>
                <w:color w:val="000000" w:themeColor="text1"/>
                <w:szCs w:val="24"/>
              </w:rPr>
              <w:t>報告</w:t>
            </w:r>
            <w:r w:rsidRPr="00C77E77">
              <w:rPr>
                <w:rFonts w:ascii="Times New Roman" w:eastAsia="標楷體" w:hAnsi="Times New Roman" w:cs="Times New Roman"/>
                <w:color w:val="000000" w:themeColor="text1"/>
                <w:szCs w:val="24"/>
              </w:rPr>
              <w:t>P.28</w:t>
            </w:r>
            <w:r w:rsidRPr="00C77E77">
              <w:rPr>
                <w:rFonts w:ascii="Times New Roman" w:eastAsia="標楷體" w:hAnsi="Times New Roman" w:cs="Times New Roman"/>
                <w:color w:val="000000" w:themeColor="text1"/>
                <w:szCs w:val="24"/>
              </w:rPr>
              <w:t>「東南亞各國及印度赴臺的留學</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鮮少『有意願』留在臺灣」，這一點請再確認。</w:t>
            </w: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3.</w:t>
            </w:r>
            <w:r w:rsidRPr="00C77E77">
              <w:rPr>
                <w:rFonts w:ascii="Times New Roman" w:eastAsia="標楷體" w:hAnsi="Times New Roman" w:cs="Times New Roman"/>
                <w:color w:val="000000" w:themeColor="text1"/>
                <w:szCs w:val="24"/>
              </w:rPr>
              <w:t>報告</w:t>
            </w:r>
            <w:r w:rsidRPr="00C77E77">
              <w:rPr>
                <w:rFonts w:ascii="Times New Roman" w:eastAsia="標楷體" w:hAnsi="Times New Roman" w:cs="Times New Roman"/>
                <w:color w:val="000000" w:themeColor="text1"/>
                <w:szCs w:val="24"/>
              </w:rPr>
              <w:t>P.170</w:t>
            </w:r>
            <w:r w:rsidRPr="00C77E77">
              <w:rPr>
                <w:rFonts w:ascii="Times New Roman" w:eastAsia="標楷體" w:hAnsi="Times New Roman" w:cs="Times New Roman"/>
                <w:color w:val="000000" w:themeColor="text1"/>
                <w:szCs w:val="24"/>
              </w:rPr>
              <w:t>建議有關「政府應針對不同產業發展的需求條件，消除各種關稅、非關稅障礙，讓每一個產業的標準都能跟國際接軌，協助原料經營的市場、土地的取得」之標題，係以越南土地國有政策為例進行論述，與標題之關係不易理解，建議調整。</w:t>
            </w: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4.</w:t>
            </w:r>
            <w:r w:rsidRPr="00C77E77">
              <w:rPr>
                <w:rFonts w:ascii="Times New Roman" w:eastAsia="標楷體" w:hAnsi="Times New Roman" w:cs="Times New Roman"/>
                <w:color w:val="000000" w:themeColor="text1"/>
                <w:szCs w:val="24"/>
              </w:rPr>
              <w:t>針對當地華商，宜以合作代替競爭。</w:t>
            </w:r>
          </w:p>
          <w:p w:rsidR="00F15EB2" w:rsidRPr="00C77E77" w:rsidRDefault="00F15EB2"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5.</w:t>
            </w:r>
            <w:r w:rsidRPr="00C77E77">
              <w:rPr>
                <w:rFonts w:ascii="Times New Roman" w:eastAsia="標楷體" w:hAnsi="Times New Roman" w:cs="Times New Roman"/>
                <w:color w:val="000000" w:themeColor="text1"/>
                <w:szCs w:val="24"/>
              </w:rPr>
              <w:t>文字有關「預期成果」、「預定」等用語，建議調整。</w:t>
            </w:r>
          </w:p>
          <w:p w:rsidR="00C63068" w:rsidRPr="00C77E77" w:rsidRDefault="00C63068" w:rsidP="004A552C">
            <w:pPr>
              <w:snapToGrid w:val="0"/>
              <w:spacing w:beforeLines="50" w:before="180" w:afterLines="50" w:after="180" w:line="0" w:lineRule="atLeast"/>
              <w:ind w:leftChars="321" w:left="770"/>
              <w:jc w:val="both"/>
              <w:rPr>
                <w:rFonts w:ascii="Times New Roman" w:eastAsia="標楷體" w:hAnsi="Times New Roman" w:cs="Times New Roman"/>
                <w:color w:val="000000" w:themeColor="text1"/>
                <w:szCs w:val="24"/>
              </w:rPr>
            </w:pPr>
          </w:p>
        </w:tc>
        <w:tc>
          <w:tcPr>
            <w:tcW w:w="1788" w:type="pct"/>
            <w:gridSpan w:val="3"/>
          </w:tcPr>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感謝委員意見。</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w:t>
            </w:r>
            <w:r w:rsidRPr="00C77E77">
              <w:rPr>
                <w:rFonts w:ascii="Times New Roman" w:eastAsia="標楷體" w:hAnsi="Times New Roman" w:cs="Times New Roman"/>
                <w:color w:val="000000" w:themeColor="text1"/>
                <w:szCs w:val="24"/>
              </w:rPr>
              <w:t>已刪除該句。</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2.</w:t>
            </w:r>
            <w:r w:rsidRPr="00C77E77">
              <w:rPr>
                <w:rFonts w:ascii="Times New Roman" w:eastAsia="標楷體" w:hAnsi="Times New Roman" w:cs="Times New Roman"/>
                <w:color w:val="000000" w:themeColor="text1"/>
                <w:szCs w:val="24"/>
              </w:rPr>
              <w:t>已調整該句。</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C63068" w:rsidRPr="00C77E77" w:rsidRDefault="00C63068"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3.</w:t>
            </w:r>
            <w:r w:rsidRPr="00C77E77">
              <w:rPr>
                <w:rFonts w:ascii="Times New Roman" w:eastAsia="標楷體" w:hAnsi="Times New Roman" w:cs="Times New Roman"/>
                <w:color w:val="000000" w:themeColor="text1"/>
                <w:szCs w:val="24"/>
              </w:rPr>
              <w:t>已遵照意見調整論述，詳見</w:t>
            </w:r>
            <w:r w:rsidRPr="00C77E77">
              <w:rPr>
                <w:rFonts w:ascii="Times New Roman" w:eastAsia="標楷體" w:hAnsi="Times New Roman" w:cs="Times New Roman"/>
                <w:color w:val="000000" w:themeColor="text1"/>
                <w:szCs w:val="24"/>
              </w:rPr>
              <w:t>p. 174-175</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4.</w:t>
            </w:r>
            <w:r w:rsidRPr="00C77E77">
              <w:rPr>
                <w:rFonts w:ascii="Times New Roman" w:eastAsia="標楷體" w:hAnsi="Times New Roman" w:cs="Times New Roman"/>
                <w:color w:val="000000" w:themeColor="text1"/>
                <w:szCs w:val="24"/>
              </w:rPr>
              <w:t>已補充至</w:t>
            </w:r>
            <w:r w:rsidRPr="00C77E77">
              <w:rPr>
                <w:rFonts w:ascii="Times New Roman" w:eastAsia="標楷體" w:hAnsi="Times New Roman" w:cs="Times New Roman"/>
                <w:color w:val="000000" w:themeColor="text1"/>
                <w:szCs w:val="24"/>
              </w:rPr>
              <w:t>p. 176</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5.</w:t>
            </w:r>
            <w:r w:rsidRPr="00C77E77">
              <w:rPr>
                <w:rFonts w:ascii="Times New Roman" w:eastAsia="標楷體" w:hAnsi="Times New Roman" w:cs="Times New Roman"/>
                <w:color w:val="000000" w:themeColor="text1"/>
                <w:szCs w:val="24"/>
              </w:rPr>
              <w:t>已刪除第一章之相關用語。</w:t>
            </w:r>
          </w:p>
        </w:tc>
      </w:tr>
      <w:tr w:rsidR="00F15EB2" w:rsidRPr="00C77E77" w:rsidTr="004A552C">
        <w:trPr>
          <w:trHeight w:val="567"/>
          <w:tblHeader/>
        </w:trPr>
        <w:tc>
          <w:tcPr>
            <w:tcW w:w="5000" w:type="pct"/>
            <w:gridSpan w:val="4"/>
            <w:shd w:val="clear" w:color="auto" w:fill="auto"/>
            <w:vAlign w:val="center"/>
          </w:tcPr>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shd w:val="pct15" w:color="auto" w:fill="FFFFFF"/>
              </w:rPr>
            </w:pPr>
            <w:r w:rsidRPr="00C77E77">
              <w:rPr>
                <w:rFonts w:ascii="Times New Roman" w:eastAsia="標楷體" w:hAnsi="Times New Roman" w:cs="Times New Roman"/>
                <w:color w:val="000000" w:themeColor="text1"/>
                <w:szCs w:val="24"/>
              </w:rPr>
              <w:lastRenderedPageBreak/>
              <w:t>行政院農業委員會</w:t>
            </w:r>
          </w:p>
        </w:tc>
      </w:tr>
      <w:tr w:rsidR="00F15EB2" w:rsidRPr="00C77E77" w:rsidTr="004A552C">
        <w:trPr>
          <w:trHeight w:val="567"/>
        </w:trPr>
        <w:tc>
          <w:tcPr>
            <w:tcW w:w="3223" w:type="pct"/>
            <w:gridSpan w:val="2"/>
          </w:tcPr>
          <w:p w:rsidR="00F15EB2" w:rsidRPr="00C77E77" w:rsidRDefault="00F15EB2" w:rsidP="0001327A">
            <w:pPr>
              <w:pStyle w:val="ab"/>
              <w:widowControl/>
              <w:numPr>
                <w:ilvl w:val="0"/>
                <w:numId w:val="142"/>
              </w:numPr>
              <w:snapToGrid w:val="0"/>
              <w:spacing w:beforeLines="50" w:before="180" w:afterLines="50" w:after="180"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新南向政策所涉及國家範圍大，且各個國家本身內部的歧異性高，宜以「利基」的角度來看，每個商機都是一個利基市場，可能很微小以致於不容易發覺，故研究案呈現出來的結果很難應用到產業上。</w:t>
            </w: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01327A">
            <w:pPr>
              <w:pStyle w:val="ab"/>
              <w:widowControl/>
              <w:numPr>
                <w:ilvl w:val="0"/>
                <w:numId w:val="142"/>
              </w:numPr>
              <w:snapToGrid w:val="0"/>
              <w:spacing w:beforeLines="50" w:before="180" w:afterLines="50" w:after="180"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政府研究案一般只能看到宏觀的層面，惟缺乏對個別國家政策的分析，以印尼為例，農產品進口政策相當保守，或可增補個別國家總體政策的可能限制供參。</w:t>
            </w:r>
          </w:p>
          <w:p w:rsidR="00F15EB2" w:rsidRPr="00C77E77" w:rsidRDefault="00F15EB2" w:rsidP="004A552C">
            <w:pPr>
              <w:pStyle w:val="ab"/>
              <w:snapToGrid w:val="0"/>
              <w:spacing w:beforeLines="50" w:before="180" w:afterLines="50" w:after="180" w:line="0" w:lineRule="atLeast"/>
              <w:ind w:leftChars="0" w:left="390"/>
              <w:jc w:val="both"/>
              <w:rPr>
                <w:rFonts w:ascii="Times New Roman" w:eastAsia="標楷體" w:hAnsi="Times New Roman" w:cs="Times New Roman"/>
                <w:color w:val="000000" w:themeColor="text1"/>
                <w:szCs w:val="24"/>
              </w:rPr>
            </w:pPr>
          </w:p>
        </w:tc>
        <w:tc>
          <w:tcPr>
            <w:tcW w:w="1777" w:type="pct"/>
            <w:gridSpan w:val="2"/>
          </w:tcPr>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感謝委員意見。</w:t>
            </w:r>
          </w:p>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誠如委員所言，東南亞國家和印度的農業發展條件差異甚大，因此本研究係以國家宏觀的戰略角度探討各國與我農業交流合作之可行性，並於</w:t>
            </w:r>
            <w:r w:rsidRPr="00C77E77">
              <w:rPr>
                <w:rFonts w:ascii="Times New Roman" w:eastAsia="標楷體" w:hAnsi="Times New Roman" w:cs="Times New Roman"/>
                <w:color w:val="000000" w:themeColor="text1"/>
                <w:szCs w:val="24"/>
              </w:rPr>
              <w:t>p.166</w:t>
            </w:r>
            <w:r w:rsidRPr="00C77E77">
              <w:rPr>
                <w:rFonts w:ascii="Times New Roman" w:eastAsia="標楷體" w:hAnsi="Times New Roman" w:cs="Times New Roman"/>
                <w:color w:val="000000" w:themeColor="text1"/>
                <w:szCs w:val="24"/>
              </w:rPr>
              <w:t>表</w:t>
            </w:r>
            <w:r w:rsidRPr="00C77E77">
              <w:rPr>
                <w:rFonts w:ascii="Times New Roman" w:eastAsia="標楷體" w:hAnsi="Times New Roman" w:cs="Times New Roman"/>
                <w:color w:val="000000" w:themeColor="text1"/>
                <w:szCs w:val="24"/>
              </w:rPr>
              <w:t>4-4-4</w:t>
            </w:r>
            <w:r w:rsidRPr="00C77E77">
              <w:rPr>
                <w:rFonts w:ascii="Times New Roman" w:eastAsia="標楷體" w:hAnsi="Times New Roman" w:cs="Times New Roman"/>
                <w:color w:val="000000" w:themeColor="text1"/>
                <w:szCs w:val="24"/>
              </w:rPr>
              <w:t>「臺灣在東協國家農業之投資機會」，針對不同國家提出我國「利基」機會，據以提出我國推動農業新南向所面臨的</w:t>
            </w:r>
            <w:r w:rsidRPr="00C77E77">
              <w:rPr>
                <w:rFonts w:ascii="Times New Roman" w:eastAsia="標楷體" w:hAnsi="Times New Roman" w:cs="Times New Roman"/>
                <w:color w:val="000000" w:themeColor="text1"/>
                <w:szCs w:val="24"/>
              </w:rPr>
              <w:t>SWOT</w:t>
            </w:r>
            <w:r w:rsidRPr="00C77E77">
              <w:rPr>
                <w:rFonts w:ascii="Times New Roman" w:eastAsia="標楷體" w:hAnsi="Times New Roman" w:cs="Times New Roman"/>
                <w:color w:val="000000" w:themeColor="text1"/>
                <w:szCs w:val="24"/>
              </w:rPr>
              <w:t>分析。同時，於</w:t>
            </w:r>
            <w:r w:rsidRPr="00C77E77">
              <w:rPr>
                <w:rFonts w:ascii="Times New Roman" w:eastAsia="標楷體" w:hAnsi="Times New Roman" w:cs="Times New Roman"/>
                <w:color w:val="000000" w:themeColor="text1"/>
                <w:szCs w:val="24"/>
              </w:rPr>
              <w:t>p.167</w:t>
            </w:r>
            <w:r w:rsidRPr="00C77E77">
              <w:rPr>
                <w:rFonts w:ascii="Times New Roman" w:eastAsia="標楷體" w:hAnsi="Times New Roman" w:cs="Times New Roman"/>
                <w:color w:val="000000" w:themeColor="text1"/>
                <w:szCs w:val="24"/>
              </w:rPr>
              <w:t>新增「透過委託研究單位針對潛力產業深入研究，提出產業發展策略，以俾利未來將結果落實應用於產業層面」之論述。</w:t>
            </w:r>
          </w:p>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bCs/>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已遵照意見增加表</w:t>
            </w:r>
            <w:r w:rsidRPr="00C77E77">
              <w:rPr>
                <w:rFonts w:ascii="Times New Roman" w:eastAsia="標楷體" w:hAnsi="Times New Roman" w:cs="Times New Roman"/>
                <w:color w:val="000000" w:themeColor="text1"/>
                <w:szCs w:val="24"/>
              </w:rPr>
              <w:t>4-4-5</w:t>
            </w:r>
            <w:r w:rsidRPr="00C77E77">
              <w:rPr>
                <w:rFonts w:ascii="Times New Roman" w:eastAsia="標楷體" w:hAnsi="Times New Roman" w:cs="Times New Roman"/>
                <w:color w:val="000000" w:themeColor="text1"/>
                <w:szCs w:val="24"/>
              </w:rPr>
              <w:t>「東南亞國家對台農業貿易障礙調查表」，彙整各國有關農業貿易政策之限制調查規範，並說明造成臺灣農產品輸出之貿易障礙情況。詳見</w:t>
            </w:r>
            <w:r w:rsidRPr="00C77E77">
              <w:rPr>
                <w:rFonts w:ascii="Times New Roman" w:eastAsia="標楷體" w:hAnsi="Times New Roman" w:cs="Times New Roman"/>
                <w:color w:val="000000" w:themeColor="text1"/>
                <w:szCs w:val="24"/>
              </w:rPr>
              <w:t>p.168-169</w:t>
            </w:r>
            <w:r w:rsidRPr="00C77E77">
              <w:rPr>
                <w:rFonts w:ascii="Times New Roman" w:eastAsia="標楷體" w:hAnsi="Times New Roman" w:cs="Times New Roman"/>
                <w:color w:val="000000" w:themeColor="text1"/>
                <w:szCs w:val="24"/>
              </w:rPr>
              <w:t>。</w:t>
            </w:r>
          </w:p>
        </w:tc>
      </w:tr>
      <w:tr w:rsidR="00F15EB2" w:rsidRPr="00C77E77" w:rsidTr="004A552C">
        <w:trPr>
          <w:trHeight w:val="672"/>
        </w:trPr>
        <w:tc>
          <w:tcPr>
            <w:tcW w:w="5000" w:type="pct"/>
            <w:gridSpan w:val="4"/>
            <w:shd w:val="clear" w:color="auto" w:fill="auto"/>
            <w:vAlign w:val="center"/>
          </w:tcPr>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經濟部工業局</w:t>
            </w:r>
          </w:p>
        </w:tc>
      </w:tr>
      <w:tr w:rsidR="00F15EB2" w:rsidRPr="00C77E77" w:rsidTr="004A552C">
        <w:trPr>
          <w:trHeight w:val="567"/>
        </w:trPr>
        <w:tc>
          <w:tcPr>
            <w:tcW w:w="3223" w:type="pct"/>
            <w:gridSpan w:val="2"/>
            <w:vAlign w:val="center"/>
          </w:tcPr>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工業局局定義新南向政策為「供應鏈的夥伴關係」，有別於著重本土產業發展的傳統思維，東協與南亞既是生產基地也是市場，將以了解各國需求做為出發點，以期建構一個跨國的經濟生態系。</w:t>
            </w:r>
          </w:p>
          <w:p w:rsidR="00F15EB2" w:rsidRPr="00C77E77" w:rsidRDefault="00F15EB2" w:rsidP="004A552C">
            <w:pPr>
              <w:pStyle w:val="a3"/>
              <w:snapToGrid w:val="0"/>
              <w:spacing w:before="50" w:after="50" w:line="0" w:lineRule="atLeast"/>
              <w:jc w:val="both"/>
              <w:rPr>
                <w:b w:val="0"/>
                <w:color w:val="000000" w:themeColor="text1"/>
                <w:sz w:val="24"/>
              </w:rPr>
            </w:pPr>
            <w:r w:rsidRPr="00C77E77">
              <w:rPr>
                <w:b w:val="0"/>
                <w:color w:val="000000" w:themeColor="text1"/>
                <w:sz w:val="24"/>
              </w:rPr>
              <w:t>(</w:t>
            </w:r>
            <w:r w:rsidRPr="00C77E77">
              <w:rPr>
                <w:b w:val="0"/>
                <w:color w:val="000000" w:themeColor="text1"/>
                <w:sz w:val="24"/>
              </w:rPr>
              <w:t>二</w:t>
            </w:r>
            <w:r w:rsidRPr="00C77E77">
              <w:rPr>
                <w:b w:val="0"/>
                <w:color w:val="000000" w:themeColor="text1"/>
                <w:sz w:val="24"/>
              </w:rPr>
              <w:t>)</w:t>
            </w:r>
            <w:r w:rsidRPr="00C77E77">
              <w:rPr>
                <w:b w:val="0"/>
                <w:color w:val="000000" w:themeColor="text1"/>
                <w:sz w:val="24"/>
              </w:rPr>
              <w:t>工業局將以現有各類之「推動辦公室」，結合工研院、資策會等兩大技術法人，藉以推動國際合作，再以產業公協會的名義進入目標巿場國家的官方管道，透過論壇的方式深化雙方產業合作關係，期能建立人脈。</w:t>
            </w:r>
          </w:p>
        </w:tc>
        <w:tc>
          <w:tcPr>
            <w:tcW w:w="1777" w:type="pct"/>
            <w:gridSpan w:val="2"/>
          </w:tcPr>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感謝委員意見。</w:t>
            </w:r>
          </w:p>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已補充工業局定義至</w:t>
            </w:r>
            <w:r w:rsidRPr="00C77E77">
              <w:rPr>
                <w:rFonts w:ascii="Times New Roman" w:eastAsia="標楷體" w:hAnsi="Times New Roman" w:cs="Times New Roman"/>
                <w:color w:val="000000" w:themeColor="text1"/>
                <w:szCs w:val="24"/>
              </w:rPr>
              <w:t>p.6-7</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已補充工業局作法至</w:t>
            </w:r>
            <w:r w:rsidRPr="00C77E77">
              <w:rPr>
                <w:rFonts w:ascii="Times New Roman" w:eastAsia="標楷體" w:hAnsi="Times New Roman" w:cs="Times New Roman"/>
                <w:color w:val="000000" w:themeColor="text1"/>
                <w:szCs w:val="24"/>
              </w:rPr>
              <w:t>p.7</w:t>
            </w:r>
            <w:r w:rsidRPr="00C77E77">
              <w:rPr>
                <w:rFonts w:ascii="Times New Roman" w:eastAsia="標楷體" w:hAnsi="Times New Roman" w:cs="Times New Roman"/>
                <w:color w:val="000000" w:themeColor="text1"/>
                <w:szCs w:val="24"/>
              </w:rPr>
              <w:t>。</w:t>
            </w:r>
          </w:p>
        </w:tc>
      </w:tr>
      <w:tr w:rsidR="00F15EB2" w:rsidRPr="00C77E77" w:rsidTr="004A552C">
        <w:trPr>
          <w:trHeight w:val="672"/>
        </w:trPr>
        <w:tc>
          <w:tcPr>
            <w:tcW w:w="5000" w:type="pct"/>
            <w:gridSpan w:val="4"/>
            <w:shd w:val="clear" w:color="auto" w:fill="auto"/>
            <w:vAlign w:val="center"/>
          </w:tcPr>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經濟部商業司</w:t>
            </w:r>
          </w:p>
        </w:tc>
      </w:tr>
      <w:tr w:rsidR="00F15EB2" w:rsidRPr="00C77E77" w:rsidTr="004A552C">
        <w:trPr>
          <w:trHeight w:val="567"/>
        </w:trPr>
        <w:tc>
          <w:tcPr>
            <w:tcW w:w="3223" w:type="pct"/>
            <w:gridSpan w:val="2"/>
            <w:vAlign w:val="center"/>
          </w:tcPr>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建議比對產業別與國家別，藉以篩選不同國家可以推動的利基與切入點。</w:t>
            </w: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以商業司主管的物流與電子商務而言，根據各國經濟發展成熟度不同，而有不一樣的市場切入點，建議在報告中補充各個產業在不同國家的進入模式。</w:t>
            </w: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p>
          <w:p w:rsidR="00F15EB2" w:rsidRPr="00C77E77" w:rsidRDefault="00F15EB2" w:rsidP="004A552C">
            <w:pPr>
              <w:snapToGrid w:val="0"/>
              <w:spacing w:beforeLines="50" w:before="180" w:afterLines="50" w:after="180"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三</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簡報</w:t>
            </w:r>
            <w:r w:rsidRPr="00C77E77">
              <w:rPr>
                <w:rFonts w:ascii="Times New Roman" w:eastAsia="標楷體" w:hAnsi="Times New Roman" w:cs="Times New Roman"/>
                <w:color w:val="000000" w:themeColor="text1"/>
                <w:szCs w:val="24"/>
              </w:rPr>
              <w:t>P.13</w:t>
            </w:r>
            <w:r w:rsidRPr="00C77E77">
              <w:rPr>
                <w:rFonts w:ascii="Times New Roman" w:eastAsia="標楷體" w:hAnsi="Times New Roman" w:cs="Times New Roman"/>
                <w:color w:val="000000" w:themeColor="text1"/>
                <w:szCs w:val="24"/>
              </w:rPr>
              <w:t>至</w:t>
            </w:r>
            <w:r w:rsidRPr="00C77E77">
              <w:rPr>
                <w:rFonts w:ascii="Times New Roman" w:eastAsia="標楷體" w:hAnsi="Times New Roman" w:cs="Times New Roman"/>
                <w:color w:val="000000" w:themeColor="text1"/>
                <w:szCs w:val="24"/>
              </w:rPr>
              <w:t>P.15</w:t>
            </w:r>
            <w:r w:rsidRPr="00C77E77">
              <w:rPr>
                <w:rFonts w:ascii="Times New Roman" w:eastAsia="標楷體" w:hAnsi="Times New Roman" w:cs="Times New Roman"/>
                <w:color w:val="000000" w:themeColor="text1"/>
                <w:szCs w:val="24"/>
              </w:rPr>
              <w:t>各產業短中長期策略建議，各短中長期策略之間看不出是相互扣合或相互獨立，某些中期策略可以提前至短期開始進行，某些做法不限於特定產業。</w:t>
            </w:r>
          </w:p>
          <w:p w:rsidR="00F15EB2" w:rsidRPr="00C77E77" w:rsidRDefault="00F15EB2" w:rsidP="004A552C">
            <w:pPr>
              <w:pStyle w:val="a3"/>
              <w:snapToGrid w:val="0"/>
              <w:spacing w:before="50" w:after="50" w:line="0" w:lineRule="atLeast"/>
              <w:jc w:val="both"/>
              <w:rPr>
                <w:b w:val="0"/>
                <w:color w:val="000000" w:themeColor="text1"/>
                <w:sz w:val="24"/>
              </w:rPr>
            </w:pPr>
            <w:r w:rsidRPr="00C77E77">
              <w:rPr>
                <w:b w:val="0"/>
                <w:color w:val="000000" w:themeColor="text1"/>
                <w:sz w:val="24"/>
              </w:rPr>
              <w:t>(</w:t>
            </w:r>
            <w:r w:rsidRPr="00C77E77">
              <w:rPr>
                <w:b w:val="0"/>
                <w:color w:val="000000" w:themeColor="text1"/>
                <w:sz w:val="24"/>
              </w:rPr>
              <w:t>四</w:t>
            </w:r>
            <w:r w:rsidRPr="00C77E77">
              <w:rPr>
                <w:b w:val="0"/>
                <w:color w:val="000000" w:themeColor="text1"/>
                <w:sz w:val="24"/>
              </w:rPr>
              <w:t>)</w:t>
            </w:r>
            <w:r w:rsidRPr="00C77E77">
              <w:rPr>
                <w:b w:val="0"/>
                <w:color w:val="000000" w:themeColor="text1"/>
                <w:sz w:val="24"/>
              </w:rPr>
              <w:t>簡報</w:t>
            </w:r>
            <w:r w:rsidRPr="00C77E77">
              <w:rPr>
                <w:b w:val="0"/>
                <w:color w:val="000000" w:themeColor="text1"/>
                <w:sz w:val="24"/>
              </w:rPr>
              <w:t>P.16</w:t>
            </w:r>
            <w:r w:rsidRPr="00C77E77">
              <w:rPr>
                <w:b w:val="0"/>
                <w:color w:val="000000" w:themeColor="text1"/>
                <w:sz w:val="24"/>
              </w:rPr>
              <w:t>歸納出新南向政策之四點建議，其中人才培育方面，電子商務產業需要的是行銷人才而非技職專才，或可針對不同產業提出不同的建議。</w:t>
            </w:r>
          </w:p>
          <w:p w:rsidR="00F15EB2" w:rsidRPr="00C77E77" w:rsidRDefault="00F15EB2" w:rsidP="004A552C">
            <w:pPr>
              <w:pStyle w:val="a3"/>
              <w:snapToGrid w:val="0"/>
              <w:spacing w:before="50" w:after="50" w:line="0" w:lineRule="atLeast"/>
              <w:jc w:val="both"/>
              <w:rPr>
                <w:color w:val="000000" w:themeColor="text1"/>
                <w:sz w:val="24"/>
              </w:rPr>
            </w:pPr>
          </w:p>
          <w:p w:rsidR="00F15EB2" w:rsidRPr="00C77E77" w:rsidRDefault="00F15EB2" w:rsidP="004A552C">
            <w:pPr>
              <w:pStyle w:val="a3"/>
              <w:snapToGrid w:val="0"/>
              <w:spacing w:before="50" w:after="50" w:line="0" w:lineRule="atLeast"/>
              <w:jc w:val="both"/>
              <w:rPr>
                <w:color w:val="000000" w:themeColor="text1"/>
                <w:sz w:val="24"/>
              </w:rPr>
            </w:pPr>
          </w:p>
        </w:tc>
        <w:tc>
          <w:tcPr>
            <w:tcW w:w="1777" w:type="pct"/>
            <w:gridSpan w:val="2"/>
          </w:tcPr>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感謝委員意見。</w:t>
            </w:r>
          </w:p>
          <w:p w:rsidR="00F15EB2" w:rsidRPr="00C77E77" w:rsidRDefault="00F15EB2" w:rsidP="004A552C">
            <w:pPr>
              <w:pStyle w:val="ab"/>
              <w:adjustRightInd w:val="0"/>
              <w:snapToGrid w:val="0"/>
              <w:spacing w:line="0" w:lineRule="atLeast"/>
              <w:ind w:leftChars="0" w:left="110"/>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已針對「</w:t>
            </w:r>
            <w:r w:rsidRPr="00C77E77">
              <w:rPr>
                <w:rFonts w:ascii="Times New Roman" w:eastAsia="標楷體" w:hAnsi="Times New Roman" w:cs="Times New Roman"/>
                <w:color w:val="000000" w:themeColor="text1"/>
                <w:szCs w:val="24"/>
              </w:rPr>
              <w:t>10+2</w:t>
            </w:r>
            <w:r w:rsidRPr="00C77E77">
              <w:rPr>
                <w:rFonts w:ascii="Times New Roman" w:eastAsia="標楷體" w:hAnsi="Times New Roman" w:cs="Times New Roman"/>
                <w:color w:val="000000" w:themeColor="text1"/>
                <w:szCs w:val="24"/>
              </w:rPr>
              <w:t>」個別產業在不同國家可以推動的切入點，強化說明短中長期推動建</w:t>
            </w:r>
            <w:r w:rsidRPr="00C77E77">
              <w:rPr>
                <w:rFonts w:ascii="Times New Roman" w:eastAsia="標楷體" w:hAnsi="Times New Roman" w:cs="Times New Roman"/>
                <w:color w:val="000000" w:themeColor="text1"/>
                <w:szCs w:val="24"/>
              </w:rPr>
              <w:lastRenderedPageBreak/>
              <w:t>議。詳見下列位置：</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b/>
                <w:color w:val="000000" w:themeColor="text1"/>
                <w:szCs w:val="24"/>
              </w:rPr>
            </w:pPr>
            <w:r w:rsidRPr="00C77E77">
              <w:rPr>
                <w:rFonts w:ascii="Times New Roman" w:eastAsia="標楷體" w:hAnsi="Times New Roman" w:cs="Times New Roman"/>
                <w:b/>
                <w:color w:val="000000" w:themeColor="text1"/>
                <w:szCs w:val="24"/>
              </w:rPr>
              <w:t>電子收費</w:t>
            </w:r>
            <w:r w:rsidRPr="00C77E77">
              <w:rPr>
                <w:rFonts w:ascii="Times New Roman" w:eastAsia="標楷體" w:hAnsi="Times New Roman" w:cs="Times New Roman"/>
                <w:color w:val="000000" w:themeColor="text1"/>
                <w:szCs w:val="24"/>
              </w:rPr>
              <w:t>p. 182-183</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b/>
                <w:color w:val="000000" w:themeColor="text1"/>
                <w:szCs w:val="24"/>
              </w:rPr>
            </w:pPr>
            <w:r w:rsidRPr="00C77E77">
              <w:rPr>
                <w:rFonts w:ascii="Times New Roman" w:eastAsia="標楷體" w:hAnsi="Times New Roman" w:cs="Times New Roman"/>
                <w:b/>
                <w:color w:val="000000" w:themeColor="text1"/>
                <w:szCs w:val="24"/>
              </w:rPr>
              <w:t>電子化政府</w:t>
            </w:r>
            <w:r w:rsidRPr="00C77E77">
              <w:rPr>
                <w:rFonts w:ascii="Times New Roman" w:eastAsia="標楷體" w:hAnsi="Times New Roman" w:cs="Times New Roman"/>
                <w:color w:val="000000" w:themeColor="text1"/>
                <w:szCs w:val="24"/>
              </w:rPr>
              <w:t xml:space="preserve"> p.184</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b/>
                <w:color w:val="000000" w:themeColor="text1"/>
                <w:szCs w:val="24"/>
              </w:rPr>
            </w:pPr>
            <w:r w:rsidRPr="00C77E77">
              <w:rPr>
                <w:rFonts w:ascii="Times New Roman" w:eastAsia="標楷體" w:hAnsi="Times New Roman" w:cs="Times New Roman"/>
                <w:b/>
                <w:color w:val="000000" w:themeColor="text1"/>
                <w:szCs w:val="24"/>
              </w:rPr>
              <w:t>智慧校園</w:t>
            </w:r>
            <w:r w:rsidRPr="00C77E77">
              <w:rPr>
                <w:rFonts w:ascii="Times New Roman" w:eastAsia="標楷體" w:hAnsi="Times New Roman" w:cs="Times New Roman"/>
                <w:color w:val="000000" w:themeColor="text1"/>
                <w:szCs w:val="24"/>
              </w:rPr>
              <w:t>p.185-186</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電子商務</w:t>
            </w:r>
            <w:r w:rsidRPr="00C77E77">
              <w:rPr>
                <w:rFonts w:ascii="Times New Roman" w:eastAsia="標楷體" w:hAnsi="Times New Roman" w:cs="Times New Roman"/>
                <w:color w:val="000000" w:themeColor="text1"/>
                <w:szCs w:val="24"/>
              </w:rPr>
              <w:t>p.188-190</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智慧物流</w:t>
            </w:r>
            <w:r w:rsidRPr="00C77E77">
              <w:rPr>
                <w:rFonts w:ascii="Times New Roman" w:eastAsia="標楷體" w:hAnsi="Times New Roman" w:cs="Times New Roman"/>
                <w:color w:val="000000" w:themeColor="text1"/>
                <w:szCs w:val="24"/>
              </w:rPr>
              <w:t>p.191-194</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雲端系統</w:t>
            </w:r>
            <w:r w:rsidRPr="00C77E77">
              <w:rPr>
                <w:rFonts w:ascii="Times New Roman" w:eastAsia="標楷體" w:hAnsi="Times New Roman" w:cs="Times New Roman"/>
                <w:color w:val="000000" w:themeColor="text1"/>
                <w:szCs w:val="24"/>
              </w:rPr>
              <w:t>p.196-197</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太陽能產業</w:t>
            </w:r>
            <w:r w:rsidRPr="00C77E77">
              <w:rPr>
                <w:rFonts w:ascii="Times New Roman" w:eastAsia="標楷體" w:hAnsi="Times New Roman" w:cs="Times New Roman"/>
                <w:color w:val="000000" w:themeColor="text1"/>
                <w:szCs w:val="24"/>
              </w:rPr>
              <w:t>p.197-198</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LED</w:t>
            </w:r>
            <w:r w:rsidRPr="00C77E77">
              <w:rPr>
                <w:rFonts w:ascii="Times New Roman" w:eastAsia="標楷體" w:hAnsi="Times New Roman" w:cs="Times New Roman"/>
                <w:color w:val="000000" w:themeColor="text1"/>
                <w:szCs w:val="24"/>
              </w:rPr>
              <w:t xml:space="preserve"> p.199-200</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綠色運輸</w:t>
            </w:r>
            <w:r w:rsidRPr="00C77E77">
              <w:rPr>
                <w:rFonts w:ascii="Times New Roman" w:eastAsia="標楷體" w:hAnsi="Times New Roman" w:cs="Times New Roman"/>
                <w:color w:val="000000" w:themeColor="text1"/>
                <w:szCs w:val="24"/>
              </w:rPr>
              <w:t>p.201</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石化</w:t>
            </w:r>
            <w:r w:rsidRPr="00C77E77">
              <w:rPr>
                <w:rFonts w:ascii="Times New Roman" w:eastAsia="標楷體" w:hAnsi="Times New Roman" w:cs="Times New Roman"/>
                <w:color w:val="000000" w:themeColor="text1"/>
                <w:szCs w:val="24"/>
              </w:rPr>
              <w:t>p.202-203</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智慧健康</w:t>
            </w:r>
            <w:r w:rsidRPr="00C77E77">
              <w:rPr>
                <w:rFonts w:ascii="Times New Roman" w:eastAsia="標楷體" w:hAnsi="Times New Roman" w:cs="Times New Roman"/>
                <w:color w:val="000000" w:themeColor="text1"/>
                <w:szCs w:val="24"/>
              </w:rPr>
              <w:t>p.204-206</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r w:rsidRPr="00C77E77">
              <w:rPr>
                <w:rFonts w:ascii="Times New Roman" w:eastAsia="標楷體" w:hAnsi="Times New Roman" w:cs="Times New Roman"/>
                <w:b/>
                <w:color w:val="000000" w:themeColor="text1"/>
                <w:szCs w:val="24"/>
              </w:rPr>
              <w:t>新農業</w:t>
            </w:r>
            <w:r w:rsidRPr="00C77E77">
              <w:rPr>
                <w:rFonts w:ascii="Times New Roman" w:eastAsia="標楷體" w:hAnsi="Times New Roman" w:cs="Times New Roman"/>
                <w:color w:val="000000" w:themeColor="text1"/>
                <w:szCs w:val="24"/>
              </w:rPr>
              <w:t>p. 209-212</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ind w:leftChars="105" w:left="252"/>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已補充各個產業在不同國家的進入模式於前述</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所列位置，智慧物流位於</w:t>
            </w:r>
            <w:r w:rsidRPr="00C77E77">
              <w:rPr>
                <w:rFonts w:ascii="Times New Roman" w:eastAsia="標楷體" w:hAnsi="Times New Roman" w:cs="Times New Roman"/>
                <w:color w:val="000000" w:themeColor="text1"/>
                <w:szCs w:val="24"/>
              </w:rPr>
              <w:t>p.191-194</w:t>
            </w:r>
            <w:r w:rsidRPr="00C77E77">
              <w:rPr>
                <w:rFonts w:ascii="Times New Roman" w:eastAsia="標楷體" w:hAnsi="Times New Roman" w:cs="Times New Roman"/>
                <w:color w:val="000000" w:themeColor="text1"/>
                <w:szCs w:val="24"/>
              </w:rPr>
              <w:t>；電子商務位於</w:t>
            </w:r>
            <w:r w:rsidRPr="00C77E77">
              <w:rPr>
                <w:rFonts w:ascii="Times New Roman" w:eastAsia="標楷體" w:hAnsi="Times New Roman" w:cs="Times New Roman"/>
                <w:color w:val="000000" w:themeColor="text1"/>
                <w:szCs w:val="24"/>
              </w:rPr>
              <w:t>p.188-190</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三</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已增修說明各個產業在不同國家的短中長期進入模式於前述</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所列位置，</w:t>
            </w:r>
          </w:p>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四</w:t>
            </w:r>
            <w:r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已遵照意見增修至</w:t>
            </w:r>
            <w:r w:rsidRPr="00C77E77">
              <w:rPr>
                <w:rFonts w:ascii="Times New Roman" w:eastAsia="標楷體" w:hAnsi="Times New Roman" w:cs="Times New Roman"/>
                <w:color w:val="000000" w:themeColor="text1"/>
                <w:szCs w:val="24"/>
              </w:rPr>
              <w:t>p.188</w:t>
            </w:r>
            <w:r w:rsidRPr="00C77E77">
              <w:rPr>
                <w:rFonts w:ascii="Times New Roman" w:eastAsia="標楷體" w:hAnsi="Times New Roman" w:cs="Times New Roman"/>
                <w:color w:val="000000" w:themeColor="text1"/>
                <w:szCs w:val="24"/>
              </w:rPr>
              <w:t>。</w:t>
            </w:r>
          </w:p>
        </w:tc>
      </w:tr>
      <w:tr w:rsidR="00F15EB2" w:rsidRPr="00C77E77" w:rsidTr="004A552C">
        <w:trPr>
          <w:trHeight w:val="672"/>
        </w:trPr>
        <w:tc>
          <w:tcPr>
            <w:tcW w:w="5000" w:type="pct"/>
            <w:gridSpan w:val="4"/>
            <w:shd w:val="clear" w:color="auto" w:fill="auto"/>
            <w:vAlign w:val="center"/>
          </w:tcPr>
          <w:p w:rsidR="00F15EB2" w:rsidRPr="00C77E77" w:rsidRDefault="00F15EB2" w:rsidP="004A552C">
            <w:pPr>
              <w:adjustRightInd w:val="0"/>
              <w:snapToGrid w:val="0"/>
              <w:spacing w:beforeLines="50" w:before="180" w:afterLines="50" w:after="180" w:line="0" w:lineRule="atLeast"/>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國發會經濟發展處</w:t>
            </w:r>
          </w:p>
        </w:tc>
      </w:tr>
      <w:tr w:rsidR="00F15EB2" w:rsidRPr="00C77E77" w:rsidTr="004A552C">
        <w:trPr>
          <w:trHeight w:val="567"/>
        </w:trPr>
        <w:tc>
          <w:tcPr>
            <w:tcW w:w="3223" w:type="pct"/>
            <w:gridSpan w:val="2"/>
            <w:vAlign w:val="center"/>
          </w:tcPr>
          <w:p w:rsidR="00F15EB2" w:rsidRPr="00C77E77" w:rsidRDefault="00F15EB2" w:rsidP="00C63068">
            <w:pPr>
              <w:tabs>
                <w:tab w:val="left" w:pos="993"/>
              </w:tabs>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會議結論</w:t>
            </w:r>
          </w:p>
          <w:p w:rsidR="00F15EB2" w:rsidRPr="00C77E77" w:rsidRDefault="00F15EB2" w:rsidP="0001327A">
            <w:pPr>
              <w:pStyle w:val="ab"/>
              <w:numPr>
                <w:ilvl w:val="0"/>
                <w:numId w:val="144"/>
              </w:numPr>
              <w:tabs>
                <w:tab w:val="left" w:pos="1134"/>
              </w:tabs>
              <w:spacing w:line="0" w:lineRule="atLeast"/>
              <w:ind w:leftChars="0" w:left="1134"/>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期末報告內容大致符合計畫需求，本案原則通過。</w:t>
            </w:r>
          </w:p>
          <w:p w:rsidR="00F15EB2" w:rsidRPr="00C77E77" w:rsidRDefault="00F15EB2" w:rsidP="0001327A">
            <w:pPr>
              <w:pStyle w:val="ab"/>
              <w:numPr>
                <w:ilvl w:val="0"/>
                <w:numId w:val="144"/>
              </w:numPr>
              <w:tabs>
                <w:tab w:val="left" w:pos="1134"/>
              </w:tabs>
              <w:spacing w:line="0" w:lineRule="atLeast"/>
              <w:ind w:leftChars="0" w:left="1134"/>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請研究團隊參酌出席人員意見增修報告內容，並依本會結案報告格式</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如須有中、英文摘要等</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，於</w:t>
            </w:r>
            <w:r w:rsidRPr="00C77E77">
              <w:rPr>
                <w:rFonts w:ascii="Times New Roman" w:eastAsia="標楷體" w:hAnsi="Times New Roman" w:cs="Times New Roman"/>
                <w:color w:val="000000" w:themeColor="text1"/>
                <w:szCs w:val="24"/>
              </w:rPr>
              <w:t>105</w:t>
            </w:r>
            <w:r w:rsidRPr="00C77E77">
              <w:rPr>
                <w:rFonts w:ascii="Times New Roman" w:eastAsia="標楷體" w:hAnsi="Times New Roman" w:cs="Times New Roman"/>
                <w:color w:val="000000" w:themeColor="text1"/>
                <w:szCs w:val="24"/>
              </w:rPr>
              <w:t>年</w:t>
            </w:r>
            <w:r w:rsidRPr="00C77E77">
              <w:rPr>
                <w:rFonts w:ascii="Times New Roman" w:eastAsia="標楷體" w:hAnsi="Times New Roman" w:cs="Times New Roman"/>
                <w:color w:val="000000" w:themeColor="text1"/>
                <w:szCs w:val="24"/>
              </w:rPr>
              <w:t>12</w:t>
            </w:r>
            <w:r w:rsidRPr="00C77E77">
              <w:rPr>
                <w:rFonts w:ascii="Times New Roman" w:eastAsia="標楷體" w:hAnsi="Times New Roman" w:cs="Times New Roman"/>
                <w:color w:val="000000" w:themeColor="text1"/>
                <w:szCs w:val="24"/>
              </w:rPr>
              <w:t>月</w:t>
            </w:r>
            <w:r w:rsidRPr="00C77E77">
              <w:rPr>
                <w:rFonts w:ascii="Times New Roman" w:eastAsia="標楷體" w:hAnsi="Times New Roman" w:cs="Times New Roman"/>
                <w:color w:val="000000" w:themeColor="text1"/>
                <w:szCs w:val="24"/>
              </w:rPr>
              <w:t>26</w:t>
            </w:r>
            <w:r w:rsidRPr="00C77E77">
              <w:rPr>
                <w:rFonts w:ascii="Times New Roman" w:eastAsia="標楷體" w:hAnsi="Times New Roman" w:cs="Times New Roman"/>
                <w:color w:val="000000" w:themeColor="text1"/>
                <w:szCs w:val="24"/>
              </w:rPr>
              <w:t>日前將修正之完整報告提供本會，俾辦理後續結案事宜。</w:t>
            </w:r>
          </w:p>
        </w:tc>
        <w:tc>
          <w:tcPr>
            <w:tcW w:w="1777" w:type="pct"/>
            <w:gridSpan w:val="2"/>
          </w:tcPr>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感謝委員意見。</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p>
          <w:p w:rsidR="00F15EB2" w:rsidRPr="00C77E77" w:rsidRDefault="00F15EB2" w:rsidP="0001327A">
            <w:pPr>
              <w:pStyle w:val="ab"/>
              <w:numPr>
                <w:ilvl w:val="0"/>
                <w:numId w:val="145"/>
              </w:numPr>
              <w:adjustRightInd w:val="0"/>
              <w:snapToGrid w:val="0"/>
              <w:spacing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已辦理。</w:t>
            </w:r>
          </w:p>
          <w:p w:rsidR="00F15EB2" w:rsidRPr="00C77E77" w:rsidRDefault="00F15EB2" w:rsidP="0001327A">
            <w:pPr>
              <w:pStyle w:val="ab"/>
              <w:numPr>
                <w:ilvl w:val="0"/>
                <w:numId w:val="145"/>
              </w:numPr>
              <w:adjustRightInd w:val="0"/>
              <w:snapToGrid w:val="0"/>
              <w:spacing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已辦理。</w:t>
            </w:r>
          </w:p>
        </w:tc>
      </w:tr>
      <w:tr w:rsidR="00F15EB2" w:rsidRPr="00C77E77" w:rsidTr="004A552C">
        <w:trPr>
          <w:trHeight w:val="567"/>
        </w:trPr>
        <w:tc>
          <w:tcPr>
            <w:tcW w:w="3223" w:type="pct"/>
            <w:gridSpan w:val="2"/>
            <w:vAlign w:val="center"/>
          </w:tcPr>
          <w:p w:rsidR="00F15EB2" w:rsidRPr="00C77E77" w:rsidRDefault="00F15EB2" w:rsidP="004A552C">
            <w:pPr>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綜合意見</w:t>
            </w:r>
          </w:p>
          <w:p w:rsidR="00F15EB2" w:rsidRPr="00C77E77" w:rsidRDefault="00F15EB2" w:rsidP="005F0C18">
            <w:pPr>
              <w:snapToGrid w:val="0"/>
              <w:spacing w:line="0" w:lineRule="atLeast"/>
              <w:ind w:leftChars="296" w:left="991" w:hangingChars="117" w:hanging="281"/>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w:t>
            </w:r>
            <w:r w:rsidR="005F0C18" w:rsidRPr="00C77E77">
              <w:rPr>
                <w:rFonts w:ascii="Times New Roman" w:eastAsia="標楷體" w:hAnsi="Times New Roman" w:cs="Times New Roman"/>
                <w:color w:val="000000" w:themeColor="text1"/>
                <w:szCs w:val="24"/>
              </w:rPr>
              <w:t xml:space="preserve"> </w:t>
            </w:r>
            <w:r w:rsidRPr="00C77E77">
              <w:rPr>
                <w:rFonts w:ascii="Times New Roman" w:eastAsia="標楷體" w:hAnsi="Times New Roman" w:cs="Times New Roman"/>
                <w:color w:val="000000" w:themeColor="text1"/>
                <w:szCs w:val="24"/>
              </w:rPr>
              <w:t>有關「新南向政策」之推動緣起，主要係著眼於東協及南亞人口紅利與經濟成長動能，同時希望借助於新住民與外籍移工搭建的文化鏈結，透過資源共享建立基礎友誼，再從經貿往來、人才</w:t>
            </w:r>
            <w:r w:rsidRPr="00C77E77">
              <w:rPr>
                <w:rFonts w:ascii="Times New Roman" w:eastAsia="標楷體" w:hAnsi="Times New Roman" w:cs="Times New Roman"/>
                <w:color w:val="000000" w:themeColor="text1"/>
                <w:szCs w:val="24"/>
              </w:rPr>
              <w:lastRenderedPageBreak/>
              <w:t>培育加強合作，建議在本研究可以增補說明。</w:t>
            </w:r>
          </w:p>
          <w:p w:rsidR="00F15EB2" w:rsidRPr="00C77E77" w:rsidRDefault="00F15EB2" w:rsidP="005F0C18">
            <w:pPr>
              <w:pStyle w:val="a3"/>
              <w:snapToGrid w:val="0"/>
              <w:spacing w:line="0" w:lineRule="atLeast"/>
              <w:ind w:leftChars="296" w:left="991" w:hangingChars="117" w:hanging="281"/>
              <w:jc w:val="both"/>
              <w:rPr>
                <w:b w:val="0"/>
                <w:color w:val="000000" w:themeColor="text1"/>
                <w:sz w:val="24"/>
              </w:rPr>
            </w:pPr>
            <w:r w:rsidRPr="00C77E77">
              <w:rPr>
                <w:b w:val="0"/>
                <w:color w:val="000000" w:themeColor="text1"/>
                <w:sz w:val="24"/>
              </w:rPr>
              <w:t>2.</w:t>
            </w:r>
            <w:r w:rsidR="005F0C18" w:rsidRPr="00C77E77">
              <w:rPr>
                <w:b w:val="0"/>
                <w:color w:val="000000" w:themeColor="text1"/>
                <w:sz w:val="24"/>
              </w:rPr>
              <w:t xml:space="preserve"> </w:t>
            </w:r>
            <w:r w:rsidRPr="00C77E77">
              <w:rPr>
                <w:b w:val="0"/>
                <w:color w:val="000000" w:themeColor="text1"/>
                <w:sz w:val="24"/>
              </w:rPr>
              <w:t>本研究在回顧政府「</w:t>
            </w:r>
            <w:r w:rsidRPr="00C77E77">
              <w:rPr>
                <w:b w:val="0"/>
                <w:color w:val="000000" w:themeColor="text1"/>
                <w:sz w:val="24"/>
              </w:rPr>
              <w:t>10+2</w:t>
            </w:r>
            <w:r w:rsidRPr="00C77E77">
              <w:rPr>
                <w:b w:val="0"/>
                <w:color w:val="000000" w:themeColor="text1"/>
                <w:sz w:val="24"/>
              </w:rPr>
              <w:t>」產業政策方面，可略為補充今年頒布的各項方案與計畫，如「五加二創新產業計畫」、「推動數位國家創新經濟發展方案」、「綠能科技產業推動方案」與「新農業運動」等。</w:t>
            </w:r>
          </w:p>
        </w:tc>
        <w:tc>
          <w:tcPr>
            <w:tcW w:w="1777" w:type="pct"/>
            <w:gridSpan w:val="2"/>
          </w:tcPr>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w:t>
            </w:r>
            <w:r w:rsidRPr="00C77E77">
              <w:rPr>
                <w:rFonts w:ascii="Times New Roman" w:eastAsia="標楷體" w:hAnsi="Times New Roman" w:cs="Times New Roman"/>
                <w:color w:val="000000" w:themeColor="text1"/>
                <w:szCs w:val="24"/>
              </w:rPr>
              <w:t>二</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w:t>
            </w:r>
            <w:r w:rsidRPr="00C77E77">
              <w:rPr>
                <w:rFonts w:ascii="Times New Roman" w:eastAsia="標楷體" w:hAnsi="Times New Roman" w:cs="Times New Roman"/>
                <w:color w:val="000000" w:themeColor="text1"/>
                <w:szCs w:val="24"/>
              </w:rPr>
              <w:t>已遵照意見增修至</w:t>
            </w:r>
            <w:r w:rsidRPr="00C77E77">
              <w:rPr>
                <w:rFonts w:ascii="Times New Roman" w:eastAsia="標楷體" w:hAnsi="Times New Roman" w:cs="Times New Roman"/>
                <w:color w:val="000000" w:themeColor="text1"/>
                <w:szCs w:val="24"/>
              </w:rPr>
              <w:t>p.1</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 xml:space="preserve">2. </w:t>
            </w:r>
            <w:r w:rsidRPr="00C77E77">
              <w:rPr>
                <w:rFonts w:ascii="Times New Roman" w:eastAsia="標楷體" w:hAnsi="Times New Roman" w:cs="Times New Roman"/>
                <w:color w:val="000000" w:themeColor="text1"/>
                <w:szCs w:val="24"/>
              </w:rPr>
              <w:t>已遵照意見增修至</w:t>
            </w:r>
            <w:r w:rsidRPr="00C77E77">
              <w:rPr>
                <w:rFonts w:ascii="Times New Roman" w:eastAsia="標楷體" w:hAnsi="Times New Roman" w:cs="Times New Roman"/>
                <w:color w:val="000000" w:themeColor="text1"/>
                <w:szCs w:val="24"/>
              </w:rPr>
              <w:t>p.8</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beforeLines="50" w:before="180" w:afterLines="50" w:after="180" w:line="0" w:lineRule="atLeast"/>
              <w:jc w:val="both"/>
              <w:rPr>
                <w:rFonts w:ascii="Times New Roman" w:eastAsia="標楷體" w:hAnsi="Times New Roman" w:cs="Times New Roman"/>
                <w:color w:val="000000" w:themeColor="text1"/>
                <w:szCs w:val="24"/>
              </w:rPr>
            </w:pPr>
          </w:p>
        </w:tc>
      </w:tr>
      <w:tr w:rsidR="00F15EB2" w:rsidRPr="00C77E77" w:rsidTr="004A552C">
        <w:trPr>
          <w:trHeight w:val="567"/>
        </w:trPr>
        <w:tc>
          <w:tcPr>
            <w:tcW w:w="3223" w:type="pct"/>
            <w:gridSpan w:val="2"/>
          </w:tcPr>
          <w:p w:rsidR="00F15EB2" w:rsidRPr="00C77E77" w:rsidRDefault="00F15EB2" w:rsidP="004A552C">
            <w:pPr>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lastRenderedPageBreak/>
              <w:t>(</w:t>
            </w:r>
            <w:r w:rsidRPr="00C77E77">
              <w:rPr>
                <w:rFonts w:ascii="Times New Roman" w:eastAsia="標楷體" w:hAnsi="Times New Roman" w:cs="Times New Roman"/>
                <w:color w:val="000000" w:themeColor="text1"/>
                <w:szCs w:val="24"/>
              </w:rPr>
              <w:t>三</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建議修正或調整</w:t>
            </w:r>
          </w:p>
          <w:p w:rsidR="00F15EB2" w:rsidRPr="00C77E77" w:rsidRDefault="00F15EB2" w:rsidP="004A552C">
            <w:pPr>
              <w:snapToGrid w:val="0"/>
              <w:spacing w:line="0" w:lineRule="atLeast"/>
              <w:ind w:leftChars="200" w:left="48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政策建議之標題應力求簡潔，提出政府得以著力處之建議，例如：</w:t>
            </w:r>
          </w:p>
          <w:p w:rsidR="00F15EB2" w:rsidRPr="00C77E77" w:rsidRDefault="00F15EB2" w:rsidP="0001327A">
            <w:pPr>
              <w:pStyle w:val="ab"/>
              <w:widowControl/>
              <w:numPr>
                <w:ilvl w:val="0"/>
                <w:numId w:val="143"/>
              </w:numPr>
              <w:snapToGrid w:val="0"/>
              <w:spacing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第五章結論</w:t>
            </w:r>
            <w:r w:rsidRPr="00C77E77">
              <w:rPr>
                <w:rFonts w:ascii="Times New Roman" w:eastAsia="標楷體" w:hAnsi="Times New Roman" w:cs="Times New Roman"/>
                <w:color w:val="000000" w:themeColor="text1"/>
                <w:szCs w:val="24"/>
              </w:rPr>
              <w:t>P.174</w:t>
            </w:r>
            <w:r w:rsidRPr="00C77E77">
              <w:rPr>
                <w:rFonts w:ascii="Times New Roman" w:eastAsia="標楷體" w:hAnsi="Times New Roman" w:cs="Times New Roman"/>
                <w:color w:val="000000" w:themeColor="text1"/>
                <w:szCs w:val="24"/>
              </w:rPr>
              <w:t>「改善臺商單打獨鬥的思維，強化合作意識」，可改為「促成臺商共同合作，協助籌組產業團隊」等。</w:t>
            </w:r>
          </w:p>
          <w:p w:rsidR="00F15EB2" w:rsidRPr="00C77E77" w:rsidRDefault="00F15EB2" w:rsidP="004A552C">
            <w:pPr>
              <w:pStyle w:val="ab"/>
              <w:snapToGrid w:val="0"/>
              <w:spacing w:line="0" w:lineRule="atLeast"/>
              <w:ind w:leftChars="0" w:left="1130"/>
              <w:jc w:val="both"/>
              <w:rPr>
                <w:rFonts w:ascii="Times New Roman" w:eastAsia="標楷體" w:hAnsi="Times New Roman" w:cs="Times New Roman"/>
                <w:color w:val="000000" w:themeColor="text1"/>
                <w:szCs w:val="24"/>
              </w:rPr>
            </w:pPr>
          </w:p>
          <w:p w:rsidR="00F15EB2" w:rsidRPr="00C77E77" w:rsidRDefault="00F15EB2" w:rsidP="004A552C">
            <w:pPr>
              <w:pStyle w:val="ab"/>
              <w:snapToGrid w:val="0"/>
              <w:spacing w:line="0" w:lineRule="atLeast"/>
              <w:ind w:leftChars="0" w:left="1130"/>
              <w:jc w:val="both"/>
              <w:rPr>
                <w:rFonts w:ascii="Times New Roman" w:eastAsia="標楷體" w:hAnsi="Times New Roman" w:cs="Times New Roman"/>
                <w:color w:val="000000" w:themeColor="text1"/>
                <w:szCs w:val="24"/>
              </w:rPr>
            </w:pPr>
          </w:p>
          <w:p w:rsidR="00F15EB2" w:rsidRPr="00C77E77" w:rsidRDefault="00F15EB2" w:rsidP="004A552C">
            <w:pPr>
              <w:pStyle w:val="ab"/>
              <w:snapToGrid w:val="0"/>
              <w:spacing w:line="0" w:lineRule="atLeast"/>
              <w:ind w:leftChars="0" w:left="1130"/>
              <w:jc w:val="both"/>
              <w:rPr>
                <w:rFonts w:ascii="Times New Roman" w:eastAsia="標楷體" w:hAnsi="Times New Roman" w:cs="Times New Roman"/>
                <w:color w:val="000000" w:themeColor="text1"/>
                <w:szCs w:val="24"/>
              </w:rPr>
            </w:pPr>
          </w:p>
          <w:p w:rsidR="00F15EB2" w:rsidRPr="00C77E77" w:rsidRDefault="00F15EB2" w:rsidP="004A552C">
            <w:pPr>
              <w:pStyle w:val="ab"/>
              <w:snapToGrid w:val="0"/>
              <w:spacing w:line="0" w:lineRule="atLeast"/>
              <w:ind w:leftChars="0" w:left="1130"/>
              <w:jc w:val="both"/>
              <w:rPr>
                <w:rFonts w:ascii="Times New Roman" w:eastAsia="標楷體" w:hAnsi="Times New Roman" w:cs="Times New Roman"/>
                <w:color w:val="000000" w:themeColor="text1"/>
                <w:szCs w:val="24"/>
              </w:rPr>
            </w:pPr>
          </w:p>
          <w:p w:rsidR="00F15EB2" w:rsidRPr="00C77E77" w:rsidRDefault="00F15EB2" w:rsidP="004A552C">
            <w:pPr>
              <w:pStyle w:val="ab"/>
              <w:snapToGrid w:val="0"/>
              <w:spacing w:line="0" w:lineRule="atLeast"/>
              <w:ind w:leftChars="0" w:left="1130"/>
              <w:jc w:val="both"/>
              <w:rPr>
                <w:rFonts w:ascii="Times New Roman" w:eastAsia="標楷體" w:hAnsi="Times New Roman" w:cs="Times New Roman"/>
                <w:color w:val="000000" w:themeColor="text1"/>
                <w:szCs w:val="24"/>
              </w:rPr>
            </w:pPr>
          </w:p>
          <w:p w:rsidR="00F15EB2" w:rsidRPr="00C77E77" w:rsidRDefault="00F15EB2" w:rsidP="004A552C">
            <w:pPr>
              <w:pStyle w:val="ab"/>
              <w:snapToGrid w:val="0"/>
              <w:spacing w:line="0" w:lineRule="atLeast"/>
              <w:ind w:leftChars="0" w:left="1130"/>
              <w:jc w:val="both"/>
              <w:rPr>
                <w:rFonts w:ascii="Times New Roman" w:eastAsia="標楷體" w:hAnsi="Times New Roman" w:cs="Times New Roman"/>
                <w:color w:val="000000" w:themeColor="text1"/>
                <w:szCs w:val="24"/>
              </w:rPr>
            </w:pPr>
          </w:p>
          <w:p w:rsidR="00F15EB2" w:rsidRPr="00C77E77" w:rsidRDefault="00F15EB2" w:rsidP="004A552C">
            <w:pPr>
              <w:pStyle w:val="ab"/>
              <w:snapToGrid w:val="0"/>
              <w:spacing w:line="0" w:lineRule="atLeast"/>
              <w:ind w:leftChars="0" w:left="1130"/>
              <w:jc w:val="both"/>
              <w:rPr>
                <w:rFonts w:ascii="Times New Roman" w:eastAsia="標楷體" w:hAnsi="Times New Roman" w:cs="Times New Roman"/>
                <w:color w:val="000000" w:themeColor="text1"/>
                <w:szCs w:val="24"/>
              </w:rPr>
            </w:pPr>
          </w:p>
          <w:p w:rsidR="00F15EB2" w:rsidRPr="00C77E77" w:rsidRDefault="00F15EB2" w:rsidP="004A552C">
            <w:pPr>
              <w:pStyle w:val="ab"/>
              <w:snapToGrid w:val="0"/>
              <w:spacing w:line="0" w:lineRule="atLeast"/>
              <w:ind w:leftChars="0" w:left="1130"/>
              <w:jc w:val="both"/>
              <w:rPr>
                <w:rFonts w:ascii="Times New Roman" w:eastAsia="標楷體" w:hAnsi="Times New Roman" w:cs="Times New Roman"/>
                <w:color w:val="000000" w:themeColor="text1"/>
                <w:szCs w:val="24"/>
              </w:rPr>
            </w:pPr>
          </w:p>
          <w:p w:rsidR="00F15EB2" w:rsidRPr="00C77E77" w:rsidRDefault="00F15EB2" w:rsidP="004A552C">
            <w:pPr>
              <w:pStyle w:val="a3"/>
              <w:snapToGrid w:val="0"/>
              <w:spacing w:line="0" w:lineRule="atLeast"/>
              <w:ind w:leftChars="321" w:left="770"/>
              <w:jc w:val="both"/>
              <w:rPr>
                <w:b w:val="0"/>
                <w:color w:val="000000" w:themeColor="text1"/>
                <w:sz w:val="24"/>
              </w:rPr>
            </w:pPr>
            <w:r w:rsidRPr="00C77E77">
              <w:rPr>
                <w:b w:val="0"/>
                <w:color w:val="000000" w:themeColor="text1"/>
                <w:sz w:val="24"/>
              </w:rPr>
              <w:t xml:space="preserve">2. </w:t>
            </w:r>
            <w:r w:rsidRPr="00C77E77">
              <w:rPr>
                <w:b w:val="0"/>
                <w:color w:val="000000" w:themeColor="text1"/>
                <w:sz w:val="24"/>
              </w:rPr>
              <w:t>第五章結論</w:t>
            </w:r>
            <w:r w:rsidRPr="00C77E77">
              <w:rPr>
                <w:b w:val="0"/>
                <w:color w:val="000000" w:themeColor="text1"/>
                <w:sz w:val="24"/>
              </w:rPr>
              <w:t>P176</w:t>
            </w:r>
            <w:r w:rsidRPr="00C77E77">
              <w:rPr>
                <w:b w:val="0"/>
                <w:color w:val="000000" w:themeColor="text1"/>
                <w:sz w:val="24"/>
              </w:rPr>
              <w:t>「針對媒體之建議：向民眾詳細介紹新南向國家、增加文化產業交流」，似非政府得以著力之處，建議調整或增強論述。</w:t>
            </w:r>
          </w:p>
        </w:tc>
        <w:tc>
          <w:tcPr>
            <w:tcW w:w="1777" w:type="pct"/>
            <w:gridSpan w:val="2"/>
          </w:tcPr>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三</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1.</w:t>
            </w:r>
            <w:r w:rsidRPr="00C77E77">
              <w:rPr>
                <w:rFonts w:ascii="Times New Roman" w:eastAsia="標楷體" w:hAnsi="Times New Roman" w:cs="Times New Roman"/>
                <w:color w:val="000000" w:themeColor="text1"/>
                <w:szCs w:val="24"/>
              </w:rPr>
              <w:t>已遵照意見簡化於下列位置：</w:t>
            </w:r>
            <w:r w:rsidRPr="00C77E77">
              <w:rPr>
                <w:rFonts w:ascii="Times New Roman" w:eastAsia="標楷體" w:hAnsi="Times New Roman" w:cs="Times New Roman"/>
                <w:color w:val="000000" w:themeColor="text1"/>
                <w:szCs w:val="24"/>
              </w:rPr>
              <w:t>p. 172</w:t>
            </w:r>
            <w:r w:rsidRPr="00C77E77">
              <w:rPr>
                <w:rFonts w:ascii="Times New Roman" w:eastAsia="標楷體" w:hAnsi="Times New Roman" w:cs="Times New Roman"/>
                <w:color w:val="000000" w:themeColor="text1"/>
                <w:szCs w:val="24"/>
              </w:rPr>
              <w:t>「先在臺灣建立示範場域」、「以降低風險、提昇素質與安全作為推展智慧型系統整合技術之訴求」；</w:t>
            </w:r>
            <w:r w:rsidRPr="00C77E77">
              <w:rPr>
                <w:rFonts w:ascii="Times New Roman" w:eastAsia="標楷體" w:hAnsi="Times New Roman" w:cs="Times New Roman"/>
                <w:color w:val="000000" w:themeColor="text1"/>
                <w:szCs w:val="24"/>
              </w:rPr>
              <w:t>p.174</w:t>
            </w:r>
            <w:r w:rsidRPr="00C77E77">
              <w:rPr>
                <w:rFonts w:ascii="Times New Roman" w:eastAsia="標楷體" w:hAnsi="Times New Roman" w:cs="Times New Roman"/>
                <w:color w:val="000000" w:themeColor="text1"/>
                <w:szCs w:val="24"/>
              </w:rPr>
              <w:t>「消除各種關稅、非關稅障礙」：</w:t>
            </w:r>
            <w:r w:rsidRPr="00C77E77">
              <w:rPr>
                <w:rFonts w:ascii="Times New Roman" w:eastAsia="標楷體" w:hAnsi="Times New Roman" w:cs="Times New Roman"/>
                <w:color w:val="000000" w:themeColor="text1"/>
                <w:szCs w:val="24"/>
              </w:rPr>
              <w:t>p.175</w:t>
            </w:r>
            <w:r w:rsidRPr="00C77E77">
              <w:rPr>
                <w:rFonts w:ascii="Times New Roman" w:eastAsia="標楷體" w:hAnsi="Times New Roman" w:cs="Times New Roman"/>
                <w:color w:val="000000" w:themeColor="text1"/>
                <w:szCs w:val="24"/>
              </w:rPr>
              <w:t>「以破壞式創新因應當地需求」、「協助企業瞭解法律制度、尋找可信賴的合作夥伴」等。</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color w:val="000000" w:themeColor="text1"/>
                <w:szCs w:val="24"/>
              </w:rPr>
              <w:t>2.</w:t>
            </w:r>
            <w:r w:rsidRPr="00C77E77">
              <w:rPr>
                <w:rFonts w:ascii="Times New Roman" w:eastAsia="標楷體" w:hAnsi="Times New Roman" w:cs="Times New Roman"/>
                <w:color w:val="000000" w:themeColor="text1"/>
                <w:szCs w:val="24"/>
              </w:rPr>
              <w:t>已遵照意見調整論述於</w:t>
            </w:r>
            <w:r w:rsidRPr="00C77E77">
              <w:rPr>
                <w:rFonts w:ascii="Times New Roman" w:eastAsia="標楷體" w:hAnsi="Times New Roman" w:cs="Times New Roman"/>
                <w:color w:val="000000" w:themeColor="text1"/>
                <w:szCs w:val="24"/>
              </w:rPr>
              <w:t>pp.180</w:t>
            </w:r>
            <w:r w:rsidRPr="00C77E77">
              <w:rPr>
                <w:rFonts w:ascii="Times New Roman" w:eastAsia="標楷體" w:hAnsi="Times New Roman" w:cs="Times New Roman"/>
                <w:color w:val="000000" w:themeColor="text1"/>
                <w:szCs w:val="24"/>
              </w:rPr>
              <w:t>。</w:t>
            </w:r>
          </w:p>
          <w:p w:rsidR="00F15EB2" w:rsidRPr="00C77E77" w:rsidRDefault="00F15EB2" w:rsidP="004A552C">
            <w:pPr>
              <w:adjustRightInd w:val="0"/>
              <w:snapToGrid w:val="0"/>
              <w:spacing w:line="0" w:lineRule="atLeast"/>
              <w:jc w:val="both"/>
              <w:rPr>
                <w:rFonts w:ascii="Times New Roman" w:eastAsia="標楷體" w:hAnsi="Times New Roman" w:cs="Times New Roman"/>
                <w:color w:val="000000" w:themeColor="text1"/>
                <w:szCs w:val="24"/>
              </w:rPr>
            </w:pPr>
          </w:p>
        </w:tc>
      </w:tr>
    </w:tbl>
    <w:p w:rsidR="0039441E" w:rsidRPr="00C77E77" w:rsidRDefault="0039441E">
      <w:pPr>
        <w:widowControl/>
        <w:rPr>
          <w:rFonts w:ascii="Times New Roman" w:eastAsia="標楷體" w:hAnsi="Times New Roman" w:cs="Times New Roman"/>
          <w:color w:val="000000" w:themeColor="text1"/>
          <w:sz w:val="28"/>
          <w:szCs w:val="28"/>
        </w:rPr>
      </w:pPr>
    </w:p>
    <w:p w:rsidR="005A357B" w:rsidRPr="00C77E77" w:rsidRDefault="005A357B">
      <w:pPr>
        <w:widowControl/>
        <w:rPr>
          <w:rFonts w:ascii="Times New Roman" w:eastAsia="標楷體" w:hAnsi="Times New Roman" w:cs="Times New Roman"/>
          <w:color w:val="000000" w:themeColor="text1"/>
          <w:sz w:val="28"/>
          <w:szCs w:val="28"/>
        </w:rPr>
      </w:pPr>
    </w:p>
    <w:p w:rsidR="005A357B" w:rsidRPr="00C77E77" w:rsidRDefault="005A357B">
      <w:pPr>
        <w:widowControl/>
        <w:rPr>
          <w:rFonts w:ascii="Times New Roman" w:eastAsia="標楷體" w:hAnsi="Times New Roman" w:cs="Times New Roman"/>
          <w:b/>
          <w:bCs/>
          <w:color w:val="000000" w:themeColor="text1"/>
          <w:kern w:val="52"/>
          <w:sz w:val="28"/>
          <w:szCs w:val="28"/>
        </w:rPr>
      </w:pPr>
    </w:p>
    <w:p w:rsidR="005A357B" w:rsidRPr="00C77E77" w:rsidRDefault="005A357B">
      <w:pPr>
        <w:widowControl/>
        <w:rPr>
          <w:rFonts w:ascii="Times New Roman" w:eastAsia="標楷體" w:hAnsi="Times New Roman" w:cs="Times New Roman"/>
          <w:b/>
          <w:bCs/>
          <w:color w:val="000000" w:themeColor="text1"/>
          <w:kern w:val="52"/>
          <w:sz w:val="36"/>
          <w:szCs w:val="36"/>
        </w:rPr>
      </w:pPr>
      <w:r w:rsidRPr="00C77E77">
        <w:rPr>
          <w:rFonts w:ascii="Times New Roman" w:eastAsia="標楷體" w:hAnsi="Times New Roman" w:cs="Times New Roman"/>
          <w:color w:val="000000" w:themeColor="text1"/>
          <w:sz w:val="36"/>
          <w:szCs w:val="36"/>
        </w:rPr>
        <w:br w:type="page"/>
      </w:r>
    </w:p>
    <w:p w:rsidR="00006DCD" w:rsidRPr="00C77E77" w:rsidRDefault="0039441E" w:rsidP="009F567C">
      <w:pPr>
        <w:pStyle w:val="1"/>
        <w:spacing w:beforeLines="50" w:afterLines="50" w:line="360" w:lineRule="auto"/>
        <w:rPr>
          <w:rFonts w:ascii="Times New Roman" w:eastAsia="標楷體" w:hAnsi="Times New Roman" w:cs="Times New Roman"/>
          <w:color w:val="000000" w:themeColor="text1"/>
          <w:sz w:val="36"/>
          <w:szCs w:val="36"/>
        </w:rPr>
      </w:pPr>
      <w:bookmarkStart w:id="172" w:name="_Toc470676329"/>
      <w:r w:rsidRPr="00C77E77">
        <w:rPr>
          <w:rFonts w:ascii="Times New Roman" w:eastAsia="標楷體" w:hAnsi="Times New Roman" w:cs="Times New Roman"/>
          <w:color w:val="000000" w:themeColor="text1"/>
          <w:sz w:val="36"/>
          <w:szCs w:val="36"/>
        </w:rPr>
        <w:lastRenderedPageBreak/>
        <w:t>附錄二：</w:t>
      </w:r>
      <w:r w:rsidR="009E1C77" w:rsidRPr="00C77E77">
        <w:rPr>
          <w:rFonts w:ascii="Times New Roman" w:eastAsia="標楷體" w:hAnsi="Times New Roman" w:cs="Times New Roman"/>
          <w:color w:val="000000" w:themeColor="text1"/>
          <w:sz w:val="36"/>
          <w:szCs w:val="36"/>
        </w:rPr>
        <w:t>期中報告審查意見與回覆</w:t>
      </w:r>
      <w:bookmarkEnd w:id="1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954"/>
        <w:gridCol w:w="20"/>
        <w:gridCol w:w="3262"/>
        <w:gridCol w:w="32"/>
      </w:tblGrid>
      <w:tr w:rsidR="00C07360" w:rsidRPr="00C77E77" w:rsidTr="004A552C">
        <w:trPr>
          <w:gridAfter w:val="1"/>
          <w:wAfter w:w="17" w:type="pct"/>
          <w:trHeight w:val="20"/>
        </w:trPr>
        <w:tc>
          <w:tcPr>
            <w:tcW w:w="3212" w:type="pct"/>
            <w:shd w:val="clear" w:color="auto" w:fill="auto"/>
          </w:tcPr>
          <w:p w:rsidR="00C07360" w:rsidRPr="00C77E77" w:rsidRDefault="00C07360" w:rsidP="004A552C">
            <w:pPr>
              <w:adjustRightInd w:val="0"/>
              <w:snapToGrid w:val="0"/>
              <w:spacing w:beforeLines="50" w:before="180" w:afterLines="50" w:after="180" w:line="0" w:lineRule="atLeast"/>
              <w:jc w:val="center"/>
              <w:rPr>
                <w:rFonts w:ascii="Times New Roman" w:eastAsia="標楷體" w:hAnsi="Times New Roman" w:cs="Times New Roman"/>
                <w:b/>
                <w:szCs w:val="24"/>
              </w:rPr>
            </w:pPr>
            <w:r w:rsidRPr="00C77E77">
              <w:rPr>
                <w:rFonts w:ascii="Times New Roman" w:eastAsia="標楷體" w:hAnsi="Times New Roman" w:cs="Times New Roman"/>
                <w:b/>
                <w:szCs w:val="24"/>
              </w:rPr>
              <w:t>審查意見</w:t>
            </w:r>
          </w:p>
        </w:tc>
        <w:tc>
          <w:tcPr>
            <w:tcW w:w="1771" w:type="pct"/>
            <w:gridSpan w:val="2"/>
            <w:shd w:val="clear" w:color="auto" w:fill="auto"/>
          </w:tcPr>
          <w:p w:rsidR="00C07360" w:rsidRPr="00C77E77" w:rsidRDefault="00C07360" w:rsidP="004A552C">
            <w:pPr>
              <w:adjustRightInd w:val="0"/>
              <w:snapToGrid w:val="0"/>
              <w:spacing w:beforeLines="50" w:before="180" w:afterLines="50" w:after="180" w:line="0" w:lineRule="atLeast"/>
              <w:jc w:val="center"/>
              <w:rPr>
                <w:rFonts w:ascii="Times New Roman" w:eastAsia="標楷體" w:hAnsi="Times New Roman" w:cs="Times New Roman"/>
                <w:b/>
                <w:szCs w:val="24"/>
              </w:rPr>
            </w:pPr>
            <w:r w:rsidRPr="00C77E77">
              <w:rPr>
                <w:rFonts w:ascii="Times New Roman" w:eastAsia="標楷體" w:hAnsi="Times New Roman" w:cs="Times New Roman"/>
                <w:b/>
                <w:szCs w:val="24"/>
              </w:rPr>
              <w:t>結案報告回應</w:t>
            </w:r>
          </w:p>
        </w:tc>
      </w:tr>
      <w:tr w:rsidR="00C07360" w:rsidRPr="00C77E77" w:rsidTr="004A552C">
        <w:trPr>
          <w:gridAfter w:val="1"/>
          <w:wAfter w:w="17" w:type="pct"/>
          <w:trHeight w:val="20"/>
        </w:trPr>
        <w:tc>
          <w:tcPr>
            <w:tcW w:w="4983" w:type="pct"/>
            <w:gridSpan w:val="3"/>
            <w:shd w:val="clear" w:color="auto" w:fill="auto"/>
          </w:tcPr>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t>台灣大學經濟系劉委員碧珍</w:t>
            </w:r>
          </w:p>
        </w:tc>
      </w:tr>
      <w:tr w:rsidR="00C07360" w:rsidRPr="00C77E77" w:rsidTr="004A552C">
        <w:trPr>
          <w:gridAfter w:val="1"/>
          <w:wAfter w:w="17" w:type="pct"/>
          <w:trHeight w:val="703"/>
        </w:trPr>
        <w:tc>
          <w:tcPr>
            <w:tcW w:w="3212" w:type="pct"/>
            <w:tcBorders>
              <w:bottom w:val="single" w:sz="4" w:space="0" w:color="auto"/>
            </w:tcBorders>
          </w:tcPr>
          <w:p w:rsidR="00C07360" w:rsidRPr="00C77E77" w:rsidRDefault="00C07360" w:rsidP="004A552C">
            <w:pPr>
              <w:widowControl/>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建議針對新南向政策之目標、圖像，宜以較高之戰略布局角度進一步說明。另外，亦請補充在推動新南向政策時，如何避開東協之「一個中國政策」</w:t>
            </w:r>
            <w:r w:rsidRPr="00C77E77">
              <w:rPr>
                <w:rFonts w:ascii="Times New Roman" w:eastAsia="標楷體" w:hAnsi="Times New Roman" w:cs="Times New Roman"/>
                <w:szCs w:val="24"/>
              </w:rPr>
              <w:t>(One China Policy)</w:t>
            </w:r>
            <w:r w:rsidRPr="00C77E77">
              <w:rPr>
                <w:rFonts w:ascii="Times New Roman" w:eastAsia="標楷體" w:hAnsi="Times New Roman" w:cs="Times New Roman"/>
                <w:szCs w:val="24"/>
              </w:rPr>
              <w:t>。</w:t>
            </w:r>
          </w:p>
          <w:p w:rsidR="00C07360" w:rsidRPr="00C77E77" w:rsidRDefault="00C07360" w:rsidP="004A552C">
            <w:pPr>
              <w:pStyle w:val="ab"/>
              <w:widowControl/>
              <w:spacing w:beforeLines="50" w:before="180" w:afterLines="50" w:after="180" w:line="0" w:lineRule="atLeast"/>
              <w:ind w:leftChars="0" w:left="390"/>
              <w:jc w:val="both"/>
              <w:rPr>
                <w:rFonts w:ascii="Times New Roman" w:eastAsia="標楷體" w:hAnsi="Times New Roman" w:cs="Times New Roman"/>
                <w:szCs w:val="24"/>
              </w:rPr>
            </w:pPr>
          </w:p>
          <w:p w:rsidR="00C07360" w:rsidRPr="00C77E77" w:rsidRDefault="00C07360" w:rsidP="004A552C">
            <w:pPr>
              <w:pStyle w:val="ab"/>
              <w:widowControl/>
              <w:spacing w:beforeLines="50" w:before="180" w:afterLines="50" w:after="180" w:line="0" w:lineRule="atLeast"/>
              <w:ind w:leftChars="0" w:left="390"/>
              <w:jc w:val="both"/>
              <w:rPr>
                <w:rFonts w:ascii="Times New Roman" w:eastAsia="標楷體" w:hAnsi="Times New Roman" w:cs="Times New Roman"/>
                <w:szCs w:val="24"/>
              </w:rPr>
            </w:pPr>
          </w:p>
          <w:p w:rsidR="0078331A" w:rsidRPr="00C77E77" w:rsidRDefault="0078331A" w:rsidP="004A552C">
            <w:pPr>
              <w:pStyle w:val="ab"/>
              <w:widowControl/>
              <w:spacing w:beforeLines="50" w:before="180" w:afterLines="50" w:after="180" w:line="0" w:lineRule="atLeast"/>
              <w:ind w:leftChars="0" w:left="390"/>
              <w:jc w:val="both"/>
              <w:rPr>
                <w:rFonts w:ascii="Times New Roman" w:eastAsia="標楷體" w:hAnsi="Times New Roman" w:cs="Times New Roman"/>
                <w:szCs w:val="24"/>
              </w:rPr>
            </w:pPr>
          </w:p>
          <w:p w:rsidR="00C07360" w:rsidRPr="00C77E77" w:rsidRDefault="00C07360" w:rsidP="004A552C">
            <w:pPr>
              <w:widowControl/>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宜脫離單向之供給面的輸出思維，可從小國與小國如何合作發展產業的角度思考，力求雙贏</w:t>
            </w:r>
            <w:r w:rsidRPr="00C77E77">
              <w:rPr>
                <w:rFonts w:ascii="Times New Roman" w:eastAsia="標楷體" w:hAnsi="Times New Roman" w:cs="Times New Roman"/>
                <w:szCs w:val="24"/>
              </w:rPr>
              <w:t>(win-win)</w:t>
            </w:r>
            <w:r w:rsidRPr="00C77E77">
              <w:rPr>
                <w:rFonts w:ascii="Times New Roman" w:eastAsia="標楷體" w:hAnsi="Times New Roman" w:cs="Times New Roman"/>
                <w:szCs w:val="24"/>
              </w:rPr>
              <w:t>，而不是單方面攫取經濟利益，才能有效長遠的發展。</w:t>
            </w:r>
          </w:p>
          <w:p w:rsidR="0078331A" w:rsidRPr="00C77E77" w:rsidRDefault="0078331A" w:rsidP="004A552C">
            <w:pPr>
              <w:widowControl/>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4A552C">
            <w:pPr>
              <w:widowControl/>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三</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建議加強說明已在東南亞及南亞發展的臺商，如何善用其網絡關係</w:t>
            </w:r>
            <w:r w:rsidRPr="00C77E77">
              <w:rPr>
                <w:rFonts w:ascii="Times New Roman" w:eastAsia="標楷體" w:hAnsi="Times New Roman" w:cs="Times New Roman"/>
                <w:szCs w:val="24"/>
              </w:rPr>
              <w:t>(connection)</w:t>
            </w:r>
            <w:r w:rsidRPr="00C77E77">
              <w:rPr>
                <w:rFonts w:ascii="Times New Roman" w:eastAsia="標楷體" w:hAnsi="Times New Roman" w:cs="Times New Roman"/>
                <w:szCs w:val="24"/>
              </w:rPr>
              <w:t>？</w:t>
            </w:r>
          </w:p>
          <w:p w:rsidR="00C07360" w:rsidRPr="00C77E77" w:rsidRDefault="00C07360" w:rsidP="004A552C">
            <w:pPr>
              <w:widowControl/>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4A552C">
            <w:pPr>
              <w:widowControl/>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四</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報告當中許多產業提到可以新加坡為效仿對象，應先進行臺灣與新加坡在各產業的優劣勢比較。</w:t>
            </w:r>
          </w:p>
          <w:p w:rsidR="00C07360" w:rsidRPr="00C77E77" w:rsidRDefault="00C07360" w:rsidP="004A552C">
            <w:pPr>
              <w:widowControl/>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4A552C">
            <w:pPr>
              <w:widowControl/>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五</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很多國家已經有在東南亞及南亞布局策略，特別是中國大陸、日本與韓國，應蒐集競爭對手國的作法。</w:t>
            </w:r>
          </w:p>
          <w:p w:rsidR="00C07360" w:rsidRPr="00C77E77" w:rsidRDefault="00C07360" w:rsidP="004A552C">
            <w:pPr>
              <w:pStyle w:val="ab"/>
              <w:rPr>
                <w:rFonts w:ascii="Times New Roman" w:eastAsia="標楷體" w:hAnsi="Times New Roman" w:cs="Times New Roman"/>
                <w:szCs w:val="24"/>
              </w:rPr>
            </w:pPr>
          </w:p>
          <w:p w:rsidR="00C07360" w:rsidRPr="00C77E77" w:rsidRDefault="00C07360" w:rsidP="004A552C">
            <w:pPr>
              <w:pStyle w:val="ab"/>
              <w:widowControl/>
              <w:spacing w:beforeLines="50" w:before="180" w:afterLines="50" w:after="180" w:line="0" w:lineRule="atLeast"/>
              <w:ind w:leftChars="0" w:left="390"/>
              <w:jc w:val="both"/>
              <w:rPr>
                <w:rFonts w:ascii="Times New Roman" w:eastAsia="標楷體" w:hAnsi="Times New Roman" w:cs="Times New Roman"/>
                <w:szCs w:val="24"/>
              </w:rPr>
            </w:pPr>
          </w:p>
          <w:p w:rsidR="00C07360" w:rsidRPr="00C77E77" w:rsidRDefault="00C07360" w:rsidP="004A552C">
            <w:pPr>
              <w:widowControl/>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六</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寮國、緬甸、柬埔寨雖基礎建設不足，進入障礙高，仍可思考雙邊合作，以求取先行者優勢</w:t>
            </w:r>
            <w:r w:rsidRPr="00C77E77">
              <w:rPr>
                <w:rFonts w:ascii="Times New Roman" w:eastAsia="標楷體" w:hAnsi="Times New Roman" w:cs="Times New Roman"/>
                <w:szCs w:val="24"/>
              </w:rPr>
              <w:t>(first mover advantage)</w:t>
            </w:r>
            <w:r w:rsidRPr="00C77E77">
              <w:rPr>
                <w:rFonts w:ascii="Times New Roman" w:eastAsia="標楷體" w:hAnsi="Times New Roman" w:cs="Times New Roman"/>
                <w:szCs w:val="24"/>
              </w:rPr>
              <w:t>。</w:t>
            </w:r>
          </w:p>
        </w:tc>
        <w:tc>
          <w:tcPr>
            <w:tcW w:w="1771" w:type="pct"/>
            <w:gridSpan w:val="2"/>
          </w:tcPr>
          <w:p w:rsidR="00C07360" w:rsidRPr="00C77E77" w:rsidRDefault="00C07360" w:rsidP="004A552C">
            <w:pPr>
              <w:adjustRightInd w:val="0"/>
              <w:snapToGrid w:val="0"/>
              <w:spacing w:line="0" w:lineRule="atLeast"/>
              <w:rPr>
                <w:rFonts w:ascii="Times New Roman" w:eastAsia="標楷體" w:hAnsi="Times New Roman" w:cs="Times New Roman"/>
                <w:szCs w:val="24"/>
              </w:rPr>
            </w:pPr>
            <w:r w:rsidRPr="00C77E77">
              <w:rPr>
                <w:rFonts w:ascii="Times New Roman" w:eastAsia="標楷體" w:hAnsi="Times New Roman" w:cs="Times New Roman"/>
                <w:szCs w:val="24"/>
              </w:rPr>
              <w:t>感謝委員意見。</w:t>
            </w: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一</w:t>
            </w: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已將「針對整體佈局之建議」作為第五章第一節。同時將中國大陸一帶一路對新南向政策之影響寫入第五章第三節，附件十二為相關建議報告書。</w:t>
            </w: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p>
          <w:p w:rsidR="0078331A" w:rsidRPr="00C77E77" w:rsidRDefault="0078331A" w:rsidP="004A552C">
            <w:pPr>
              <w:adjustRightInd w:val="0"/>
              <w:snapToGrid w:val="0"/>
              <w:spacing w:line="0" w:lineRule="atLeast"/>
              <w:rPr>
                <w:rFonts w:ascii="Times New Roman" w:eastAsia="標楷體" w:hAnsi="Times New Roman" w:cs="Times New Roman"/>
                <w:bCs/>
                <w:color w:val="000000"/>
                <w:szCs w:val="24"/>
              </w:rPr>
            </w:pP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二</w:t>
            </w: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已將相關建議列入</w:t>
            </w:r>
            <w:r w:rsidRPr="00C77E77">
              <w:rPr>
                <w:rFonts w:ascii="Times New Roman" w:eastAsia="標楷體" w:hAnsi="Times New Roman" w:cs="Times New Roman"/>
                <w:bCs/>
                <w:color w:val="000000"/>
                <w:szCs w:val="24"/>
              </w:rPr>
              <w:t>p.172-173</w:t>
            </w:r>
            <w:r w:rsidRPr="00C77E77">
              <w:rPr>
                <w:rFonts w:ascii="Times New Roman" w:eastAsia="標楷體" w:hAnsi="Times New Roman" w:cs="Times New Roman"/>
                <w:bCs/>
                <w:color w:val="000000"/>
                <w:szCs w:val="24"/>
              </w:rPr>
              <w:t>「以降低風險、提昇素質與安全作為推展智慧型系統整合技術之訴求」。</w:t>
            </w: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三</w:t>
            </w: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已將相關建議列入</w:t>
            </w:r>
            <w:r w:rsidRPr="00C77E77">
              <w:rPr>
                <w:rFonts w:ascii="Times New Roman" w:eastAsia="標楷體" w:hAnsi="Times New Roman" w:cs="Times New Roman"/>
                <w:bCs/>
                <w:color w:val="000000"/>
                <w:szCs w:val="24"/>
              </w:rPr>
              <w:t>p.179-180</w:t>
            </w:r>
            <w:r w:rsidRPr="00C77E77">
              <w:rPr>
                <w:rFonts w:ascii="Times New Roman" w:eastAsia="標楷體" w:hAnsi="Times New Roman" w:cs="Times New Roman"/>
                <w:bCs/>
                <w:color w:val="000000"/>
                <w:szCs w:val="24"/>
              </w:rPr>
              <w:t>「連結海外臺商網絡之建議」。</w:t>
            </w: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四</w:t>
            </w: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已將相關建議列入</w:t>
            </w:r>
            <w:r w:rsidRPr="00C77E77">
              <w:rPr>
                <w:rFonts w:ascii="Times New Roman" w:eastAsia="標楷體" w:hAnsi="Times New Roman" w:cs="Times New Roman"/>
                <w:bCs/>
                <w:color w:val="000000"/>
                <w:szCs w:val="24"/>
              </w:rPr>
              <w:t>p.219-221</w:t>
            </w:r>
            <w:r w:rsidRPr="00C77E77">
              <w:rPr>
                <w:rFonts w:ascii="Times New Roman" w:eastAsia="標楷體" w:hAnsi="Times New Roman" w:cs="Times New Roman"/>
                <w:bCs/>
                <w:color w:val="000000"/>
                <w:szCs w:val="24"/>
              </w:rPr>
              <w:t>「新加坡可供我國借鏡之作法」。</w:t>
            </w: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五</w:t>
            </w: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已將相關建議列入</w:t>
            </w:r>
            <w:r w:rsidRPr="00C77E77">
              <w:rPr>
                <w:rFonts w:ascii="Times New Roman" w:eastAsia="標楷體" w:hAnsi="Times New Roman" w:cs="Times New Roman"/>
                <w:bCs/>
                <w:color w:val="000000"/>
                <w:szCs w:val="24"/>
              </w:rPr>
              <w:t>p. 215-216</w:t>
            </w:r>
            <w:r w:rsidRPr="00C77E77">
              <w:rPr>
                <w:rFonts w:ascii="Times New Roman" w:eastAsia="標楷體" w:hAnsi="Times New Roman" w:cs="Times New Roman"/>
                <w:bCs/>
                <w:color w:val="000000"/>
                <w:szCs w:val="24"/>
              </w:rPr>
              <w:t>「一帶一路與我新南向政策之關聯性」，及</w:t>
            </w:r>
            <w:r w:rsidRPr="00C77E77">
              <w:rPr>
                <w:rFonts w:ascii="Times New Roman" w:eastAsia="標楷體" w:hAnsi="Times New Roman" w:cs="Times New Roman"/>
                <w:bCs/>
                <w:color w:val="000000"/>
                <w:szCs w:val="24"/>
              </w:rPr>
              <w:t>p.221-223</w:t>
            </w:r>
            <w:r w:rsidRPr="00C77E77">
              <w:rPr>
                <w:rFonts w:ascii="Times New Roman" w:eastAsia="標楷體" w:hAnsi="Times New Roman" w:cs="Times New Roman"/>
                <w:bCs/>
                <w:color w:val="000000"/>
                <w:szCs w:val="24"/>
              </w:rPr>
              <w:t>「日本、韓國可供我國借鏡之作法」。</w:t>
            </w: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六</w:t>
            </w: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已針對「</w:t>
            </w:r>
            <w:r w:rsidRPr="00C77E77">
              <w:rPr>
                <w:rFonts w:ascii="Times New Roman" w:eastAsia="標楷體" w:hAnsi="Times New Roman" w:cs="Times New Roman"/>
                <w:bCs/>
                <w:color w:val="000000"/>
                <w:szCs w:val="24"/>
              </w:rPr>
              <w:t>10+2</w:t>
            </w:r>
            <w:r w:rsidRPr="00C77E77">
              <w:rPr>
                <w:rFonts w:ascii="Times New Roman" w:eastAsia="標楷體" w:hAnsi="Times New Roman" w:cs="Times New Roman"/>
                <w:bCs/>
                <w:color w:val="000000"/>
                <w:szCs w:val="24"/>
              </w:rPr>
              <w:t>」個別產業在寮國、緬甸、柬埔寨可以切入的方式提出建議。詳見下列位置：</w:t>
            </w:r>
          </w:p>
          <w:p w:rsidR="00C07360" w:rsidRPr="00C77E77" w:rsidRDefault="00C07360" w:rsidP="004A552C">
            <w:pPr>
              <w:pStyle w:val="ab"/>
              <w:adjustRightInd w:val="0"/>
              <w:snapToGrid w:val="0"/>
              <w:spacing w:line="0" w:lineRule="atLeast"/>
              <w:ind w:leftChars="0"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電子收費</w:t>
            </w:r>
            <w:r w:rsidRPr="00C77E77">
              <w:rPr>
                <w:rFonts w:ascii="Times New Roman" w:eastAsia="標楷體" w:hAnsi="Times New Roman" w:cs="Times New Roman"/>
                <w:bCs/>
                <w:color w:val="000000"/>
                <w:szCs w:val="24"/>
              </w:rPr>
              <w:t>p. 182-183</w:t>
            </w:r>
            <w:r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電子化政府</w:t>
            </w:r>
            <w:r w:rsidRPr="00C77E77">
              <w:rPr>
                <w:rFonts w:ascii="Times New Roman" w:eastAsia="標楷體" w:hAnsi="Times New Roman" w:cs="Times New Roman"/>
                <w:bCs/>
                <w:color w:val="000000"/>
                <w:szCs w:val="24"/>
              </w:rPr>
              <w:t xml:space="preserve"> p.184</w:t>
            </w:r>
            <w:r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智慧校園</w:t>
            </w:r>
            <w:r w:rsidRPr="00C77E77">
              <w:rPr>
                <w:rFonts w:ascii="Times New Roman" w:eastAsia="標楷體" w:hAnsi="Times New Roman" w:cs="Times New Roman"/>
                <w:bCs/>
                <w:color w:val="000000"/>
                <w:szCs w:val="24"/>
              </w:rPr>
              <w:t>p.185-186</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電子商務</w:t>
            </w:r>
            <w:r w:rsidRPr="00C77E77">
              <w:rPr>
                <w:rFonts w:ascii="Times New Roman" w:eastAsia="標楷體" w:hAnsi="Times New Roman" w:cs="Times New Roman"/>
                <w:bCs/>
                <w:color w:val="000000"/>
                <w:szCs w:val="24"/>
              </w:rPr>
              <w:t>p.188-190</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智慧物流</w:t>
            </w:r>
            <w:r w:rsidRPr="00C77E77">
              <w:rPr>
                <w:rFonts w:ascii="Times New Roman" w:eastAsia="標楷體" w:hAnsi="Times New Roman" w:cs="Times New Roman"/>
                <w:bCs/>
                <w:color w:val="000000"/>
                <w:szCs w:val="24"/>
              </w:rPr>
              <w:t>p.191-194</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雲端系統</w:t>
            </w:r>
            <w:r w:rsidRPr="00C77E77">
              <w:rPr>
                <w:rFonts w:ascii="Times New Roman" w:eastAsia="標楷體" w:hAnsi="Times New Roman" w:cs="Times New Roman"/>
                <w:bCs/>
                <w:color w:val="000000"/>
                <w:szCs w:val="24"/>
              </w:rPr>
              <w:t>p.196-197</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lastRenderedPageBreak/>
              <w:t>太陽能產業</w:t>
            </w:r>
            <w:r w:rsidRPr="00C77E77">
              <w:rPr>
                <w:rFonts w:ascii="Times New Roman" w:eastAsia="標楷體" w:hAnsi="Times New Roman" w:cs="Times New Roman"/>
                <w:bCs/>
                <w:color w:val="000000"/>
                <w:szCs w:val="24"/>
              </w:rPr>
              <w:t>p.197-198</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LED p.199-200</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綠色運輸</w:t>
            </w:r>
            <w:r w:rsidRPr="00C77E77">
              <w:rPr>
                <w:rFonts w:ascii="Times New Roman" w:eastAsia="標楷體" w:hAnsi="Times New Roman" w:cs="Times New Roman"/>
                <w:bCs/>
                <w:color w:val="000000"/>
                <w:szCs w:val="24"/>
              </w:rPr>
              <w:t>p.201</w:t>
            </w:r>
            <w:r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石化</w:t>
            </w:r>
            <w:r w:rsidRPr="00C77E77">
              <w:rPr>
                <w:rFonts w:ascii="Times New Roman" w:eastAsia="標楷體" w:hAnsi="Times New Roman" w:cs="Times New Roman"/>
                <w:bCs/>
                <w:color w:val="000000"/>
                <w:szCs w:val="24"/>
              </w:rPr>
              <w:t>p.202-203</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智慧健康</w:t>
            </w:r>
            <w:r w:rsidRPr="00C77E77">
              <w:rPr>
                <w:rFonts w:ascii="Times New Roman" w:eastAsia="標楷體" w:hAnsi="Times New Roman" w:cs="Times New Roman"/>
                <w:bCs/>
                <w:color w:val="000000"/>
                <w:szCs w:val="24"/>
              </w:rPr>
              <w:t>p.204-206</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720"/>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新農業</w:t>
            </w:r>
            <w:r w:rsidRPr="00C77E77">
              <w:rPr>
                <w:rFonts w:ascii="Times New Roman" w:eastAsia="標楷體" w:hAnsi="Times New Roman" w:cs="Times New Roman"/>
                <w:bCs/>
                <w:color w:val="000000"/>
                <w:szCs w:val="24"/>
              </w:rPr>
              <w:t>p. 209-212</w:t>
            </w:r>
            <w:r w:rsidRPr="00C77E77">
              <w:rPr>
                <w:rFonts w:ascii="Times New Roman" w:eastAsia="標楷體" w:hAnsi="Times New Roman" w:cs="Times New Roman"/>
                <w:bCs/>
                <w:color w:val="000000"/>
                <w:szCs w:val="24"/>
              </w:rPr>
              <w:t>。</w:t>
            </w:r>
          </w:p>
        </w:tc>
      </w:tr>
      <w:tr w:rsidR="00C07360" w:rsidRPr="00C77E77" w:rsidTr="004A552C">
        <w:trPr>
          <w:trHeight w:val="567"/>
          <w:tblHeader/>
        </w:trPr>
        <w:tc>
          <w:tcPr>
            <w:tcW w:w="5000" w:type="pct"/>
            <w:gridSpan w:val="4"/>
            <w:shd w:val="clear" w:color="auto" w:fill="auto"/>
            <w:vAlign w:val="center"/>
          </w:tcPr>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lastRenderedPageBreak/>
              <w:t>財團法人資訊工業策進會國際處王委員志翔</w:t>
            </w:r>
          </w:p>
        </w:tc>
      </w:tr>
      <w:tr w:rsidR="00C07360" w:rsidRPr="00C77E77" w:rsidTr="004A552C">
        <w:trPr>
          <w:trHeight w:val="567"/>
        </w:trPr>
        <w:tc>
          <w:tcPr>
            <w:tcW w:w="3212" w:type="pct"/>
          </w:tcPr>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請研究團隊針對廠商在東協及印度市場推案所面臨的挑戰做進一步彙整，並訪談實際經營過東南亞及南亞區域的企業（無論成功或失敗的經驗），才能了解實際狀況。</w:t>
            </w: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p>
          <w:p w:rsidR="0078331A" w:rsidRPr="00C77E77" w:rsidRDefault="0078331A" w:rsidP="004A552C">
            <w:pPr>
              <w:widowControl/>
              <w:snapToGrid w:val="0"/>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請針對「</w:t>
            </w:r>
            <w:r w:rsidRPr="00C77E77">
              <w:rPr>
                <w:rFonts w:ascii="Times New Roman" w:eastAsia="標楷體" w:hAnsi="Times New Roman" w:cs="Times New Roman"/>
                <w:szCs w:val="24"/>
              </w:rPr>
              <w:t>10+2</w:t>
            </w:r>
            <w:r w:rsidRPr="00C77E77">
              <w:rPr>
                <w:rFonts w:ascii="Times New Roman" w:eastAsia="標楷體" w:hAnsi="Times New Roman" w:cs="Times New Roman"/>
                <w:szCs w:val="24"/>
              </w:rPr>
              <w:t>」產業出口拓展後對國內產業的衝擊，以及對整體就業有無幫助做進一步說明。</w:t>
            </w: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三</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多國產業政策及發展狀況瞬息萬變，文獻蒐集有時無法即時全然反映真實狀況，建議研究團隊多與有在地經驗的企業交流。</w:t>
            </w: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四</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研究結論請提出企業市場進入模式的建議。</w:t>
            </w:r>
          </w:p>
        </w:tc>
        <w:tc>
          <w:tcPr>
            <w:tcW w:w="1788" w:type="pct"/>
            <w:gridSpan w:val="3"/>
          </w:tcPr>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感謝委員意見。</w:t>
            </w:r>
          </w:p>
          <w:p w:rsidR="00C07360" w:rsidRPr="00C77E77" w:rsidRDefault="00C07360" w:rsidP="004A552C">
            <w:pPr>
              <w:adjustRightInd w:val="0"/>
              <w:snapToGrid w:val="0"/>
              <w:spacing w:line="0" w:lineRule="atLeast"/>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已舉辦三場座談會蒐集建言（附件五～八）、赴三個國家訪談（附件九～十一），以瞭解實際狀況。</w:t>
            </w:r>
          </w:p>
          <w:p w:rsidR="00C07360" w:rsidRPr="00C77E77" w:rsidRDefault="00C07360" w:rsidP="004A552C">
            <w:pPr>
              <w:adjustRightInd w:val="0"/>
              <w:snapToGrid w:val="0"/>
              <w:spacing w:line="0" w:lineRule="atLeast"/>
              <w:rPr>
                <w:rFonts w:ascii="Times New Roman" w:eastAsia="標楷體" w:hAnsi="Times New Roman" w:cs="Times New Roman"/>
                <w:szCs w:val="24"/>
              </w:rPr>
            </w:pPr>
          </w:p>
          <w:p w:rsidR="00C07360" w:rsidRPr="00C77E77" w:rsidRDefault="00C07360" w:rsidP="004A552C">
            <w:pPr>
              <w:adjustRightInd w:val="0"/>
              <w:snapToGrid w:val="0"/>
              <w:spacing w:line="0" w:lineRule="atLeast"/>
              <w:rPr>
                <w:rFonts w:ascii="Times New Roman" w:eastAsia="標楷體" w:hAnsi="Times New Roman" w:cs="Times New Roman"/>
                <w:szCs w:val="24"/>
              </w:rPr>
            </w:pPr>
          </w:p>
          <w:p w:rsidR="00C07360" w:rsidRPr="00C77E77" w:rsidRDefault="00C07360" w:rsidP="004A552C">
            <w:pPr>
              <w:adjustRightInd w:val="0"/>
              <w:snapToGrid w:val="0"/>
              <w:spacing w:line="0" w:lineRule="atLeast"/>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已遵照委員的意見，新增表</w:t>
            </w:r>
            <w:r w:rsidRPr="00C77E77">
              <w:rPr>
                <w:rFonts w:ascii="Times New Roman" w:eastAsia="標楷體" w:hAnsi="Times New Roman" w:cs="Times New Roman"/>
                <w:szCs w:val="24"/>
              </w:rPr>
              <w:t>5-2-13</w:t>
            </w:r>
            <w:r w:rsidRPr="00C77E77">
              <w:rPr>
                <w:rFonts w:ascii="Times New Roman" w:eastAsia="標楷體" w:hAnsi="Times New Roman" w:cs="Times New Roman"/>
                <w:szCs w:val="24"/>
              </w:rPr>
              <w:t>，從台灣利基為出發點，分析各項產業南向發展對於台灣本地經濟與就業的影響</w:t>
            </w:r>
            <w:r w:rsidRPr="00C77E77">
              <w:rPr>
                <w:rFonts w:ascii="Times New Roman" w:eastAsia="標楷體" w:hAnsi="Times New Roman" w:cs="Times New Roman"/>
                <w:color w:val="000000" w:themeColor="text1"/>
                <w:szCs w:val="24"/>
              </w:rPr>
              <w:t>，詳見</w:t>
            </w:r>
            <w:r w:rsidRPr="00C77E77">
              <w:rPr>
                <w:rFonts w:ascii="Times New Roman" w:eastAsia="標楷體" w:hAnsi="Times New Roman" w:cs="Times New Roman"/>
                <w:color w:val="000000" w:themeColor="text1"/>
                <w:szCs w:val="24"/>
              </w:rPr>
              <w:t>p.212-213</w:t>
            </w:r>
            <w:r w:rsidRPr="00C77E77">
              <w:rPr>
                <w:rFonts w:ascii="Times New Roman" w:eastAsia="標楷體" w:hAnsi="Times New Roman" w:cs="Times New Roman"/>
                <w:color w:val="000000" w:themeColor="text1"/>
                <w:szCs w:val="24"/>
              </w:rPr>
              <w:t>。</w:t>
            </w:r>
          </w:p>
          <w:p w:rsidR="00C07360" w:rsidRPr="00C77E77" w:rsidRDefault="00C07360" w:rsidP="004A552C">
            <w:pPr>
              <w:adjustRightInd w:val="0"/>
              <w:snapToGrid w:val="0"/>
              <w:spacing w:line="0" w:lineRule="atLeast"/>
              <w:rPr>
                <w:rFonts w:ascii="Times New Roman" w:eastAsia="標楷體" w:hAnsi="Times New Roman" w:cs="Times New Roman"/>
                <w:szCs w:val="24"/>
              </w:rPr>
            </w:pPr>
          </w:p>
          <w:p w:rsidR="00C07360" w:rsidRPr="00C77E77" w:rsidRDefault="00C07360" w:rsidP="004A552C">
            <w:pPr>
              <w:adjustRightInd w:val="0"/>
              <w:snapToGrid w:val="0"/>
              <w:spacing w:line="0" w:lineRule="atLeast"/>
              <w:rPr>
                <w:rFonts w:ascii="Times New Roman" w:eastAsia="標楷體" w:hAnsi="Times New Roman" w:cs="Times New Roman"/>
                <w:szCs w:val="24"/>
              </w:rPr>
            </w:pPr>
          </w:p>
          <w:p w:rsidR="00C07360" w:rsidRPr="00C77E77" w:rsidRDefault="00C07360" w:rsidP="004A552C">
            <w:pPr>
              <w:adjustRightInd w:val="0"/>
              <w:snapToGrid w:val="0"/>
              <w:spacing w:line="0" w:lineRule="atLeast"/>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三</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已遵照意見新增至建立示範場域之建議，詳見</w:t>
            </w:r>
            <w:r w:rsidRPr="00C77E77">
              <w:rPr>
                <w:rFonts w:ascii="Times New Roman" w:eastAsia="標楷體" w:hAnsi="Times New Roman" w:cs="Times New Roman"/>
                <w:szCs w:val="24"/>
              </w:rPr>
              <w:t>p. 172</w:t>
            </w:r>
            <w:r w:rsidRPr="00C77E77">
              <w:rPr>
                <w:rFonts w:ascii="Times New Roman" w:eastAsia="標楷體" w:hAnsi="Times New Roman" w:cs="Times New Roman"/>
                <w:szCs w:val="24"/>
              </w:rPr>
              <w:t>。</w:t>
            </w:r>
          </w:p>
          <w:p w:rsidR="00C07360" w:rsidRPr="00C77E77" w:rsidRDefault="00C07360" w:rsidP="004A552C">
            <w:pPr>
              <w:adjustRightInd w:val="0"/>
              <w:snapToGrid w:val="0"/>
              <w:spacing w:line="0" w:lineRule="atLeast"/>
              <w:rPr>
                <w:rFonts w:ascii="Times New Roman" w:eastAsia="標楷體" w:hAnsi="Times New Roman" w:cs="Times New Roman"/>
                <w:szCs w:val="24"/>
              </w:rPr>
            </w:pPr>
          </w:p>
          <w:p w:rsidR="00C07360" w:rsidRPr="00C77E77" w:rsidRDefault="00C07360" w:rsidP="004A552C">
            <w:pPr>
              <w:adjustRightInd w:val="0"/>
              <w:snapToGrid w:val="0"/>
              <w:spacing w:line="0" w:lineRule="atLeast"/>
              <w:rPr>
                <w:rFonts w:ascii="Times New Roman" w:eastAsia="標楷體" w:hAnsi="Times New Roman" w:cs="Times New Roman"/>
                <w:szCs w:val="24"/>
              </w:rPr>
            </w:pPr>
          </w:p>
          <w:p w:rsidR="00C07360" w:rsidRPr="00C77E77" w:rsidRDefault="00C07360" w:rsidP="004A552C">
            <w:pPr>
              <w:adjustRightInd w:val="0"/>
              <w:snapToGrid w:val="0"/>
              <w:spacing w:line="0" w:lineRule="atLeast"/>
              <w:rPr>
                <w:rFonts w:ascii="Times New Roman" w:eastAsia="標楷體" w:hAnsi="Times New Roman" w:cs="Times New Roman"/>
                <w:bCs/>
                <w:color w:val="000000"/>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四</w:t>
            </w:r>
            <w:r w:rsidRPr="00C77E77">
              <w:rPr>
                <w:rFonts w:ascii="Times New Roman" w:eastAsia="標楷體" w:hAnsi="Times New Roman" w:cs="Times New Roman"/>
                <w:szCs w:val="24"/>
              </w:rPr>
              <w:t>)</w:t>
            </w:r>
            <w:r w:rsidRPr="00C77E77">
              <w:rPr>
                <w:rFonts w:ascii="Times New Roman" w:eastAsia="標楷體" w:hAnsi="Times New Roman" w:cs="Times New Roman"/>
                <w:bCs/>
                <w:color w:val="000000"/>
                <w:szCs w:val="24"/>
              </w:rPr>
              <w:t xml:space="preserve"> </w:t>
            </w:r>
            <w:r w:rsidRPr="00C77E77">
              <w:rPr>
                <w:rFonts w:ascii="Times New Roman" w:eastAsia="標楷體" w:hAnsi="Times New Roman" w:cs="Times New Roman"/>
                <w:bCs/>
                <w:color w:val="000000"/>
                <w:szCs w:val="24"/>
              </w:rPr>
              <w:t>已針對「</w:t>
            </w:r>
            <w:r w:rsidRPr="00C77E77">
              <w:rPr>
                <w:rFonts w:ascii="Times New Roman" w:eastAsia="標楷體" w:hAnsi="Times New Roman" w:cs="Times New Roman"/>
                <w:bCs/>
                <w:color w:val="000000"/>
                <w:szCs w:val="24"/>
              </w:rPr>
              <w:t>10+2</w:t>
            </w:r>
            <w:r w:rsidRPr="00C77E77">
              <w:rPr>
                <w:rFonts w:ascii="Times New Roman" w:eastAsia="標楷體" w:hAnsi="Times New Roman" w:cs="Times New Roman"/>
                <w:bCs/>
                <w:color w:val="000000"/>
                <w:szCs w:val="24"/>
              </w:rPr>
              <w:t>」個別產業在不同國家可以切入的方式提出建議。詳見下列位置：電子收費</w:t>
            </w:r>
            <w:r w:rsidRPr="00C77E77">
              <w:rPr>
                <w:rFonts w:ascii="Times New Roman" w:eastAsia="標楷體" w:hAnsi="Times New Roman" w:cs="Times New Roman"/>
                <w:bCs/>
                <w:color w:val="000000"/>
                <w:szCs w:val="24"/>
              </w:rPr>
              <w:t>p. 182-183</w:t>
            </w:r>
            <w:r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電子化政府</w:t>
            </w:r>
            <w:r w:rsidRPr="00C77E77">
              <w:rPr>
                <w:rFonts w:ascii="Times New Roman" w:eastAsia="標楷體" w:hAnsi="Times New Roman" w:cs="Times New Roman"/>
                <w:bCs/>
                <w:color w:val="000000"/>
                <w:szCs w:val="24"/>
              </w:rPr>
              <w:t xml:space="preserve"> p.184</w:t>
            </w:r>
            <w:r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智慧校園</w:t>
            </w:r>
            <w:r w:rsidRPr="00C77E77">
              <w:rPr>
                <w:rFonts w:ascii="Times New Roman" w:eastAsia="標楷體" w:hAnsi="Times New Roman" w:cs="Times New Roman"/>
                <w:bCs/>
                <w:color w:val="000000"/>
                <w:szCs w:val="24"/>
              </w:rPr>
              <w:t>p.185-186</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電子商務</w:t>
            </w:r>
            <w:r w:rsidRPr="00C77E77">
              <w:rPr>
                <w:rFonts w:ascii="Times New Roman" w:eastAsia="標楷體" w:hAnsi="Times New Roman" w:cs="Times New Roman"/>
                <w:bCs/>
                <w:color w:val="000000"/>
                <w:szCs w:val="24"/>
              </w:rPr>
              <w:t>p.188-190</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智慧物流</w:t>
            </w:r>
            <w:r w:rsidRPr="00C77E77">
              <w:rPr>
                <w:rFonts w:ascii="Times New Roman" w:eastAsia="標楷體" w:hAnsi="Times New Roman" w:cs="Times New Roman"/>
                <w:bCs/>
                <w:color w:val="000000"/>
                <w:szCs w:val="24"/>
              </w:rPr>
              <w:t>p.191-194</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雲端系統</w:t>
            </w:r>
            <w:r w:rsidRPr="00C77E77">
              <w:rPr>
                <w:rFonts w:ascii="Times New Roman" w:eastAsia="標楷體" w:hAnsi="Times New Roman" w:cs="Times New Roman"/>
                <w:bCs/>
                <w:color w:val="000000"/>
                <w:szCs w:val="24"/>
              </w:rPr>
              <w:t>p.196-197</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太陽能產業</w:t>
            </w:r>
            <w:r w:rsidRPr="00C77E77">
              <w:rPr>
                <w:rFonts w:ascii="Times New Roman" w:eastAsia="標楷體" w:hAnsi="Times New Roman" w:cs="Times New Roman"/>
                <w:bCs/>
                <w:color w:val="000000"/>
                <w:szCs w:val="24"/>
              </w:rPr>
              <w:t>p.197-198</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LED p.199-200</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綠色運輸</w:t>
            </w:r>
            <w:r w:rsidRPr="00C77E77">
              <w:rPr>
                <w:rFonts w:ascii="Times New Roman" w:eastAsia="標楷體" w:hAnsi="Times New Roman" w:cs="Times New Roman"/>
                <w:bCs/>
                <w:color w:val="000000"/>
                <w:szCs w:val="24"/>
              </w:rPr>
              <w:t>p.201</w:t>
            </w:r>
            <w:r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石化</w:t>
            </w:r>
            <w:r w:rsidRPr="00C77E77">
              <w:rPr>
                <w:rFonts w:ascii="Times New Roman" w:eastAsia="標楷體" w:hAnsi="Times New Roman" w:cs="Times New Roman"/>
                <w:bCs/>
                <w:color w:val="000000"/>
                <w:szCs w:val="24"/>
              </w:rPr>
              <w:t>p.202-203</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智慧健康</w:t>
            </w:r>
            <w:r w:rsidRPr="00C77E77">
              <w:rPr>
                <w:rFonts w:ascii="Times New Roman" w:eastAsia="標楷體" w:hAnsi="Times New Roman" w:cs="Times New Roman"/>
                <w:bCs/>
                <w:color w:val="000000"/>
                <w:szCs w:val="24"/>
              </w:rPr>
              <w:t>p.204-206</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465"/>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新農業</w:t>
            </w:r>
            <w:r w:rsidRPr="00C77E77">
              <w:rPr>
                <w:rFonts w:ascii="Times New Roman" w:eastAsia="標楷體" w:hAnsi="Times New Roman" w:cs="Times New Roman"/>
                <w:bCs/>
                <w:color w:val="000000"/>
                <w:szCs w:val="24"/>
              </w:rPr>
              <w:t>p. 209-212</w:t>
            </w:r>
            <w:r w:rsidRPr="00C77E77">
              <w:rPr>
                <w:rFonts w:ascii="Times New Roman" w:eastAsia="標楷體" w:hAnsi="Times New Roman" w:cs="Times New Roman"/>
                <w:bCs/>
                <w:color w:val="000000"/>
                <w:szCs w:val="24"/>
              </w:rPr>
              <w:t>。</w:t>
            </w:r>
          </w:p>
        </w:tc>
      </w:tr>
      <w:tr w:rsidR="00C07360" w:rsidRPr="00C77E77" w:rsidTr="004A552C">
        <w:trPr>
          <w:trHeight w:val="567"/>
          <w:tblHeader/>
        </w:trPr>
        <w:tc>
          <w:tcPr>
            <w:tcW w:w="5000" w:type="pct"/>
            <w:gridSpan w:val="4"/>
            <w:shd w:val="clear" w:color="auto" w:fill="auto"/>
            <w:vAlign w:val="center"/>
          </w:tcPr>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t>行政院公共工程委員會</w:t>
            </w:r>
          </w:p>
        </w:tc>
      </w:tr>
      <w:tr w:rsidR="00C07360" w:rsidRPr="00C77E77" w:rsidTr="004A552C">
        <w:trPr>
          <w:trHeight w:val="567"/>
        </w:trPr>
        <w:tc>
          <w:tcPr>
            <w:tcW w:w="3212" w:type="pct"/>
          </w:tcPr>
          <w:p w:rsidR="00C07360" w:rsidRPr="00C77E77" w:rsidRDefault="00C07360" w:rsidP="004A552C">
            <w:pPr>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行政院公共工程委員會於</w:t>
            </w:r>
            <w:r w:rsidRPr="00C77E77">
              <w:rPr>
                <w:rFonts w:ascii="Times New Roman" w:eastAsia="標楷體" w:hAnsi="Times New Roman" w:cs="Times New Roman"/>
                <w:szCs w:val="24"/>
              </w:rPr>
              <w:t>103</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6</w:t>
            </w:r>
            <w:r w:rsidRPr="00C77E77">
              <w:rPr>
                <w:rFonts w:ascii="Times New Roman" w:eastAsia="標楷體" w:hAnsi="Times New Roman" w:cs="Times New Roman"/>
                <w:szCs w:val="24"/>
              </w:rPr>
              <w:t>月</w:t>
            </w:r>
            <w:r w:rsidRPr="00C77E77">
              <w:rPr>
                <w:rFonts w:ascii="Times New Roman" w:eastAsia="標楷體" w:hAnsi="Times New Roman" w:cs="Times New Roman"/>
                <w:szCs w:val="24"/>
              </w:rPr>
              <w:t>16</w:t>
            </w:r>
            <w:r w:rsidRPr="00C77E77">
              <w:rPr>
                <w:rFonts w:ascii="Times New Roman" w:eastAsia="標楷體" w:hAnsi="Times New Roman" w:cs="Times New Roman"/>
                <w:szCs w:val="24"/>
              </w:rPr>
              <w:t>日，奉行政</w:t>
            </w:r>
            <w:r w:rsidRPr="00C77E77">
              <w:rPr>
                <w:rFonts w:ascii="Times New Roman" w:eastAsia="標楷體" w:hAnsi="Times New Roman" w:cs="Times New Roman"/>
                <w:szCs w:val="24"/>
              </w:rPr>
              <w:lastRenderedPageBreak/>
              <w:t>院核定「工程產業全球化推動方案（政策白皮書）」，另於</w:t>
            </w:r>
            <w:r w:rsidRPr="00C77E77">
              <w:rPr>
                <w:rFonts w:ascii="Times New Roman" w:eastAsia="標楷體" w:hAnsi="Times New Roman" w:cs="Times New Roman"/>
                <w:szCs w:val="24"/>
              </w:rPr>
              <w:t>104</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10</w:t>
            </w:r>
            <w:r w:rsidRPr="00C77E77">
              <w:rPr>
                <w:rFonts w:ascii="Times New Roman" w:eastAsia="標楷體" w:hAnsi="Times New Roman" w:cs="Times New Roman"/>
                <w:szCs w:val="24"/>
              </w:rPr>
              <w:t>月</w:t>
            </w:r>
            <w:r w:rsidRPr="00C77E77">
              <w:rPr>
                <w:rFonts w:ascii="Times New Roman" w:eastAsia="標楷體" w:hAnsi="Times New Roman" w:cs="Times New Roman"/>
                <w:szCs w:val="24"/>
              </w:rPr>
              <w:t>28</w:t>
            </w:r>
            <w:r w:rsidRPr="00C77E77">
              <w:rPr>
                <w:rFonts w:ascii="Times New Roman" w:eastAsia="標楷體" w:hAnsi="Times New Roman" w:cs="Times New Roman"/>
                <w:szCs w:val="24"/>
              </w:rPr>
              <w:t>日召開「工程產業全球化全國會議」，據以修正白皮書，</w:t>
            </w:r>
            <w:r w:rsidRPr="00C77E77">
              <w:rPr>
                <w:rFonts w:ascii="Times New Roman" w:eastAsia="標楷體" w:hAnsi="Times New Roman" w:cs="Times New Roman"/>
                <w:szCs w:val="24"/>
              </w:rPr>
              <w:t>105</w:t>
            </w:r>
            <w:r w:rsidRPr="00C77E77">
              <w:rPr>
                <w:rFonts w:ascii="Times New Roman" w:eastAsia="標楷體" w:hAnsi="Times New Roman" w:cs="Times New Roman"/>
                <w:szCs w:val="24"/>
              </w:rPr>
              <w:t>年</w:t>
            </w:r>
            <w:r w:rsidRPr="00C77E77">
              <w:rPr>
                <w:rFonts w:ascii="Times New Roman" w:eastAsia="標楷體" w:hAnsi="Times New Roman" w:cs="Times New Roman"/>
                <w:szCs w:val="24"/>
              </w:rPr>
              <w:t>2</w:t>
            </w:r>
            <w:r w:rsidRPr="00C77E77">
              <w:rPr>
                <w:rFonts w:ascii="Times New Roman" w:eastAsia="標楷體" w:hAnsi="Times New Roman" w:cs="Times New Roman"/>
                <w:szCs w:val="24"/>
              </w:rPr>
              <w:t>月並奉院核定修正，於</w:t>
            </w:r>
            <w:r w:rsidRPr="00C77E77">
              <w:rPr>
                <w:rFonts w:ascii="Times New Roman" w:eastAsia="標楷體" w:hAnsi="Times New Roman" w:cs="Times New Roman"/>
                <w:szCs w:val="24"/>
              </w:rPr>
              <w:t>4</w:t>
            </w:r>
            <w:r w:rsidRPr="00C77E77">
              <w:rPr>
                <w:rFonts w:ascii="Times New Roman" w:eastAsia="標楷體" w:hAnsi="Times New Roman" w:cs="Times New Roman"/>
                <w:szCs w:val="24"/>
              </w:rPr>
              <w:t>年內投入</w:t>
            </w:r>
            <w:r w:rsidRPr="00C77E77">
              <w:rPr>
                <w:rFonts w:ascii="Times New Roman" w:eastAsia="標楷體" w:hAnsi="Times New Roman" w:cs="Times New Roman"/>
                <w:szCs w:val="24"/>
              </w:rPr>
              <w:t>4.7</w:t>
            </w:r>
            <w:r w:rsidRPr="00C77E77">
              <w:rPr>
                <w:rFonts w:ascii="Times New Roman" w:eastAsia="標楷體" w:hAnsi="Times New Roman" w:cs="Times New Roman"/>
                <w:szCs w:val="24"/>
              </w:rPr>
              <w:t>億元經費並成立石化、發電廠、土壤及地下水污染整治、</w:t>
            </w:r>
            <w:r w:rsidRPr="00C77E77">
              <w:rPr>
                <w:rFonts w:ascii="Times New Roman" w:eastAsia="標楷體" w:hAnsi="Times New Roman" w:cs="Times New Roman"/>
                <w:szCs w:val="24"/>
              </w:rPr>
              <w:t>ETC</w:t>
            </w:r>
            <w:r w:rsidRPr="00C77E77">
              <w:rPr>
                <w:rFonts w:ascii="Times New Roman" w:eastAsia="標楷體" w:hAnsi="Times New Roman" w:cs="Times New Roman"/>
                <w:szCs w:val="24"/>
              </w:rPr>
              <w:t>及都會捷運等</w:t>
            </w:r>
            <w:r w:rsidRPr="00C77E77">
              <w:rPr>
                <w:rFonts w:ascii="Times New Roman" w:eastAsia="標楷體" w:hAnsi="Times New Roman" w:cs="Times New Roman"/>
                <w:szCs w:val="24"/>
              </w:rPr>
              <w:t>5</w:t>
            </w:r>
            <w:r w:rsidRPr="00C77E77">
              <w:rPr>
                <w:rFonts w:ascii="Times New Roman" w:eastAsia="標楷體" w:hAnsi="Times New Roman" w:cs="Times New Roman"/>
                <w:szCs w:val="24"/>
              </w:rPr>
              <w:t>大海外輸出旗艦團隊，其中石化與</w:t>
            </w:r>
            <w:r w:rsidRPr="00C77E77">
              <w:rPr>
                <w:rFonts w:ascii="Times New Roman" w:eastAsia="標楷體" w:hAnsi="Times New Roman" w:cs="Times New Roman"/>
                <w:szCs w:val="24"/>
              </w:rPr>
              <w:t>ETC</w:t>
            </w:r>
            <w:r w:rsidRPr="00C77E77">
              <w:rPr>
                <w:rFonts w:ascii="Times New Roman" w:eastAsia="標楷體" w:hAnsi="Times New Roman" w:cs="Times New Roman"/>
                <w:szCs w:val="24"/>
              </w:rPr>
              <w:t>已涵蓋於本報告。</w:t>
            </w:r>
          </w:p>
          <w:p w:rsidR="00C07360" w:rsidRPr="00C77E77" w:rsidRDefault="00C07360" w:rsidP="004A552C">
            <w:pPr>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自去</w:t>
            </w:r>
            <w:r w:rsidRPr="00C77E77">
              <w:rPr>
                <w:rFonts w:ascii="Times New Roman" w:eastAsia="標楷體" w:hAnsi="Times New Roman" w:cs="Times New Roman"/>
                <w:szCs w:val="24"/>
              </w:rPr>
              <w:t>(104)</w:t>
            </w:r>
            <w:r w:rsidRPr="00C77E77">
              <w:rPr>
                <w:rFonts w:ascii="Times New Roman" w:eastAsia="標楷體" w:hAnsi="Times New Roman" w:cs="Times New Roman"/>
                <w:szCs w:val="24"/>
              </w:rPr>
              <w:t>年起，工程會每年編列</w:t>
            </w:r>
            <w:r w:rsidRPr="00C77E77">
              <w:rPr>
                <w:rFonts w:ascii="Times New Roman" w:eastAsia="標楷體" w:hAnsi="Times New Roman" w:cs="Times New Roman"/>
                <w:szCs w:val="24"/>
              </w:rPr>
              <w:t>1,600</w:t>
            </w:r>
            <w:r w:rsidRPr="00C77E77">
              <w:rPr>
                <w:rFonts w:ascii="Times New Roman" w:eastAsia="標楷體" w:hAnsi="Times New Roman" w:cs="Times New Roman"/>
                <w:szCs w:val="24"/>
              </w:rPr>
              <w:t>萬元預算，協助工程業者到海外地方拓點，包括設立新據點或擴大既有據點，今年核定經費補助於東協及南亞國家約占</w:t>
            </w:r>
            <w:r w:rsidRPr="00C77E77">
              <w:rPr>
                <w:rFonts w:ascii="Times New Roman" w:eastAsia="標楷體" w:hAnsi="Times New Roman" w:cs="Times New Roman"/>
                <w:szCs w:val="24"/>
              </w:rPr>
              <w:t>42%</w:t>
            </w:r>
            <w:r w:rsidRPr="00C77E77">
              <w:rPr>
                <w:rFonts w:ascii="Times New Roman" w:eastAsia="標楷體" w:hAnsi="Times New Roman" w:cs="Times New Roman"/>
                <w:szCs w:val="24"/>
              </w:rPr>
              <w:t>。</w:t>
            </w:r>
          </w:p>
          <w:p w:rsidR="00C07360" w:rsidRPr="00C77E77" w:rsidRDefault="00C07360" w:rsidP="004A552C">
            <w:pPr>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三</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報告第</w:t>
            </w:r>
            <w:r w:rsidRPr="00C77E77">
              <w:rPr>
                <w:rFonts w:ascii="Times New Roman" w:eastAsia="標楷體" w:hAnsi="Times New Roman" w:cs="Times New Roman"/>
                <w:szCs w:val="24"/>
              </w:rPr>
              <w:t>66</w:t>
            </w:r>
            <w:r w:rsidRPr="00C77E77">
              <w:rPr>
                <w:rFonts w:ascii="Times New Roman" w:eastAsia="標楷體" w:hAnsi="Times New Roman" w:cs="Times New Roman"/>
                <w:szCs w:val="24"/>
              </w:rPr>
              <w:t>頁整理東南亞國家與印度開放外人投資之重點產業，基礎建設方面提到的是電信、公路運輸、能源，希望能進一步作細項分類，並與</w:t>
            </w:r>
            <w:r w:rsidRPr="00C77E77">
              <w:rPr>
                <w:rFonts w:ascii="Times New Roman" w:eastAsia="標楷體" w:hAnsi="Times New Roman" w:cs="Times New Roman"/>
                <w:szCs w:val="24"/>
              </w:rPr>
              <w:t>5</w:t>
            </w:r>
            <w:r w:rsidRPr="00C77E77">
              <w:rPr>
                <w:rFonts w:ascii="Times New Roman" w:eastAsia="標楷體" w:hAnsi="Times New Roman" w:cs="Times New Roman"/>
                <w:szCs w:val="24"/>
              </w:rPr>
              <w:t>大海外輸出旗艦團隊做連結，俾提供業者參考。</w:t>
            </w:r>
          </w:p>
        </w:tc>
        <w:tc>
          <w:tcPr>
            <w:tcW w:w="1788" w:type="pct"/>
            <w:gridSpan w:val="3"/>
          </w:tcPr>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lastRenderedPageBreak/>
              <w:t>感謝委員意見。</w:t>
            </w:r>
          </w:p>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lastRenderedPageBreak/>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感謝委員建議，已新增至第三章、第四章產業之盤點。</w:t>
            </w:r>
          </w:p>
          <w:p w:rsidR="00C07360" w:rsidRPr="00C77E77" w:rsidRDefault="00C07360" w:rsidP="004A552C">
            <w:pPr>
              <w:pStyle w:val="ab"/>
              <w:adjustRightInd w:val="0"/>
              <w:snapToGrid w:val="0"/>
              <w:spacing w:beforeLines="50" w:before="180" w:afterLines="50" w:after="180" w:line="0" w:lineRule="atLeast"/>
              <w:ind w:leftChars="0" w:left="540"/>
              <w:jc w:val="both"/>
              <w:rPr>
                <w:rFonts w:ascii="Times New Roman" w:eastAsia="標楷體" w:hAnsi="Times New Roman" w:cs="Times New Roman"/>
                <w:szCs w:val="24"/>
              </w:rPr>
            </w:pPr>
          </w:p>
          <w:p w:rsidR="00C07360" w:rsidRPr="00C77E77" w:rsidRDefault="00C07360" w:rsidP="004A552C">
            <w:pPr>
              <w:pStyle w:val="ab"/>
              <w:adjustRightInd w:val="0"/>
              <w:snapToGrid w:val="0"/>
              <w:spacing w:beforeLines="50" w:before="180" w:afterLines="50" w:after="180" w:line="0" w:lineRule="atLeast"/>
              <w:ind w:leftChars="0" w:left="540"/>
              <w:jc w:val="both"/>
              <w:rPr>
                <w:rFonts w:ascii="Times New Roman" w:eastAsia="標楷體" w:hAnsi="Times New Roman" w:cs="Times New Roman"/>
                <w:szCs w:val="24"/>
              </w:rPr>
            </w:pPr>
          </w:p>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感謝委員建議，已新增至第三章、第四章產業之盤點。</w:t>
            </w:r>
          </w:p>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p>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bCs/>
                <w:color w:val="000000"/>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三</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感謝委員建議，</w:t>
            </w:r>
            <w:r w:rsidRPr="00C77E77">
              <w:rPr>
                <w:rFonts w:ascii="Times New Roman" w:eastAsia="標楷體" w:hAnsi="Times New Roman" w:cs="Times New Roman"/>
                <w:color w:val="000000"/>
                <w:szCs w:val="24"/>
              </w:rPr>
              <w:t>已重新彙整表</w:t>
            </w:r>
            <w:r w:rsidRPr="00C77E77">
              <w:rPr>
                <w:rFonts w:ascii="Times New Roman" w:eastAsia="標楷體" w:hAnsi="Times New Roman" w:cs="Times New Roman"/>
                <w:color w:val="000000"/>
                <w:szCs w:val="24"/>
              </w:rPr>
              <w:t>2-3-12</w:t>
            </w:r>
            <w:r w:rsidRPr="00C77E77">
              <w:rPr>
                <w:rFonts w:ascii="Times New Roman" w:eastAsia="標楷體" w:hAnsi="Times New Roman" w:cs="Times New Roman"/>
                <w:color w:val="000000"/>
                <w:szCs w:val="24"/>
              </w:rPr>
              <w:t>。</w:t>
            </w:r>
          </w:p>
        </w:tc>
      </w:tr>
      <w:tr w:rsidR="00C07360" w:rsidRPr="00C77E77" w:rsidTr="004A552C">
        <w:trPr>
          <w:trHeight w:val="567"/>
          <w:tblHeader/>
        </w:trPr>
        <w:tc>
          <w:tcPr>
            <w:tcW w:w="5000" w:type="pct"/>
            <w:gridSpan w:val="4"/>
            <w:shd w:val="clear" w:color="auto" w:fill="auto"/>
            <w:vAlign w:val="center"/>
          </w:tcPr>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shd w:val="pct15" w:color="auto" w:fill="FFFFFF"/>
              </w:rPr>
            </w:pPr>
            <w:r w:rsidRPr="00C77E77">
              <w:rPr>
                <w:rFonts w:ascii="Times New Roman" w:eastAsia="標楷體" w:hAnsi="Times New Roman" w:cs="Times New Roman"/>
                <w:szCs w:val="24"/>
              </w:rPr>
              <w:lastRenderedPageBreak/>
              <w:t>行政院農業委員會</w:t>
            </w:r>
          </w:p>
        </w:tc>
      </w:tr>
      <w:tr w:rsidR="00C07360" w:rsidRPr="00C77E77" w:rsidTr="004A552C">
        <w:trPr>
          <w:trHeight w:val="567"/>
        </w:trPr>
        <w:tc>
          <w:tcPr>
            <w:tcW w:w="3223" w:type="pct"/>
            <w:gridSpan w:val="2"/>
          </w:tcPr>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報告第</w:t>
            </w:r>
            <w:r w:rsidRPr="00C77E77">
              <w:rPr>
                <w:rFonts w:ascii="Times New Roman" w:eastAsia="標楷體" w:hAnsi="Times New Roman" w:cs="Times New Roman"/>
                <w:szCs w:val="24"/>
              </w:rPr>
              <w:t>66</w:t>
            </w:r>
            <w:r w:rsidRPr="00C77E77">
              <w:rPr>
                <w:rFonts w:ascii="Times New Roman" w:eastAsia="標楷體" w:hAnsi="Times New Roman" w:cs="Times New Roman"/>
                <w:szCs w:val="24"/>
              </w:rPr>
              <w:t>頁提及柬埔寨、印尼與印度開放外人投資農業，惟簡報第</w:t>
            </w:r>
            <w:r w:rsidRPr="00C77E77">
              <w:rPr>
                <w:rFonts w:ascii="Times New Roman" w:eastAsia="標楷體" w:hAnsi="Times New Roman" w:cs="Times New Roman"/>
                <w:szCs w:val="24"/>
              </w:rPr>
              <w:t>9</w:t>
            </w:r>
            <w:r w:rsidRPr="00C77E77">
              <w:rPr>
                <w:rFonts w:ascii="Times New Roman" w:eastAsia="標楷體" w:hAnsi="Times New Roman" w:cs="Times New Roman"/>
                <w:szCs w:val="24"/>
              </w:rPr>
              <w:t>頁</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約當報告第</w:t>
            </w:r>
            <w:r w:rsidRPr="00C77E77">
              <w:rPr>
                <w:rFonts w:ascii="Times New Roman" w:eastAsia="標楷體" w:hAnsi="Times New Roman" w:cs="Times New Roman"/>
                <w:szCs w:val="24"/>
              </w:rPr>
              <w:t>167</w:t>
            </w:r>
            <w:r w:rsidRPr="00C77E77">
              <w:rPr>
                <w:rFonts w:ascii="Times New Roman" w:eastAsia="標楷體" w:hAnsi="Times New Roman" w:cs="Times New Roman"/>
                <w:szCs w:val="24"/>
              </w:rPr>
              <w:t>至</w:t>
            </w:r>
            <w:r w:rsidRPr="00C77E77">
              <w:rPr>
                <w:rFonts w:ascii="Times New Roman" w:eastAsia="標楷體" w:hAnsi="Times New Roman" w:cs="Times New Roman"/>
                <w:szCs w:val="24"/>
              </w:rPr>
              <w:t>168</w:t>
            </w:r>
            <w:r w:rsidRPr="00C77E77">
              <w:rPr>
                <w:rFonts w:ascii="Times New Roman" w:eastAsia="標楷體" w:hAnsi="Times New Roman" w:cs="Times New Roman"/>
                <w:szCs w:val="24"/>
              </w:rPr>
              <w:t>頁</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探討新農業南向發展之機會與挑戰時，卻完全未提及此事，應加強報告前後連結。</w:t>
            </w: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簡報第</w:t>
            </w:r>
            <w:r w:rsidRPr="00C77E77">
              <w:rPr>
                <w:rFonts w:ascii="Times New Roman" w:eastAsia="標楷體" w:hAnsi="Times New Roman" w:cs="Times New Roman"/>
                <w:szCs w:val="24"/>
              </w:rPr>
              <w:t>19</w:t>
            </w:r>
            <w:r w:rsidRPr="00C77E77">
              <w:rPr>
                <w:rFonts w:ascii="Times New Roman" w:eastAsia="標楷體" w:hAnsi="Times New Roman" w:cs="Times New Roman"/>
                <w:szCs w:val="24"/>
              </w:rPr>
              <w:t>頁</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約當報告第</w:t>
            </w:r>
            <w:r w:rsidRPr="00C77E77">
              <w:rPr>
                <w:rFonts w:ascii="Times New Roman" w:eastAsia="標楷體" w:hAnsi="Times New Roman" w:cs="Times New Roman"/>
                <w:szCs w:val="24"/>
              </w:rPr>
              <w:t>183</w:t>
            </w:r>
            <w:r w:rsidRPr="00C77E77">
              <w:rPr>
                <w:rFonts w:ascii="Times New Roman" w:eastAsia="標楷體" w:hAnsi="Times New Roman" w:cs="Times New Roman"/>
                <w:szCs w:val="24"/>
              </w:rPr>
              <w:t>頁</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將緬甸評為最適合進行新農業輸出的國家，建議強化研究論述。</w:t>
            </w:r>
          </w:p>
          <w:p w:rsidR="00C07360" w:rsidRPr="00C77E77" w:rsidRDefault="00C07360" w:rsidP="004A552C">
            <w:pPr>
              <w:widowControl/>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三</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農委會現正積極規劃「農業新南向」，希望能從這份研究案了解，農業走出去之後如何回饋國內農業及相關產業。</w:t>
            </w:r>
          </w:p>
        </w:tc>
        <w:tc>
          <w:tcPr>
            <w:tcW w:w="1777" w:type="pct"/>
            <w:gridSpan w:val="2"/>
          </w:tcPr>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感謝委員意見。</w:t>
            </w:r>
          </w:p>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感謝委員建議，已強化新農業在第二章、第四章、第五章之前後連結部分。</w:t>
            </w:r>
          </w:p>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bCs/>
                <w:color w:val="000000"/>
                <w:szCs w:val="24"/>
              </w:rPr>
            </w:pPr>
          </w:p>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二</w:t>
            </w: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已於</w:t>
            </w:r>
            <w:r w:rsidRPr="00C77E77">
              <w:rPr>
                <w:rFonts w:ascii="Times New Roman" w:eastAsia="標楷體" w:hAnsi="Times New Roman" w:cs="Times New Roman"/>
                <w:bCs/>
                <w:color w:val="000000"/>
                <w:szCs w:val="24"/>
              </w:rPr>
              <w:t>p.209-210</w:t>
            </w:r>
            <w:r w:rsidRPr="00C77E77">
              <w:rPr>
                <w:rFonts w:ascii="Times New Roman" w:eastAsia="標楷體" w:hAnsi="Times New Roman" w:cs="Times New Roman"/>
                <w:bCs/>
                <w:color w:val="000000"/>
                <w:szCs w:val="24"/>
              </w:rPr>
              <w:t>強化對緬甸之論述。</w:t>
            </w:r>
            <w:r w:rsidRPr="00C77E77">
              <w:rPr>
                <w:rFonts w:ascii="Times New Roman" w:eastAsia="標楷體" w:hAnsi="Times New Roman" w:cs="Times New Roman"/>
                <w:bCs/>
                <w:color w:val="000000"/>
                <w:szCs w:val="24"/>
              </w:rPr>
              <w:t xml:space="preserve"> </w:t>
            </w:r>
          </w:p>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三</w:t>
            </w: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已於</w:t>
            </w:r>
            <w:r w:rsidRPr="00C77E77">
              <w:rPr>
                <w:rFonts w:ascii="Times New Roman" w:eastAsia="標楷體" w:hAnsi="Times New Roman" w:cs="Times New Roman"/>
                <w:bCs/>
                <w:color w:val="000000"/>
                <w:szCs w:val="24"/>
              </w:rPr>
              <w:t>p. 209-212</w:t>
            </w:r>
            <w:r w:rsidRPr="00C77E77">
              <w:rPr>
                <w:rFonts w:ascii="Times New Roman" w:eastAsia="標楷體" w:hAnsi="Times New Roman" w:cs="Times New Roman"/>
                <w:bCs/>
                <w:color w:val="000000"/>
                <w:szCs w:val="24"/>
              </w:rPr>
              <w:t>提出新農業之短中長期策略建議。</w:t>
            </w:r>
          </w:p>
        </w:tc>
      </w:tr>
      <w:tr w:rsidR="00C07360" w:rsidRPr="00C77E77" w:rsidTr="004A552C">
        <w:trPr>
          <w:trHeight w:val="672"/>
        </w:trPr>
        <w:tc>
          <w:tcPr>
            <w:tcW w:w="5000" w:type="pct"/>
            <w:gridSpan w:val="4"/>
            <w:shd w:val="clear" w:color="auto" w:fill="auto"/>
            <w:vAlign w:val="center"/>
          </w:tcPr>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t>經濟部國際貿易局</w:t>
            </w:r>
          </w:p>
        </w:tc>
      </w:tr>
      <w:tr w:rsidR="00C07360" w:rsidRPr="00C77E77" w:rsidTr="004A552C">
        <w:trPr>
          <w:trHeight w:val="567"/>
        </w:trPr>
        <w:tc>
          <w:tcPr>
            <w:tcW w:w="3223" w:type="pct"/>
            <w:gridSpan w:val="2"/>
          </w:tcPr>
          <w:p w:rsidR="00C07360" w:rsidRPr="00C77E77" w:rsidRDefault="00C07360" w:rsidP="004A552C">
            <w:pPr>
              <w:pStyle w:val="a3"/>
              <w:snapToGrid w:val="0"/>
              <w:spacing w:before="50" w:after="50" w:line="0" w:lineRule="atLeast"/>
              <w:jc w:val="both"/>
              <w:rPr>
                <w:b w:val="0"/>
                <w:sz w:val="24"/>
              </w:rPr>
            </w:pPr>
            <w:r w:rsidRPr="00C77E77">
              <w:rPr>
                <w:b w:val="0"/>
                <w:sz w:val="24"/>
              </w:rPr>
              <w:t>(</w:t>
            </w:r>
            <w:r w:rsidRPr="00C77E77">
              <w:rPr>
                <w:b w:val="0"/>
                <w:sz w:val="24"/>
              </w:rPr>
              <w:t>一</w:t>
            </w:r>
            <w:r w:rsidRPr="00C77E77">
              <w:rPr>
                <w:b w:val="0"/>
                <w:sz w:val="24"/>
              </w:rPr>
              <w:t>)</w:t>
            </w:r>
            <w:r w:rsidRPr="00C77E77">
              <w:rPr>
                <w:b w:val="0"/>
                <w:sz w:val="24"/>
              </w:rPr>
              <w:t>新南向政策是把東南亞及南亞視為我內需市場的延伸，與過去最大的不同在於心態，著重於雙向交流，故報告應補充說明雙向交流會遇到哪些困難，建議在後續研討會與業者進行交流。</w:t>
            </w:r>
          </w:p>
          <w:p w:rsidR="00C07360" w:rsidRPr="00C77E77" w:rsidRDefault="00C07360" w:rsidP="004A552C">
            <w:pPr>
              <w:pStyle w:val="a3"/>
              <w:snapToGrid w:val="0"/>
              <w:spacing w:before="50" w:after="50" w:line="0" w:lineRule="atLeast"/>
              <w:jc w:val="both"/>
              <w:rPr>
                <w:b w:val="0"/>
                <w:sz w:val="24"/>
              </w:rPr>
            </w:pPr>
          </w:p>
          <w:p w:rsidR="00EE38F5" w:rsidRPr="00C77E77" w:rsidRDefault="00EE38F5" w:rsidP="004A552C">
            <w:pPr>
              <w:pStyle w:val="a3"/>
              <w:snapToGrid w:val="0"/>
              <w:spacing w:before="50" w:after="50" w:line="0" w:lineRule="atLeast"/>
              <w:jc w:val="both"/>
              <w:rPr>
                <w:b w:val="0"/>
                <w:sz w:val="24"/>
              </w:rPr>
            </w:pPr>
          </w:p>
          <w:p w:rsidR="00C07360" w:rsidRPr="00C77E77" w:rsidRDefault="00C07360" w:rsidP="004A552C">
            <w:pPr>
              <w:pStyle w:val="a3"/>
              <w:snapToGrid w:val="0"/>
              <w:spacing w:before="50" w:after="50" w:line="0" w:lineRule="atLeast"/>
              <w:jc w:val="both"/>
              <w:rPr>
                <w:b w:val="0"/>
                <w:sz w:val="24"/>
              </w:rPr>
            </w:pPr>
          </w:p>
          <w:p w:rsidR="00C07360" w:rsidRPr="00C77E77" w:rsidRDefault="00C07360" w:rsidP="004A552C">
            <w:pPr>
              <w:pStyle w:val="a3"/>
              <w:snapToGrid w:val="0"/>
              <w:spacing w:before="50" w:after="50" w:line="0" w:lineRule="atLeast"/>
              <w:jc w:val="both"/>
              <w:rPr>
                <w:sz w:val="24"/>
              </w:rPr>
            </w:pPr>
            <w:r w:rsidRPr="00C77E77">
              <w:rPr>
                <w:b w:val="0"/>
                <w:sz w:val="24"/>
              </w:rPr>
              <w:t>(</w:t>
            </w:r>
            <w:r w:rsidRPr="00C77E77">
              <w:rPr>
                <w:b w:val="0"/>
                <w:sz w:val="24"/>
              </w:rPr>
              <w:t>二</w:t>
            </w:r>
            <w:r w:rsidRPr="00C77E77">
              <w:rPr>
                <w:b w:val="0"/>
                <w:sz w:val="24"/>
              </w:rPr>
              <w:t>)</w:t>
            </w:r>
            <w:r w:rsidRPr="00C77E77">
              <w:rPr>
                <w:b w:val="0"/>
                <w:sz w:val="24"/>
              </w:rPr>
              <w:t>關於報告指出將前往印度、越南、印尼等</w:t>
            </w:r>
            <w:r w:rsidRPr="00C77E77">
              <w:rPr>
                <w:b w:val="0"/>
                <w:sz w:val="24"/>
              </w:rPr>
              <w:t>3</w:t>
            </w:r>
            <w:r w:rsidRPr="00C77E77">
              <w:rPr>
                <w:b w:val="0"/>
                <w:sz w:val="24"/>
              </w:rPr>
              <w:t>國進行出訪，出訪的對象與議題設定應更加聚焦於「要解決什麼困難」。</w:t>
            </w:r>
          </w:p>
        </w:tc>
        <w:tc>
          <w:tcPr>
            <w:tcW w:w="1777" w:type="pct"/>
            <w:gridSpan w:val="2"/>
          </w:tcPr>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感謝委員意見。</w:t>
            </w:r>
          </w:p>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已舉辦三場座談會蒐集建言（附件五～八），以瞭解業者執行之實際狀況。</w:t>
            </w:r>
          </w:p>
          <w:p w:rsidR="00EE38F5" w:rsidRPr="00C77E77" w:rsidRDefault="00EE38F5" w:rsidP="004A552C">
            <w:pPr>
              <w:adjustRightInd w:val="0"/>
              <w:snapToGrid w:val="0"/>
              <w:spacing w:beforeLines="50" w:before="180" w:afterLines="50" w:after="180" w:line="0" w:lineRule="atLeast"/>
              <w:rPr>
                <w:rFonts w:ascii="Times New Roman" w:eastAsia="標楷體" w:hAnsi="Times New Roman" w:cs="Times New Roman"/>
                <w:szCs w:val="24"/>
              </w:rPr>
            </w:pPr>
          </w:p>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已赴三個國家訪談（附件九～十一），以瞭解業者執行之實際狀況。</w:t>
            </w:r>
          </w:p>
        </w:tc>
      </w:tr>
      <w:tr w:rsidR="00C07360" w:rsidRPr="00C77E77" w:rsidTr="004A552C">
        <w:trPr>
          <w:trHeight w:val="672"/>
        </w:trPr>
        <w:tc>
          <w:tcPr>
            <w:tcW w:w="5000" w:type="pct"/>
            <w:gridSpan w:val="4"/>
            <w:shd w:val="clear" w:color="auto" w:fill="auto"/>
            <w:vAlign w:val="center"/>
          </w:tcPr>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lastRenderedPageBreak/>
              <w:t>經濟部商業司</w:t>
            </w:r>
          </w:p>
        </w:tc>
      </w:tr>
      <w:tr w:rsidR="00C07360" w:rsidRPr="00C77E77" w:rsidTr="004A552C">
        <w:trPr>
          <w:trHeight w:val="567"/>
        </w:trPr>
        <w:tc>
          <w:tcPr>
            <w:tcW w:w="3223" w:type="pct"/>
            <w:gridSpan w:val="2"/>
            <w:vAlign w:val="center"/>
          </w:tcPr>
          <w:p w:rsidR="00C07360" w:rsidRPr="00C77E77" w:rsidRDefault="00C07360" w:rsidP="004A552C">
            <w:pPr>
              <w:snapToGrid w:val="0"/>
              <w:spacing w:beforeLines="50" w:before="180" w:afterLines="50" w:after="180"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 xml:space="preserve">) </w:t>
            </w:r>
            <w:r w:rsidRPr="00C77E77">
              <w:rPr>
                <w:rFonts w:ascii="Times New Roman" w:eastAsia="標楷體" w:hAnsi="Times New Roman" w:cs="Times New Roman"/>
                <w:szCs w:val="24"/>
              </w:rPr>
              <w:t>希望研究團隊能對產業南向發展面臨的困難，例如電子商務部分，儲配運輸物流人才缺乏與斷層、企業求才不易、電商業者難以尋找跨境上架管道、進口稅則繁雜等發展困境，提出綜合性建議。</w:t>
            </w:r>
          </w:p>
          <w:p w:rsidR="00C07360" w:rsidRPr="00C77E77" w:rsidRDefault="00C07360" w:rsidP="004A552C">
            <w:pPr>
              <w:pStyle w:val="a3"/>
              <w:snapToGrid w:val="0"/>
              <w:spacing w:before="50" w:after="50" w:line="0" w:lineRule="atLeast"/>
              <w:jc w:val="both"/>
              <w:rPr>
                <w:sz w:val="24"/>
              </w:rPr>
            </w:pPr>
          </w:p>
        </w:tc>
        <w:tc>
          <w:tcPr>
            <w:tcW w:w="1777" w:type="pct"/>
            <w:gridSpan w:val="2"/>
          </w:tcPr>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t>感謝委員意見。</w:t>
            </w:r>
          </w:p>
          <w:p w:rsidR="00C07360" w:rsidRPr="00C77E77" w:rsidRDefault="00C07360" w:rsidP="004A552C">
            <w:pPr>
              <w:pStyle w:val="ab"/>
              <w:adjustRightInd w:val="0"/>
              <w:snapToGrid w:val="0"/>
              <w:spacing w:line="0" w:lineRule="atLeast"/>
              <w:ind w:leftChars="0" w:left="110"/>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color w:val="000000" w:themeColor="text1"/>
                <w:szCs w:val="24"/>
              </w:rPr>
              <w:t>一</w:t>
            </w:r>
            <w:r w:rsidRPr="00C77E77">
              <w:rPr>
                <w:rFonts w:ascii="Times New Roman" w:eastAsia="標楷體" w:hAnsi="Times New Roman" w:cs="Times New Roman"/>
                <w:color w:val="000000" w:themeColor="text1"/>
                <w:szCs w:val="24"/>
              </w:rPr>
              <w:t>)</w:t>
            </w:r>
            <w:r w:rsidRPr="00C77E77">
              <w:rPr>
                <w:rFonts w:ascii="Times New Roman" w:eastAsia="標楷體" w:hAnsi="Times New Roman" w:cs="Times New Roman"/>
                <w:color w:val="000000" w:themeColor="text1"/>
                <w:szCs w:val="24"/>
              </w:rPr>
              <w:t>已補充</w:t>
            </w:r>
            <w:r w:rsidRPr="00C77E77">
              <w:rPr>
                <w:rFonts w:ascii="Times New Roman" w:eastAsia="標楷體" w:hAnsi="Times New Roman" w:cs="Times New Roman"/>
                <w:szCs w:val="24"/>
              </w:rPr>
              <w:t>產業南向發展面臨的困難智慧物流位於</w:t>
            </w:r>
            <w:r w:rsidRPr="00C77E77">
              <w:rPr>
                <w:rFonts w:ascii="Times New Roman" w:eastAsia="標楷體" w:hAnsi="Times New Roman" w:cs="Times New Roman"/>
                <w:szCs w:val="24"/>
              </w:rPr>
              <w:t>p.191-194</w:t>
            </w:r>
            <w:r w:rsidRPr="00C77E77">
              <w:rPr>
                <w:rFonts w:ascii="Times New Roman" w:eastAsia="標楷體" w:hAnsi="Times New Roman" w:cs="Times New Roman"/>
                <w:szCs w:val="24"/>
              </w:rPr>
              <w:t>；電子商務位於</w:t>
            </w:r>
            <w:r w:rsidRPr="00C77E77">
              <w:rPr>
                <w:rFonts w:ascii="Times New Roman" w:eastAsia="標楷體" w:hAnsi="Times New Roman" w:cs="Times New Roman"/>
                <w:szCs w:val="24"/>
              </w:rPr>
              <w:t>p.188-190</w:t>
            </w:r>
            <w:r w:rsidRPr="00C77E77">
              <w:rPr>
                <w:rFonts w:ascii="Times New Roman" w:eastAsia="標楷體" w:hAnsi="Times New Roman" w:cs="Times New Roman"/>
                <w:szCs w:val="24"/>
              </w:rPr>
              <w:t>。</w:t>
            </w:r>
          </w:p>
        </w:tc>
      </w:tr>
      <w:tr w:rsidR="00C07360" w:rsidRPr="00C77E77" w:rsidTr="004A552C">
        <w:trPr>
          <w:trHeight w:val="672"/>
        </w:trPr>
        <w:tc>
          <w:tcPr>
            <w:tcW w:w="5000" w:type="pct"/>
            <w:gridSpan w:val="4"/>
            <w:shd w:val="clear" w:color="auto" w:fill="auto"/>
            <w:vAlign w:val="center"/>
          </w:tcPr>
          <w:p w:rsidR="00C07360" w:rsidRPr="00C77E77" w:rsidRDefault="00C07360" w:rsidP="004A552C">
            <w:pPr>
              <w:adjustRightInd w:val="0"/>
              <w:snapToGrid w:val="0"/>
              <w:spacing w:beforeLines="50" w:before="180" w:afterLines="50" w:after="180" w:line="0" w:lineRule="atLeast"/>
              <w:rPr>
                <w:rFonts w:ascii="Times New Roman" w:eastAsia="標楷體" w:hAnsi="Times New Roman" w:cs="Times New Roman"/>
                <w:szCs w:val="24"/>
              </w:rPr>
            </w:pPr>
            <w:r w:rsidRPr="00C77E77">
              <w:rPr>
                <w:rFonts w:ascii="Times New Roman" w:eastAsia="標楷體" w:hAnsi="Times New Roman" w:cs="Times New Roman"/>
                <w:szCs w:val="24"/>
              </w:rPr>
              <w:t>國發會經濟發展處</w:t>
            </w:r>
          </w:p>
        </w:tc>
      </w:tr>
      <w:tr w:rsidR="00C07360" w:rsidRPr="00C77E77" w:rsidTr="004A552C">
        <w:trPr>
          <w:trHeight w:val="567"/>
        </w:trPr>
        <w:tc>
          <w:tcPr>
            <w:tcW w:w="3223" w:type="pct"/>
            <w:gridSpan w:val="2"/>
          </w:tcPr>
          <w:p w:rsidR="00C07360" w:rsidRPr="00C77E77" w:rsidRDefault="00C07360" w:rsidP="004A552C">
            <w:pPr>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會議結論</w:t>
            </w:r>
          </w:p>
          <w:p w:rsidR="00C07360" w:rsidRPr="00C77E77" w:rsidRDefault="00C07360" w:rsidP="004A552C">
            <w:pPr>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1.</w:t>
            </w:r>
            <w:r w:rsidRPr="00C77E77">
              <w:rPr>
                <w:rFonts w:ascii="Times New Roman" w:eastAsia="標楷體" w:hAnsi="Times New Roman" w:cs="Times New Roman"/>
                <w:szCs w:val="24"/>
              </w:rPr>
              <w:t>本研究案大致符合本會需求，後續研究方向應繼續著重在強化「</w:t>
            </w:r>
            <w:r w:rsidRPr="00C77E77">
              <w:rPr>
                <w:rFonts w:ascii="Times New Roman" w:eastAsia="標楷體" w:hAnsi="Times New Roman" w:cs="Times New Roman"/>
                <w:szCs w:val="24"/>
              </w:rPr>
              <w:t>10+2</w:t>
            </w:r>
            <w:r w:rsidRPr="00C77E77">
              <w:rPr>
                <w:rFonts w:ascii="Times New Roman" w:eastAsia="標楷體" w:hAnsi="Times New Roman" w:cs="Times New Roman"/>
                <w:szCs w:val="24"/>
              </w:rPr>
              <w:t>」產業的雙向合作與交流，並研擬如何把具有潛力的產業，擴大輸出到當地市場之具體建議。</w:t>
            </w:r>
          </w:p>
          <w:p w:rsidR="00C07360" w:rsidRPr="00C77E77" w:rsidRDefault="00C07360" w:rsidP="004A552C">
            <w:pPr>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2.</w:t>
            </w:r>
            <w:r w:rsidRPr="00C77E77">
              <w:rPr>
                <w:rFonts w:ascii="Times New Roman" w:eastAsia="標楷體" w:hAnsi="Times New Roman" w:cs="Times New Roman"/>
                <w:szCs w:val="24"/>
              </w:rPr>
              <w:t>請研究團隊依據出席人員意見增修報告內容，並於期末報告完整列表說明研處情形（本次審查委員及各單位代表意見詳附件）。</w:t>
            </w:r>
          </w:p>
        </w:tc>
        <w:tc>
          <w:tcPr>
            <w:tcW w:w="1777" w:type="pct"/>
            <w:gridSpan w:val="2"/>
          </w:tcPr>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感謝委員意見。</w:t>
            </w:r>
          </w:p>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p>
          <w:p w:rsidR="00C07360" w:rsidRPr="00C77E77" w:rsidRDefault="00C07360" w:rsidP="0001327A">
            <w:pPr>
              <w:pStyle w:val="ab"/>
              <w:numPr>
                <w:ilvl w:val="0"/>
                <w:numId w:val="146"/>
              </w:numPr>
              <w:adjustRightInd w:val="0"/>
              <w:snapToGrid w:val="0"/>
              <w:spacing w:line="0" w:lineRule="atLeast"/>
              <w:ind w:leftChars="0"/>
              <w:jc w:val="both"/>
              <w:rPr>
                <w:rFonts w:ascii="Times New Roman" w:eastAsia="標楷體" w:hAnsi="Times New Roman" w:cs="Times New Roman"/>
                <w:szCs w:val="24"/>
              </w:rPr>
            </w:pPr>
            <w:r w:rsidRPr="00C77E77">
              <w:rPr>
                <w:rFonts w:ascii="Times New Roman" w:eastAsia="標楷體" w:hAnsi="Times New Roman" w:cs="Times New Roman"/>
                <w:szCs w:val="24"/>
              </w:rPr>
              <w:t>已辦理。</w:t>
            </w:r>
          </w:p>
          <w:p w:rsidR="00C07360" w:rsidRPr="00C77E77" w:rsidRDefault="00C07360" w:rsidP="0001327A">
            <w:pPr>
              <w:pStyle w:val="ab"/>
              <w:numPr>
                <w:ilvl w:val="0"/>
                <w:numId w:val="146"/>
              </w:numPr>
              <w:adjustRightInd w:val="0"/>
              <w:snapToGrid w:val="0"/>
              <w:spacing w:line="0" w:lineRule="atLeast"/>
              <w:ind w:leftChars="0"/>
              <w:jc w:val="both"/>
              <w:rPr>
                <w:rFonts w:ascii="Times New Roman" w:eastAsia="標楷體" w:hAnsi="Times New Roman" w:cs="Times New Roman"/>
                <w:szCs w:val="24"/>
              </w:rPr>
            </w:pPr>
            <w:r w:rsidRPr="00C77E77">
              <w:rPr>
                <w:rFonts w:ascii="Times New Roman" w:eastAsia="標楷體" w:hAnsi="Times New Roman" w:cs="Times New Roman"/>
                <w:szCs w:val="24"/>
              </w:rPr>
              <w:t>已辦理。</w:t>
            </w:r>
          </w:p>
        </w:tc>
      </w:tr>
      <w:tr w:rsidR="00C07360" w:rsidRPr="00C77E77" w:rsidTr="004A552C">
        <w:trPr>
          <w:trHeight w:val="567"/>
        </w:trPr>
        <w:tc>
          <w:tcPr>
            <w:tcW w:w="3223" w:type="pct"/>
            <w:gridSpan w:val="2"/>
          </w:tcPr>
          <w:p w:rsidR="00C07360" w:rsidRPr="00C77E77" w:rsidRDefault="00C07360" w:rsidP="004A552C">
            <w:pPr>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綜合意見</w:t>
            </w:r>
          </w:p>
          <w:p w:rsidR="00C07360" w:rsidRPr="00C77E77" w:rsidRDefault="00C07360" w:rsidP="004A552C">
            <w:pPr>
              <w:pStyle w:val="a3"/>
              <w:snapToGrid w:val="0"/>
              <w:spacing w:line="0" w:lineRule="atLeast"/>
              <w:jc w:val="both"/>
              <w:rPr>
                <w:b w:val="0"/>
                <w:sz w:val="24"/>
              </w:rPr>
            </w:pPr>
            <w:r w:rsidRPr="00C77E77">
              <w:rPr>
                <w:b w:val="0"/>
                <w:sz w:val="24"/>
              </w:rPr>
              <w:t>1.</w:t>
            </w:r>
            <w:r w:rsidRPr="00C77E77">
              <w:rPr>
                <w:b w:val="0"/>
                <w:sz w:val="24"/>
              </w:rPr>
              <w:t>新南向政策強調互惠共榮、夥伴關係，本委託案應聚焦於探討我國「</w:t>
            </w:r>
            <w:r w:rsidRPr="00C77E77">
              <w:rPr>
                <w:b w:val="0"/>
                <w:sz w:val="24"/>
              </w:rPr>
              <w:t>10+2</w:t>
            </w:r>
            <w:r w:rsidRPr="00C77E77">
              <w:rPr>
                <w:b w:val="0"/>
                <w:sz w:val="24"/>
              </w:rPr>
              <w:t>」產業南向雙邊合作的機會與挑戰，而非僅侷限於產業輸出。</w:t>
            </w:r>
          </w:p>
          <w:p w:rsidR="00C07360" w:rsidRPr="00C77E77" w:rsidRDefault="00C07360" w:rsidP="004A552C">
            <w:pPr>
              <w:pStyle w:val="a3"/>
              <w:snapToGrid w:val="0"/>
              <w:spacing w:line="0" w:lineRule="atLeast"/>
              <w:jc w:val="both"/>
              <w:rPr>
                <w:b w:val="0"/>
                <w:sz w:val="24"/>
              </w:rPr>
            </w:pPr>
            <w:r w:rsidRPr="00C77E77">
              <w:rPr>
                <w:b w:val="0"/>
                <w:sz w:val="24"/>
              </w:rPr>
              <w:t>2.</w:t>
            </w:r>
            <w:r w:rsidRPr="00C77E77">
              <w:rPr>
                <w:b w:val="0"/>
                <w:sz w:val="24"/>
              </w:rPr>
              <w:t>本委託團隊已針對「</w:t>
            </w:r>
            <w:r w:rsidRPr="00C77E77">
              <w:rPr>
                <w:b w:val="0"/>
                <w:sz w:val="24"/>
              </w:rPr>
              <w:t>10+2</w:t>
            </w:r>
            <w:r w:rsidRPr="00C77E77">
              <w:rPr>
                <w:b w:val="0"/>
                <w:sz w:val="24"/>
              </w:rPr>
              <w:t>」產業當地需求及我國利基進行盤點，並提出未來的合作方向，建請委辦團隊進一步研析若外在因素改變，如：</w:t>
            </w:r>
            <w:r w:rsidRPr="00C77E77">
              <w:rPr>
                <w:b w:val="0"/>
                <w:sz w:val="24"/>
              </w:rPr>
              <w:t>RCEP</w:t>
            </w:r>
            <w:r w:rsidRPr="00C77E77">
              <w:rPr>
                <w:b w:val="0"/>
                <w:sz w:val="24"/>
              </w:rPr>
              <w:t>、</w:t>
            </w:r>
            <w:r w:rsidRPr="00C77E77">
              <w:rPr>
                <w:b w:val="0"/>
                <w:sz w:val="24"/>
              </w:rPr>
              <w:t>TPP</w:t>
            </w:r>
            <w:r w:rsidRPr="00C77E77">
              <w:rPr>
                <w:b w:val="0"/>
                <w:sz w:val="24"/>
              </w:rPr>
              <w:t>正式簽署生效，將對我國與東協及印度產業合作造成何種衝擊，我國應如何因應。</w:t>
            </w:r>
          </w:p>
          <w:p w:rsidR="00C07360" w:rsidRPr="00C77E77" w:rsidRDefault="00C07360" w:rsidP="004A552C">
            <w:pPr>
              <w:pStyle w:val="a3"/>
              <w:snapToGrid w:val="0"/>
              <w:spacing w:line="0" w:lineRule="atLeast"/>
              <w:jc w:val="both"/>
              <w:rPr>
                <w:b w:val="0"/>
                <w:sz w:val="24"/>
              </w:rPr>
            </w:pPr>
            <w:r w:rsidRPr="00C77E77">
              <w:rPr>
                <w:b w:val="0"/>
                <w:sz w:val="24"/>
              </w:rPr>
              <w:t>3.</w:t>
            </w:r>
            <w:r w:rsidRPr="00C77E77">
              <w:rPr>
                <w:b w:val="0"/>
                <w:sz w:val="24"/>
              </w:rPr>
              <w:t>第</w:t>
            </w:r>
            <w:r w:rsidRPr="00C77E77">
              <w:rPr>
                <w:b w:val="0"/>
                <w:sz w:val="24"/>
              </w:rPr>
              <w:t>5-7</w:t>
            </w:r>
            <w:r w:rsidRPr="00C77E77">
              <w:rPr>
                <w:b w:val="0"/>
                <w:sz w:val="24"/>
              </w:rPr>
              <w:t>頁盤點我國政府掌握海外商機之作為，僅侷限於「十大系統輸出方案」，建議加入政府推動跨境電商布局東協策略，以及「新農業政策」等，以便與本研究探討範疇「</w:t>
            </w:r>
            <w:r w:rsidRPr="00C77E77">
              <w:rPr>
                <w:b w:val="0"/>
                <w:sz w:val="24"/>
              </w:rPr>
              <w:t>10+2</w:t>
            </w:r>
            <w:r w:rsidRPr="00C77E77">
              <w:rPr>
                <w:b w:val="0"/>
                <w:sz w:val="24"/>
              </w:rPr>
              <w:t>」產業相呼應。</w:t>
            </w:r>
          </w:p>
          <w:p w:rsidR="00C07360" w:rsidRPr="00C77E77" w:rsidRDefault="00C07360" w:rsidP="004A552C">
            <w:pPr>
              <w:pStyle w:val="a3"/>
              <w:snapToGrid w:val="0"/>
              <w:spacing w:line="0" w:lineRule="atLeast"/>
              <w:jc w:val="both"/>
              <w:rPr>
                <w:b w:val="0"/>
                <w:sz w:val="24"/>
              </w:rPr>
            </w:pPr>
            <w:r w:rsidRPr="00C77E77">
              <w:rPr>
                <w:b w:val="0"/>
                <w:sz w:val="24"/>
              </w:rPr>
              <w:t>4.</w:t>
            </w:r>
            <w:r w:rsidRPr="00C77E77">
              <w:rPr>
                <w:b w:val="0"/>
                <w:sz w:val="24"/>
              </w:rPr>
              <w:t>報告第</w:t>
            </w:r>
            <w:r w:rsidRPr="00C77E77">
              <w:rPr>
                <w:b w:val="0"/>
                <w:sz w:val="24"/>
              </w:rPr>
              <w:t>28-29</w:t>
            </w:r>
            <w:r w:rsidRPr="00C77E77">
              <w:rPr>
                <w:b w:val="0"/>
                <w:sz w:val="24"/>
              </w:rPr>
              <w:t>頁「鞏固並擴大我國與東協國家和印度的貿易關係」，內容與第二章第二節「我國與東南亞及印度雙邊貿易與投資概況」內容雷同，建議整併，並略加說明</w:t>
            </w:r>
            <w:r w:rsidRPr="00C77E77">
              <w:rPr>
                <w:b w:val="0"/>
                <w:sz w:val="24"/>
              </w:rPr>
              <w:t>2015</w:t>
            </w:r>
            <w:r w:rsidRPr="00C77E77">
              <w:rPr>
                <w:b w:val="0"/>
                <w:sz w:val="24"/>
              </w:rPr>
              <w:t>年對東協貿易急遽下降的原因，從中導出「十大系統整合輸出」、「跨境電子商務」及「農業新南向」之必要性，加強與後續章節的連結。</w:t>
            </w:r>
          </w:p>
          <w:p w:rsidR="00C07360" w:rsidRPr="00C77E77" w:rsidRDefault="00C07360" w:rsidP="004A552C">
            <w:pPr>
              <w:pStyle w:val="a3"/>
              <w:snapToGrid w:val="0"/>
              <w:spacing w:line="0" w:lineRule="atLeast"/>
              <w:jc w:val="both"/>
              <w:rPr>
                <w:sz w:val="24"/>
              </w:rPr>
            </w:pPr>
            <w:r w:rsidRPr="00C77E77">
              <w:rPr>
                <w:b w:val="0"/>
                <w:sz w:val="24"/>
              </w:rPr>
              <w:t>5.</w:t>
            </w:r>
            <w:r w:rsidRPr="00C77E77">
              <w:rPr>
                <w:b w:val="0"/>
                <w:sz w:val="24"/>
              </w:rPr>
              <w:t>報告第</w:t>
            </w:r>
            <w:r w:rsidRPr="00C77E77">
              <w:rPr>
                <w:b w:val="0"/>
                <w:sz w:val="24"/>
              </w:rPr>
              <w:t>80-83</w:t>
            </w:r>
            <w:r w:rsidRPr="00C77E77">
              <w:rPr>
                <w:b w:val="0"/>
                <w:sz w:val="24"/>
              </w:rPr>
              <w:t>頁跨境電子商務發展現況，經濟部辦理「輔導電商建立東協跨境營運生態體系計畫」，結合在東協紮根的</w:t>
            </w:r>
            <w:r w:rsidRPr="00C77E77">
              <w:rPr>
                <w:b w:val="0"/>
                <w:sz w:val="24"/>
              </w:rPr>
              <w:t>PChome</w:t>
            </w:r>
            <w:r w:rsidRPr="00C77E77">
              <w:rPr>
                <w:b w:val="0"/>
                <w:sz w:val="24"/>
              </w:rPr>
              <w:t>、</w:t>
            </w:r>
            <w:r w:rsidRPr="00C77E77">
              <w:rPr>
                <w:b w:val="0"/>
                <w:sz w:val="24"/>
              </w:rPr>
              <w:t>MoMo</w:t>
            </w:r>
            <w:r w:rsidRPr="00C77E77">
              <w:rPr>
                <w:b w:val="0"/>
                <w:sz w:val="24"/>
              </w:rPr>
              <w:t>與</w:t>
            </w:r>
            <w:r w:rsidRPr="00C77E77">
              <w:rPr>
                <w:b w:val="0"/>
                <w:sz w:val="24"/>
              </w:rPr>
              <w:t>ASAP</w:t>
            </w:r>
            <w:r w:rsidRPr="00C77E77">
              <w:rPr>
                <w:b w:val="0"/>
                <w:sz w:val="24"/>
              </w:rPr>
              <w:t>三大電商平臺，幫助中小企業經營當地市場，可列入政策盤點；另第</w:t>
            </w:r>
            <w:r w:rsidRPr="00C77E77">
              <w:rPr>
                <w:b w:val="0"/>
                <w:sz w:val="24"/>
              </w:rPr>
              <w:t>83</w:t>
            </w:r>
            <w:r w:rsidRPr="00C77E77">
              <w:rPr>
                <w:b w:val="0"/>
                <w:sz w:val="24"/>
              </w:rPr>
              <w:t>頁提及「臺灣法規跟不上市界潮流」，亦請舉例俾做為政策研擬參考。</w:t>
            </w:r>
          </w:p>
        </w:tc>
        <w:tc>
          <w:tcPr>
            <w:tcW w:w="1777" w:type="pct"/>
            <w:gridSpan w:val="2"/>
          </w:tcPr>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p>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1.</w:t>
            </w:r>
            <w:r w:rsidRPr="00C77E77">
              <w:rPr>
                <w:rFonts w:ascii="Times New Roman" w:eastAsia="標楷體" w:hAnsi="Times New Roman" w:cs="Times New Roman"/>
                <w:szCs w:val="24"/>
              </w:rPr>
              <w:t>已遵照意見撰寫第五章，研擬南向發展之雙贏策略。</w:t>
            </w:r>
          </w:p>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p>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p>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 xml:space="preserve">2. </w:t>
            </w:r>
            <w:r w:rsidRPr="00C77E77">
              <w:rPr>
                <w:rFonts w:ascii="Times New Roman" w:eastAsia="標楷體" w:hAnsi="Times New Roman" w:cs="Times New Roman"/>
                <w:szCs w:val="24"/>
              </w:rPr>
              <w:t>已撰寫</w:t>
            </w:r>
            <w:r w:rsidRPr="00C77E77">
              <w:rPr>
                <w:rFonts w:ascii="Times New Roman" w:eastAsia="標楷體" w:hAnsi="Times New Roman" w:cs="Times New Roman"/>
                <w:szCs w:val="24"/>
              </w:rPr>
              <w:t>p.223-225</w:t>
            </w:r>
            <w:r w:rsidRPr="00C77E77">
              <w:rPr>
                <w:rFonts w:ascii="Times New Roman" w:eastAsia="標楷體" w:hAnsi="Times New Roman" w:cs="Times New Roman"/>
                <w:szCs w:val="24"/>
              </w:rPr>
              <w:t>「區域整合趨勢對新南向政策之影響」。</w:t>
            </w:r>
          </w:p>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01327A">
            <w:pPr>
              <w:pStyle w:val="ab"/>
              <w:numPr>
                <w:ilvl w:val="0"/>
                <w:numId w:val="146"/>
              </w:numPr>
              <w:adjustRightInd w:val="0"/>
              <w:snapToGrid w:val="0"/>
              <w:spacing w:beforeLines="50" w:before="180" w:afterLines="50" w:after="180" w:line="0" w:lineRule="atLeast"/>
              <w:ind w:leftChars="0"/>
              <w:jc w:val="both"/>
              <w:rPr>
                <w:rFonts w:ascii="Times New Roman" w:eastAsia="標楷體" w:hAnsi="Times New Roman" w:cs="Times New Roman"/>
                <w:szCs w:val="24"/>
              </w:rPr>
            </w:pPr>
            <w:r w:rsidRPr="00C77E77">
              <w:rPr>
                <w:rFonts w:ascii="Times New Roman" w:eastAsia="標楷體" w:hAnsi="Times New Roman" w:cs="Times New Roman"/>
                <w:szCs w:val="24"/>
              </w:rPr>
              <w:t>已新增於第一章第一節。</w:t>
            </w:r>
          </w:p>
          <w:p w:rsidR="00C07360" w:rsidRPr="00C77E77" w:rsidRDefault="00C07360" w:rsidP="004A552C">
            <w:pPr>
              <w:pStyle w:val="ab"/>
              <w:adjustRightInd w:val="0"/>
              <w:snapToGrid w:val="0"/>
              <w:spacing w:beforeLines="50" w:before="180" w:afterLines="50" w:after="180" w:line="0" w:lineRule="atLeast"/>
              <w:ind w:leftChars="0" w:left="360"/>
              <w:jc w:val="both"/>
              <w:rPr>
                <w:rFonts w:ascii="Times New Roman" w:eastAsia="標楷體" w:hAnsi="Times New Roman" w:cs="Times New Roman"/>
                <w:szCs w:val="24"/>
              </w:rPr>
            </w:pPr>
          </w:p>
          <w:p w:rsidR="00C07360" w:rsidRPr="00C77E77" w:rsidRDefault="00C07360" w:rsidP="004A552C">
            <w:pPr>
              <w:pStyle w:val="ab"/>
              <w:adjustRightInd w:val="0"/>
              <w:snapToGrid w:val="0"/>
              <w:spacing w:beforeLines="50" w:before="180" w:afterLines="50" w:after="180" w:line="0" w:lineRule="atLeast"/>
              <w:ind w:leftChars="0" w:left="360"/>
              <w:jc w:val="both"/>
              <w:rPr>
                <w:rFonts w:ascii="Times New Roman" w:eastAsia="標楷體" w:hAnsi="Times New Roman" w:cs="Times New Roman"/>
                <w:szCs w:val="24"/>
              </w:rPr>
            </w:pPr>
          </w:p>
          <w:p w:rsidR="00C07360" w:rsidRPr="00C77E77" w:rsidRDefault="00C07360" w:rsidP="0001327A">
            <w:pPr>
              <w:pStyle w:val="ab"/>
              <w:numPr>
                <w:ilvl w:val="0"/>
                <w:numId w:val="146"/>
              </w:numPr>
              <w:adjustRightInd w:val="0"/>
              <w:snapToGrid w:val="0"/>
              <w:spacing w:beforeLines="50" w:before="180" w:afterLines="50" w:after="180" w:line="0" w:lineRule="atLeast"/>
              <w:ind w:leftChars="0"/>
              <w:jc w:val="both"/>
              <w:rPr>
                <w:rFonts w:ascii="Times New Roman" w:eastAsia="標楷體" w:hAnsi="Times New Roman" w:cs="Times New Roman"/>
                <w:color w:val="000000" w:themeColor="text1"/>
                <w:szCs w:val="24"/>
              </w:rPr>
            </w:pPr>
            <w:r w:rsidRPr="00C77E77">
              <w:rPr>
                <w:rFonts w:ascii="Times New Roman" w:eastAsia="標楷體" w:hAnsi="Times New Roman" w:cs="Times New Roman"/>
                <w:szCs w:val="24"/>
              </w:rPr>
              <w:t>已合併於第二章第二節，並增修第二章第三節。另補充</w:t>
            </w:r>
            <w:r w:rsidRPr="00C77E77">
              <w:rPr>
                <w:rFonts w:ascii="Times New Roman" w:eastAsia="標楷體" w:hAnsi="Times New Roman" w:cs="Times New Roman"/>
                <w:color w:val="000000" w:themeColor="text1"/>
                <w:szCs w:val="24"/>
              </w:rPr>
              <w:t>我國與東協貿易下降的原因，詳見</w:t>
            </w:r>
            <w:r w:rsidRPr="00C77E77">
              <w:rPr>
                <w:rFonts w:ascii="Times New Roman" w:eastAsia="標楷體" w:hAnsi="Times New Roman" w:cs="Times New Roman"/>
                <w:color w:val="000000" w:themeColor="text1"/>
                <w:szCs w:val="24"/>
              </w:rPr>
              <w:t>p.65</w:t>
            </w:r>
            <w:r w:rsidRPr="00C77E77">
              <w:rPr>
                <w:rFonts w:ascii="Times New Roman" w:eastAsia="標楷體" w:hAnsi="Times New Roman" w:cs="Times New Roman"/>
                <w:color w:val="000000" w:themeColor="text1"/>
                <w:szCs w:val="24"/>
              </w:rPr>
              <w:t>。</w:t>
            </w:r>
          </w:p>
          <w:p w:rsidR="00C07360" w:rsidRPr="00C77E77" w:rsidRDefault="00C07360" w:rsidP="004A552C">
            <w:pPr>
              <w:adjustRightInd w:val="0"/>
              <w:snapToGrid w:val="0"/>
              <w:spacing w:beforeLines="50" w:before="180" w:afterLines="50" w:after="180" w:line="0" w:lineRule="atLeast"/>
              <w:jc w:val="both"/>
              <w:rPr>
                <w:rFonts w:ascii="Times New Roman" w:eastAsia="標楷體" w:hAnsi="Times New Roman" w:cs="Times New Roman"/>
                <w:szCs w:val="24"/>
              </w:rPr>
            </w:pPr>
          </w:p>
          <w:p w:rsidR="00C07360" w:rsidRPr="00C77E77" w:rsidRDefault="00C07360" w:rsidP="0001327A">
            <w:pPr>
              <w:pStyle w:val="ab"/>
              <w:numPr>
                <w:ilvl w:val="0"/>
                <w:numId w:val="146"/>
              </w:numPr>
              <w:adjustRightInd w:val="0"/>
              <w:snapToGrid w:val="0"/>
              <w:spacing w:beforeLines="50" w:before="180" w:afterLines="50" w:after="180" w:line="0" w:lineRule="atLeast"/>
              <w:ind w:leftChars="0"/>
              <w:jc w:val="both"/>
              <w:rPr>
                <w:rFonts w:ascii="Times New Roman" w:eastAsia="標楷體" w:hAnsi="Times New Roman" w:cs="Times New Roman"/>
                <w:szCs w:val="24"/>
              </w:rPr>
            </w:pPr>
            <w:r w:rsidRPr="00C77E77">
              <w:rPr>
                <w:rFonts w:ascii="Times New Roman" w:eastAsia="標楷體" w:hAnsi="Times New Roman" w:cs="Times New Roman"/>
                <w:szCs w:val="24"/>
              </w:rPr>
              <w:t>已補充。</w:t>
            </w:r>
          </w:p>
          <w:p w:rsidR="009D2671" w:rsidRPr="00C77E77" w:rsidRDefault="009D2671" w:rsidP="009D2671">
            <w:pPr>
              <w:pStyle w:val="ab"/>
              <w:rPr>
                <w:rFonts w:ascii="Times New Roman" w:eastAsia="標楷體" w:hAnsi="Times New Roman" w:cs="Times New Roman"/>
                <w:szCs w:val="24"/>
              </w:rPr>
            </w:pPr>
          </w:p>
          <w:p w:rsidR="009D2671" w:rsidRPr="00C77E77" w:rsidRDefault="009D2671" w:rsidP="009D2671">
            <w:pPr>
              <w:pStyle w:val="ab"/>
              <w:adjustRightInd w:val="0"/>
              <w:snapToGrid w:val="0"/>
              <w:spacing w:beforeLines="50" w:before="180" w:afterLines="50" w:after="180" w:line="0" w:lineRule="atLeast"/>
              <w:ind w:leftChars="0" w:left="360"/>
              <w:jc w:val="both"/>
              <w:rPr>
                <w:rFonts w:ascii="Times New Roman" w:eastAsia="標楷體" w:hAnsi="Times New Roman" w:cs="Times New Roman"/>
                <w:szCs w:val="24"/>
              </w:rPr>
            </w:pPr>
          </w:p>
          <w:p w:rsidR="009D2671" w:rsidRPr="00C77E77" w:rsidRDefault="009D2671" w:rsidP="009D2671">
            <w:pPr>
              <w:pStyle w:val="ab"/>
              <w:adjustRightInd w:val="0"/>
              <w:snapToGrid w:val="0"/>
              <w:spacing w:beforeLines="50" w:before="180" w:afterLines="50" w:after="180" w:line="0" w:lineRule="atLeast"/>
              <w:ind w:leftChars="0" w:left="360"/>
              <w:jc w:val="both"/>
              <w:rPr>
                <w:rFonts w:ascii="Times New Roman" w:eastAsia="標楷體" w:hAnsi="Times New Roman" w:cs="Times New Roman"/>
                <w:szCs w:val="24"/>
              </w:rPr>
            </w:pPr>
          </w:p>
        </w:tc>
      </w:tr>
      <w:tr w:rsidR="00C07360" w:rsidRPr="00C77E77" w:rsidTr="004A552C">
        <w:trPr>
          <w:trHeight w:val="567"/>
        </w:trPr>
        <w:tc>
          <w:tcPr>
            <w:tcW w:w="5000" w:type="pct"/>
            <w:gridSpan w:val="4"/>
            <w:vAlign w:val="center"/>
          </w:tcPr>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lastRenderedPageBreak/>
              <w:t>經濟部工業局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摘自書面意見</w:t>
            </w:r>
            <w:r w:rsidRPr="00C77E77">
              <w:rPr>
                <w:rFonts w:ascii="Times New Roman" w:eastAsia="標楷體" w:hAnsi="Times New Roman" w:cs="Times New Roman"/>
                <w:szCs w:val="24"/>
              </w:rPr>
              <w:t>)</w:t>
            </w:r>
          </w:p>
        </w:tc>
      </w:tr>
      <w:tr w:rsidR="00C07360" w:rsidRPr="00C77E77" w:rsidTr="004A552C">
        <w:trPr>
          <w:trHeight w:val="567"/>
        </w:trPr>
        <w:tc>
          <w:tcPr>
            <w:tcW w:w="3223" w:type="pct"/>
            <w:gridSpan w:val="2"/>
          </w:tcPr>
          <w:p w:rsidR="00C07360" w:rsidRPr="00C77E77" w:rsidRDefault="00C07360" w:rsidP="004A552C">
            <w:pPr>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建議後續應透過訪談政府負責新南向政策之單位，或了解政府新南向政策之學者專家，補充說明新南向政策之內涵。</w:t>
            </w:r>
          </w:p>
          <w:p w:rsidR="00C07360" w:rsidRPr="00C77E77" w:rsidRDefault="00C07360" w:rsidP="004A552C">
            <w:pPr>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第二章內容與後續要分析的十大系統輸出無法做有系統的連結，整體報告規劃上的細緻與架構的嚴謹度仍需再調整強化。</w:t>
            </w:r>
          </w:p>
          <w:p w:rsidR="00C07360" w:rsidRPr="00C77E77" w:rsidRDefault="00C07360" w:rsidP="004A552C">
            <w:pPr>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三</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第二章第三節介紹各國對外雙邊及多邊協定，建議對後續發展再做更新。</w:t>
            </w:r>
          </w:p>
          <w:p w:rsidR="00C07360" w:rsidRPr="00C77E77" w:rsidRDefault="00C07360" w:rsidP="004A552C">
            <w:pPr>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四</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應於期末補充十大系統、電子商務與新農業，是否會因</w:t>
            </w:r>
            <w:r w:rsidRPr="00C77E77">
              <w:rPr>
                <w:rFonts w:ascii="Times New Roman" w:eastAsia="標楷體" w:hAnsi="Times New Roman" w:cs="Times New Roman"/>
                <w:szCs w:val="24"/>
              </w:rPr>
              <w:t>TPP</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RCEP</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FTAAP</w:t>
            </w:r>
            <w:r w:rsidRPr="00C77E77">
              <w:rPr>
                <w:rFonts w:ascii="Times New Roman" w:eastAsia="標楷體" w:hAnsi="Times New Roman" w:cs="Times New Roman"/>
                <w:szCs w:val="24"/>
              </w:rPr>
              <w:t>等因素受到影響，以及因應對策。</w:t>
            </w:r>
          </w:p>
          <w:p w:rsidR="00C07360" w:rsidRPr="00C77E77" w:rsidRDefault="00C07360" w:rsidP="004A552C">
            <w:pPr>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五</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第三章介紹我國十大系統輸出及新農業、產業之發展概況，第四章分析上開產業在目標市場發展及機會，應儘可能使兩者中間連結更為明確，另本文建議由本局成立之「系統整合推動辦公室」做為平臺，請提出具體做法。</w:t>
            </w:r>
          </w:p>
          <w:p w:rsidR="00C07360" w:rsidRPr="00C77E77" w:rsidRDefault="00C07360" w:rsidP="004A552C">
            <w:pPr>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六</w:t>
            </w:r>
            <w:r w:rsidRPr="00C77E77">
              <w:rPr>
                <w:rFonts w:ascii="Times New Roman" w:eastAsia="標楷體" w:hAnsi="Times New Roman" w:cs="Times New Roman"/>
                <w:szCs w:val="24"/>
              </w:rPr>
              <w:t>)</w:t>
            </w:r>
            <w:r w:rsidRPr="00C77E77">
              <w:rPr>
                <w:rFonts w:ascii="Times New Roman" w:eastAsia="標楷體" w:hAnsi="Times New Roman" w:cs="Times New Roman"/>
                <w:szCs w:val="24"/>
              </w:rPr>
              <w:t>針對我國產業南向發展之機會與挑戰部分，應補充論述當地相關產業之生態、競爭優劣勢等資料蒐集及研析，以及與我國相關產業優劣勢進行比較分析。</w:t>
            </w:r>
          </w:p>
        </w:tc>
        <w:tc>
          <w:tcPr>
            <w:tcW w:w="1777" w:type="pct"/>
            <w:gridSpan w:val="2"/>
          </w:tcPr>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感謝委員意見。</w:t>
            </w:r>
          </w:p>
          <w:p w:rsidR="00C07360" w:rsidRPr="00C77E77" w:rsidRDefault="009D2671" w:rsidP="009D2671">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一</w:t>
            </w:r>
            <w:r w:rsidRPr="00C77E77">
              <w:rPr>
                <w:rFonts w:ascii="Times New Roman" w:eastAsia="標楷體" w:hAnsi="Times New Roman" w:cs="Times New Roman"/>
                <w:szCs w:val="24"/>
              </w:rPr>
              <w:t>)</w:t>
            </w:r>
            <w:r w:rsidR="00C07360" w:rsidRPr="00C77E77">
              <w:rPr>
                <w:rFonts w:ascii="Times New Roman" w:eastAsia="標楷體" w:hAnsi="Times New Roman" w:cs="Times New Roman"/>
                <w:szCs w:val="24"/>
              </w:rPr>
              <w:t>已新增於第一章第一節。</w:t>
            </w:r>
          </w:p>
          <w:p w:rsidR="001E6CBD" w:rsidRPr="00C77E77" w:rsidRDefault="001E6CBD" w:rsidP="001E6CBD">
            <w:pPr>
              <w:adjustRightInd w:val="0"/>
              <w:snapToGrid w:val="0"/>
              <w:spacing w:line="0" w:lineRule="atLeast"/>
              <w:jc w:val="both"/>
              <w:rPr>
                <w:rFonts w:ascii="Times New Roman" w:eastAsia="標楷體" w:hAnsi="Times New Roman" w:cs="Times New Roman"/>
                <w:szCs w:val="24"/>
              </w:rPr>
            </w:pPr>
          </w:p>
          <w:p w:rsidR="00C07360" w:rsidRPr="00C77E77" w:rsidRDefault="001E6CBD" w:rsidP="001E6CBD">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二</w:t>
            </w:r>
            <w:r w:rsidRPr="00C77E77">
              <w:rPr>
                <w:rFonts w:ascii="Times New Roman" w:eastAsia="標楷體" w:hAnsi="Times New Roman" w:cs="Times New Roman"/>
                <w:szCs w:val="24"/>
              </w:rPr>
              <w:t>)</w:t>
            </w:r>
            <w:r w:rsidR="00C07360" w:rsidRPr="00C77E77">
              <w:rPr>
                <w:rFonts w:ascii="Times New Roman" w:eastAsia="標楷體" w:hAnsi="Times New Roman" w:cs="Times New Roman"/>
                <w:szCs w:val="24"/>
              </w:rPr>
              <w:t>已增修第二章第三節。</w:t>
            </w:r>
          </w:p>
          <w:p w:rsidR="00C07360" w:rsidRPr="00C77E77" w:rsidRDefault="00C07360" w:rsidP="004A552C">
            <w:pPr>
              <w:pStyle w:val="ab"/>
              <w:adjustRightInd w:val="0"/>
              <w:snapToGrid w:val="0"/>
              <w:spacing w:line="0" w:lineRule="atLeast"/>
              <w:ind w:leftChars="0" w:left="600"/>
              <w:jc w:val="both"/>
              <w:rPr>
                <w:rFonts w:ascii="Times New Roman" w:eastAsia="標楷體" w:hAnsi="Times New Roman" w:cs="Times New Roman"/>
                <w:szCs w:val="24"/>
              </w:rPr>
            </w:pPr>
          </w:p>
          <w:p w:rsidR="00C07360" w:rsidRPr="00C77E77" w:rsidRDefault="00C07360" w:rsidP="004A552C">
            <w:pPr>
              <w:pStyle w:val="ab"/>
              <w:adjustRightInd w:val="0"/>
              <w:snapToGrid w:val="0"/>
              <w:spacing w:line="0" w:lineRule="atLeast"/>
              <w:ind w:leftChars="0" w:left="600"/>
              <w:jc w:val="both"/>
              <w:rPr>
                <w:rFonts w:ascii="Times New Roman" w:eastAsia="標楷體" w:hAnsi="Times New Roman" w:cs="Times New Roman"/>
                <w:szCs w:val="24"/>
              </w:rPr>
            </w:pPr>
          </w:p>
          <w:p w:rsidR="00C07360" w:rsidRPr="00C77E77" w:rsidRDefault="001E6CBD" w:rsidP="001E6CBD">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三</w:t>
            </w:r>
            <w:r w:rsidRPr="00C77E77">
              <w:rPr>
                <w:rFonts w:ascii="Times New Roman" w:eastAsia="標楷體" w:hAnsi="Times New Roman" w:cs="Times New Roman"/>
                <w:szCs w:val="24"/>
              </w:rPr>
              <w:t>)</w:t>
            </w:r>
            <w:r w:rsidR="00C07360" w:rsidRPr="00C77E77">
              <w:rPr>
                <w:rFonts w:ascii="Times New Roman" w:eastAsia="標楷體" w:hAnsi="Times New Roman" w:cs="Times New Roman"/>
                <w:szCs w:val="24"/>
              </w:rPr>
              <w:t>已更新於表</w:t>
            </w:r>
            <w:r w:rsidR="00C07360" w:rsidRPr="00C77E77">
              <w:rPr>
                <w:rFonts w:ascii="Times New Roman" w:eastAsia="標楷體" w:hAnsi="Times New Roman" w:cs="Times New Roman"/>
                <w:szCs w:val="24"/>
              </w:rPr>
              <w:t>2-3-1</w:t>
            </w:r>
            <w:r w:rsidR="00C07360" w:rsidRPr="00C77E77">
              <w:rPr>
                <w:rFonts w:ascii="Times New Roman" w:eastAsia="標楷體" w:hAnsi="Times New Roman" w:cs="Times New Roman"/>
                <w:szCs w:val="24"/>
              </w:rPr>
              <w:t>至表</w:t>
            </w:r>
            <w:r w:rsidR="00C07360" w:rsidRPr="00C77E77">
              <w:rPr>
                <w:rFonts w:ascii="Times New Roman" w:eastAsia="標楷體" w:hAnsi="Times New Roman" w:cs="Times New Roman"/>
                <w:szCs w:val="24"/>
              </w:rPr>
              <w:t>2-3-11</w:t>
            </w:r>
            <w:r w:rsidR="00C07360" w:rsidRPr="00C77E77">
              <w:rPr>
                <w:rFonts w:ascii="Times New Roman" w:eastAsia="標楷體" w:hAnsi="Times New Roman" w:cs="Times New Roman"/>
                <w:szCs w:val="24"/>
              </w:rPr>
              <w:t>。</w:t>
            </w:r>
          </w:p>
          <w:p w:rsidR="00C07360" w:rsidRPr="00C77E77" w:rsidRDefault="001E6CBD" w:rsidP="001E6CBD">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四</w:t>
            </w:r>
            <w:r w:rsidRPr="00C77E77">
              <w:rPr>
                <w:rFonts w:ascii="Times New Roman" w:eastAsia="標楷體" w:hAnsi="Times New Roman" w:cs="Times New Roman"/>
                <w:szCs w:val="24"/>
              </w:rPr>
              <w:t>)</w:t>
            </w:r>
            <w:r w:rsidR="00C07360" w:rsidRPr="00C77E77">
              <w:rPr>
                <w:rFonts w:ascii="Times New Roman" w:eastAsia="標楷體" w:hAnsi="Times New Roman" w:cs="Times New Roman"/>
                <w:szCs w:val="24"/>
              </w:rPr>
              <w:t>已撰寫</w:t>
            </w:r>
            <w:r w:rsidR="00C07360" w:rsidRPr="00C77E77">
              <w:rPr>
                <w:rFonts w:ascii="Times New Roman" w:eastAsia="標楷體" w:hAnsi="Times New Roman" w:cs="Times New Roman"/>
                <w:szCs w:val="24"/>
              </w:rPr>
              <w:t>p.223-225</w:t>
            </w:r>
            <w:r w:rsidR="00C07360" w:rsidRPr="00C77E77">
              <w:rPr>
                <w:rFonts w:ascii="Times New Roman" w:eastAsia="標楷體" w:hAnsi="Times New Roman" w:cs="Times New Roman"/>
                <w:szCs w:val="24"/>
              </w:rPr>
              <w:t>「區域整合趨勢對新南向政策之影響」。</w:t>
            </w:r>
          </w:p>
          <w:p w:rsidR="00C07360" w:rsidRPr="00C77E77" w:rsidRDefault="001E6CBD" w:rsidP="001E6CBD">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szCs w:val="24"/>
              </w:rPr>
              <w:t>(</w:t>
            </w:r>
            <w:r w:rsidRPr="00C77E77">
              <w:rPr>
                <w:rFonts w:ascii="Times New Roman" w:eastAsia="標楷體" w:hAnsi="Times New Roman" w:cs="Times New Roman"/>
                <w:szCs w:val="24"/>
              </w:rPr>
              <w:t>五</w:t>
            </w:r>
            <w:r w:rsidRPr="00C77E77">
              <w:rPr>
                <w:rFonts w:ascii="Times New Roman" w:eastAsia="標楷體" w:hAnsi="Times New Roman" w:cs="Times New Roman"/>
                <w:szCs w:val="24"/>
              </w:rPr>
              <w:t>)</w:t>
            </w:r>
            <w:r w:rsidR="00C07360" w:rsidRPr="00C77E77">
              <w:rPr>
                <w:rFonts w:ascii="Times New Roman" w:eastAsia="標楷體" w:hAnsi="Times New Roman" w:cs="Times New Roman"/>
                <w:szCs w:val="24"/>
              </w:rPr>
              <w:t>已新增連結性於</w:t>
            </w:r>
            <w:r w:rsidR="009D540C" w:rsidRPr="00C77E77">
              <w:rPr>
                <w:rFonts w:ascii="Times New Roman" w:eastAsia="標楷體" w:hAnsi="Times New Roman" w:cs="Times New Roman"/>
                <w:szCs w:val="24"/>
              </w:rPr>
              <w:t>p.121</w:t>
            </w:r>
            <w:r w:rsidR="00C07360" w:rsidRPr="00C77E77">
              <w:rPr>
                <w:rFonts w:ascii="Times New Roman" w:eastAsia="標楷體" w:hAnsi="Times New Roman" w:cs="Times New Roman"/>
                <w:szCs w:val="24"/>
              </w:rPr>
              <w:t>。並運用系統整合推動辦公室之相關資料於本研究報告之</w:t>
            </w:r>
            <w:r w:rsidR="00C07360" w:rsidRPr="00C77E77">
              <w:rPr>
                <w:rFonts w:ascii="Times New Roman" w:eastAsia="標楷體" w:hAnsi="Times New Roman" w:cs="Times New Roman"/>
                <w:szCs w:val="24"/>
              </w:rPr>
              <w:t>SWOT</w:t>
            </w:r>
            <w:r w:rsidR="00C07360" w:rsidRPr="00C77E77">
              <w:rPr>
                <w:rFonts w:ascii="Times New Roman" w:eastAsia="標楷體" w:hAnsi="Times New Roman" w:cs="Times New Roman"/>
                <w:szCs w:val="24"/>
              </w:rPr>
              <w:t>分析中。</w:t>
            </w:r>
          </w:p>
          <w:p w:rsidR="00C07360" w:rsidRPr="00C77E77" w:rsidRDefault="001E6CBD" w:rsidP="001E6CBD">
            <w:pPr>
              <w:adjustRightInd w:val="0"/>
              <w:snapToGrid w:val="0"/>
              <w:spacing w:line="0" w:lineRule="atLeast"/>
              <w:jc w:val="both"/>
              <w:rPr>
                <w:rFonts w:ascii="Times New Roman" w:eastAsia="標楷體" w:hAnsi="Times New Roman" w:cs="Times New Roman"/>
                <w:szCs w:val="24"/>
              </w:rPr>
            </w:pPr>
            <w:r w:rsidRPr="00C77E77">
              <w:rPr>
                <w:rFonts w:ascii="Times New Roman" w:eastAsia="標楷體" w:hAnsi="Times New Roman" w:cs="Times New Roman"/>
                <w:bCs/>
                <w:color w:val="000000"/>
                <w:szCs w:val="24"/>
              </w:rPr>
              <w:t>(</w:t>
            </w:r>
            <w:r w:rsidRPr="00C77E77">
              <w:rPr>
                <w:rFonts w:ascii="Times New Roman" w:eastAsia="標楷體" w:hAnsi="Times New Roman" w:cs="Times New Roman"/>
                <w:bCs/>
                <w:color w:val="000000"/>
                <w:szCs w:val="24"/>
              </w:rPr>
              <w:t>六</w:t>
            </w:r>
            <w:r w:rsidRPr="00C77E77">
              <w:rPr>
                <w:rFonts w:ascii="Times New Roman" w:eastAsia="標楷體" w:hAnsi="Times New Roman" w:cs="Times New Roman"/>
                <w:bCs/>
                <w:color w:val="000000"/>
                <w:szCs w:val="24"/>
              </w:rPr>
              <w:t>)</w:t>
            </w:r>
            <w:r w:rsidR="00C07360" w:rsidRPr="00C77E77">
              <w:rPr>
                <w:rFonts w:ascii="Times New Roman" w:eastAsia="標楷體" w:hAnsi="Times New Roman" w:cs="Times New Roman"/>
                <w:bCs/>
                <w:color w:val="000000"/>
                <w:szCs w:val="24"/>
              </w:rPr>
              <w:t>已針對不同國家可以推動「</w:t>
            </w:r>
            <w:r w:rsidR="00C07360" w:rsidRPr="00C77E77">
              <w:rPr>
                <w:rFonts w:ascii="Times New Roman" w:eastAsia="標楷體" w:hAnsi="Times New Roman" w:cs="Times New Roman"/>
                <w:bCs/>
                <w:color w:val="000000"/>
                <w:szCs w:val="24"/>
              </w:rPr>
              <w:t>10+2</w:t>
            </w:r>
            <w:r w:rsidR="00C07360" w:rsidRPr="00C77E77">
              <w:rPr>
                <w:rFonts w:ascii="Times New Roman" w:eastAsia="標楷體" w:hAnsi="Times New Roman" w:cs="Times New Roman"/>
                <w:bCs/>
                <w:color w:val="000000"/>
                <w:szCs w:val="24"/>
              </w:rPr>
              <w:t>」產業提出建議。詳見下列位置：電子收費</w:t>
            </w:r>
            <w:r w:rsidR="00C07360" w:rsidRPr="00C77E77">
              <w:rPr>
                <w:rFonts w:ascii="Times New Roman" w:eastAsia="標楷體" w:hAnsi="Times New Roman" w:cs="Times New Roman"/>
                <w:bCs/>
                <w:color w:val="000000"/>
                <w:szCs w:val="24"/>
              </w:rPr>
              <w:t>p. 182-183</w:t>
            </w:r>
            <w:r w:rsidR="00C07360"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電子化政府</w:t>
            </w:r>
            <w:r w:rsidRPr="00C77E77">
              <w:rPr>
                <w:rFonts w:ascii="Times New Roman" w:eastAsia="標楷體" w:hAnsi="Times New Roman" w:cs="Times New Roman"/>
                <w:bCs/>
                <w:color w:val="000000"/>
                <w:szCs w:val="24"/>
              </w:rPr>
              <w:t xml:space="preserve"> p.184</w:t>
            </w:r>
            <w:r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智慧校園</w:t>
            </w:r>
            <w:r w:rsidRPr="00C77E77">
              <w:rPr>
                <w:rFonts w:ascii="Times New Roman" w:eastAsia="標楷體" w:hAnsi="Times New Roman" w:cs="Times New Roman"/>
                <w:bCs/>
                <w:color w:val="000000"/>
                <w:szCs w:val="24"/>
              </w:rPr>
              <w:t>p.185-186</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電子商務</w:t>
            </w:r>
            <w:r w:rsidRPr="00C77E77">
              <w:rPr>
                <w:rFonts w:ascii="Times New Roman" w:eastAsia="標楷體" w:hAnsi="Times New Roman" w:cs="Times New Roman"/>
                <w:bCs/>
                <w:color w:val="000000"/>
                <w:szCs w:val="24"/>
              </w:rPr>
              <w:t>p.188-190</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智慧物流</w:t>
            </w:r>
            <w:r w:rsidRPr="00C77E77">
              <w:rPr>
                <w:rFonts w:ascii="Times New Roman" w:eastAsia="標楷體" w:hAnsi="Times New Roman" w:cs="Times New Roman"/>
                <w:bCs/>
                <w:color w:val="000000"/>
                <w:szCs w:val="24"/>
              </w:rPr>
              <w:t>p.191-194</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雲端系統</w:t>
            </w:r>
            <w:r w:rsidRPr="00C77E77">
              <w:rPr>
                <w:rFonts w:ascii="Times New Roman" w:eastAsia="標楷體" w:hAnsi="Times New Roman" w:cs="Times New Roman"/>
                <w:bCs/>
                <w:color w:val="000000"/>
                <w:szCs w:val="24"/>
              </w:rPr>
              <w:t>p.196-197</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太陽能產業</w:t>
            </w:r>
            <w:r w:rsidRPr="00C77E77">
              <w:rPr>
                <w:rFonts w:ascii="Times New Roman" w:eastAsia="標楷體" w:hAnsi="Times New Roman" w:cs="Times New Roman"/>
                <w:bCs/>
                <w:color w:val="000000"/>
                <w:szCs w:val="24"/>
              </w:rPr>
              <w:t>p.197-198</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LED p.199-200</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綠色運輸</w:t>
            </w:r>
            <w:r w:rsidRPr="00C77E77">
              <w:rPr>
                <w:rFonts w:ascii="Times New Roman" w:eastAsia="標楷體" w:hAnsi="Times New Roman" w:cs="Times New Roman"/>
                <w:bCs/>
                <w:color w:val="000000"/>
                <w:szCs w:val="24"/>
              </w:rPr>
              <w:t>p.201</w:t>
            </w:r>
            <w:r w:rsidRPr="00C77E77">
              <w:rPr>
                <w:rFonts w:ascii="Times New Roman" w:eastAsia="標楷體" w:hAnsi="Times New Roman" w:cs="Times New Roman"/>
                <w:bCs/>
                <w:color w:val="000000"/>
                <w:szCs w:val="24"/>
              </w:rPr>
              <w:t>；</w:t>
            </w:r>
          </w:p>
          <w:p w:rsidR="00C07360" w:rsidRPr="00C77E77" w:rsidRDefault="00C07360" w:rsidP="004A552C">
            <w:pPr>
              <w:pStyle w:val="ab"/>
              <w:adjustRightInd w:val="0"/>
              <w:snapToGrid w:val="0"/>
              <w:spacing w:line="0" w:lineRule="atLeast"/>
              <w:ind w:leftChars="0"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石化</w:t>
            </w:r>
            <w:r w:rsidRPr="00C77E77">
              <w:rPr>
                <w:rFonts w:ascii="Times New Roman" w:eastAsia="標楷體" w:hAnsi="Times New Roman" w:cs="Times New Roman"/>
                <w:bCs/>
                <w:color w:val="000000"/>
                <w:szCs w:val="24"/>
              </w:rPr>
              <w:t>p.202-203</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600" w:hanging="8"/>
              <w:rPr>
                <w:rFonts w:ascii="Times New Roman" w:eastAsia="標楷體" w:hAnsi="Times New Roman" w:cs="Times New Roman"/>
                <w:bCs/>
                <w:color w:val="000000"/>
                <w:szCs w:val="24"/>
              </w:rPr>
            </w:pPr>
            <w:r w:rsidRPr="00C77E77">
              <w:rPr>
                <w:rFonts w:ascii="Times New Roman" w:eastAsia="標楷體" w:hAnsi="Times New Roman" w:cs="Times New Roman"/>
                <w:bCs/>
                <w:color w:val="000000"/>
                <w:szCs w:val="24"/>
              </w:rPr>
              <w:t>智慧健康</w:t>
            </w:r>
            <w:r w:rsidRPr="00C77E77">
              <w:rPr>
                <w:rFonts w:ascii="Times New Roman" w:eastAsia="標楷體" w:hAnsi="Times New Roman" w:cs="Times New Roman"/>
                <w:bCs/>
                <w:color w:val="000000"/>
                <w:szCs w:val="24"/>
              </w:rPr>
              <w:t>p.204-206</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ind w:left="600" w:hanging="8"/>
              <w:rPr>
                <w:rFonts w:ascii="Times New Roman" w:eastAsia="標楷體" w:hAnsi="Times New Roman" w:cs="Times New Roman"/>
                <w:szCs w:val="24"/>
              </w:rPr>
            </w:pPr>
            <w:r w:rsidRPr="00C77E77">
              <w:rPr>
                <w:rFonts w:ascii="Times New Roman" w:eastAsia="標楷體" w:hAnsi="Times New Roman" w:cs="Times New Roman"/>
                <w:bCs/>
                <w:color w:val="000000"/>
                <w:szCs w:val="24"/>
              </w:rPr>
              <w:t>新農業</w:t>
            </w:r>
            <w:r w:rsidRPr="00C77E77">
              <w:rPr>
                <w:rFonts w:ascii="Times New Roman" w:eastAsia="標楷體" w:hAnsi="Times New Roman" w:cs="Times New Roman"/>
                <w:bCs/>
                <w:color w:val="000000"/>
                <w:szCs w:val="24"/>
              </w:rPr>
              <w:t>p. 209-212</w:t>
            </w:r>
            <w:r w:rsidRPr="00C77E77">
              <w:rPr>
                <w:rFonts w:ascii="Times New Roman" w:eastAsia="標楷體" w:hAnsi="Times New Roman" w:cs="Times New Roman"/>
                <w:bCs/>
                <w:color w:val="000000"/>
                <w:szCs w:val="24"/>
              </w:rPr>
              <w:t>。</w:t>
            </w:r>
          </w:p>
          <w:p w:rsidR="00C07360" w:rsidRPr="00C77E77" w:rsidRDefault="00C07360" w:rsidP="004A552C">
            <w:pPr>
              <w:adjustRightInd w:val="0"/>
              <w:snapToGrid w:val="0"/>
              <w:spacing w:line="0" w:lineRule="atLeast"/>
              <w:jc w:val="both"/>
              <w:rPr>
                <w:rFonts w:ascii="Times New Roman" w:eastAsia="標楷體" w:hAnsi="Times New Roman" w:cs="Times New Roman"/>
                <w:szCs w:val="24"/>
              </w:rPr>
            </w:pPr>
          </w:p>
        </w:tc>
      </w:tr>
    </w:tbl>
    <w:p w:rsidR="00006DCD" w:rsidRPr="00C77E77" w:rsidRDefault="00006DCD" w:rsidP="00AA7F31">
      <w:pPr>
        <w:spacing w:beforeLines="50" w:before="180" w:afterLines="50" w:after="180" w:line="500" w:lineRule="exact"/>
        <w:rPr>
          <w:rFonts w:ascii="Times New Roman" w:eastAsia="標楷體" w:hAnsi="Times New Roman" w:cs="Times New Roman"/>
        </w:rPr>
      </w:pPr>
    </w:p>
    <w:p w:rsidR="00277496" w:rsidRPr="00C77E77" w:rsidRDefault="00277496">
      <w:pPr>
        <w:rPr>
          <w:rFonts w:ascii="Times New Roman" w:hAnsi="Times New Roman" w:cs="Times New Roman"/>
        </w:rPr>
      </w:pPr>
      <w:r w:rsidRPr="00C77E77">
        <w:rPr>
          <w:rFonts w:ascii="Times New Roman" w:hAnsi="Times New Roman" w:cs="Times New Roman"/>
        </w:rPr>
        <w:br w:type="page"/>
      </w:r>
    </w:p>
    <w:p w:rsidR="00EC0CD9" w:rsidRPr="00C77E77" w:rsidRDefault="00EC0CD9">
      <w:pPr>
        <w:widowControl/>
        <w:rPr>
          <w:rFonts w:ascii="Times New Roman" w:hAnsi="Times New Roman" w:cs="Times New Roman"/>
        </w:rPr>
      </w:pPr>
    </w:p>
    <w:p w:rsidR="00006DCD" w:rsidRPr="00C77E77" w:rsidRDefault="00006DCD" w:rsidP="00006DCD">
      <w:pPr>
        <w:rPr>
          <w:rFonts w:ascii="Times New Roman" w:hAnsi="Times New Roman" w:cs="Times New Roman"/>
        </w:rPr>
      </w:pPr>
    </w:p>
    <w:p w:rsidR="00006DCD" w:rsidRPr="00C77E77" w:rsidRDefault="00006DCD" w:rsidP="00006DCD">
      <w:pPr>
        <w:widowControl/>
        <w:rPr>
          <w:rFonts w:ascii="Times New Roman" w:hAnsi="Times New Roman" w:cs="Times New Roman"/>
        </w:rPr>
      </w:pPr>
      <w:r w:rsidRPr="00C77E77">
        <w:rPr>
          <w:rFonts w:ascii="Times New Roman" w:hAnsi="Times New Roman" w:cs="Times New Roman"/>
        </w:rPr>
        <w:br w:type="page"/>
      </w:r>
    </w:p>
    <w:p w:rsidR="00FF05B0" w:rsidRPr="00C77E77" w:rsidRDefault="00FF05B0" w:rsidP="009F567C">
      <w:pPr>
        <w:pStyle w:val="1"/>
        <w:spacing w:beforeLines="50" w:afterLines="50" w:line="360" w:lineRule="auto"/>
        <w:rPr>
          <w:rFonts w:ascii="Times New Roman" w:eastAsia="標楷體" w:hAnsi="Times New Roman" w:cs="Times New Roman"/>
          <w:sz w:val="36"/>
          <w:szCs w:val="36"/>
        </w:rPr>
      </w:pPr>
      <w:bookmarkStart w:id="173" w:name="_Toc470676330"/>
      <w:r w:rsidRPr="00C77E77">
        <w:rPr>
          <w:rFonts w:ascii="Times New Roman" w:eastAsia="標楷體" w:hAnsi="Times New Roman" w:cs="Times New Roman"/>
          <w:color w:val="000000" w:themeColor="text1"/>
          <w:sz w:val="36"/>
          <w:szCs w:val="36"/>
        </w:rPr>
        <w:lastRenderedPageBreak/>
        <w:t>附錄</w:t>
      </w:r>
      <w:r w:rsidR="0039441E" w:rsidRPr="00C77E77">
        <w:rPr>
          <w:rFonts w:ascii="Times New Roman" w:eastAsia="標楷體" w:hAnsi="Times New Roman" w:cs="Times New Roman"/>
          <w:color w:val="000000" w:themeColor="text1"/>
          <w:sz w:val="36"/>
          <w:szCs w:val="36"/>
        </w:rPr>
        <w:t>三</w:t>
      </w:r>
      <w:r w:rsidRPr="00C77E77">
        <w:rPr>
          <w:rFonts w:ascii="Times New Roman" w:eastAsia="標楷體" w:hAnsi="Times New Roman" w:cs="Times New Roman"/>
          <w:color w:val="000000" w:themeColor="text1"/>
          <w:sz w:val="36"/>
          <w:szCs w:val="36"/>
        </w:rPr>
        <w:t>：</w:t>
      </w:r>
      <w:r w:rsidRPr="00C77E77">
        <w:rPr>
          <w:rFonts w:ascii="Times New Roman" w:eastAsia="標楷體" w:hAnsi="Times New Roman" w:cs="Times New Roman"/>
          <w:sz w:val="36"/>
          <w:szCs w:val="36"/>
        </w:rPr>
        <w:t>新南向政策綱領</w:t>
      </w:r>
      <w:bookmarkEnd w:id="170"/>
      <w:bookmarkEnd w:id="173"/>
    </w:p>
    <w:p w:rsidR="00FF05B0" w:rsidRPr="00C77E77" w:rsidRDefault="00FF05B0" w:rsidP="009F567C">
      <w:pPr>
        <w:spacing w:before="50" w:after="50"/>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中華民國總統府。</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16</w:t>
      </w:r>
      <w:r w:rsidRPr="00C77E77">
        <w:rPr>
          <w:rFonts w:ascii="Times New Roman" w:eastAsia="標楷體" w:hAnsi="Times New Roman" w:cs="Times New Roman"/>
          <w:sz w:val="28"/>
          <w:szCs w:val="28"/>
        </w:rPr>
        <w:t>日</w:t>
      </w:r>
    </w:p>
    <w:p w:rsidR="00FF05B0" w:rsidRPr="00C77E77" w:rsidRDefault="00FF05B0" w:rsidP="009F567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新南向政策是整體對外經貿戰略的重要一環，作為亞洲及亞太地區的重要成員，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灣必須因應全球情勢變化及區域整合趨勢，作出相應的調整。啟動新南向政策，是為我國新階段的經濟發展，尋求新的方向和新的動能，並重新定位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灣在亞洲發展的重要角色，創造未來價值；同時，亦藉此開啓我國和東協、南亞及紐澳等國家廣泛的協商和對話，期能建立緊密的合作，共創區域的發展和繁榮。</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壹、新南向政策重要目標</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一、總體及長程目標</w:t>
      </w:r>
    </w:p>
    <w:p w:rsidR="00FF05B0" w:rsidRPr="00C77E77" w:rsidRDefault="00FF05B0" w:rsidP="0001327A">
      <w:pPr>
        <w:pStyle w:val="ab"/>
        <w:numPr>
          <w:ilvl w:val="0"/>
          <w:numId w:val="36"/>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促進</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灣和東協、南亞及紐澳等國家的經貿、科技、文化等各層面的連結，共享資源、人才與市場，創造互利共赢的新合作模式，進而建立「經濟共同體意識」。</w:t>
      </w:r>
    </w:p>
    <w:p w:rsidR="00FF05B0" w:rsidRPr="00C77E77" w:rsidRDefault="00FF05B0" w:rsidP="0001327A">
      <w:pPr>
        <w:pStyle w:val="ab"/>
        <w:numPr>
          <w:ilvl w:val="0"/>
          <w:numId w:val="36"/>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建立廣泛的協商和對話機制，形塑和東協、南亞及紐澳等國家的合作共識，並有效解決相關問題和分歧，逐步累積互信及共同體意識。</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二、短中程目標</w:t>
      </w:r>
    </w:p>
    <w:p w:rsidR="00FF05B0" w:rsidRPr="00C77E77" w:rsidRDefault="00FF05B0" w:rsidP="0001327A">
      <w:pPr>
        <w:pStyle w:val="ab"/>
        <w:numPr>
          <w:ilvl w:val="0"/>
          <w:numId w:val="3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結合國家意志、政策誘因及企業商機，促進並擴大貿易、投資、觀光、文化及人才等雙向交流。</w:t>
      </w:r>
      <w:r w:rsidRPr="00C77E77">
        <w:rPr>
          <w:rFonts w:ascii="Times New Roman" w:eastAsia="標楷體" w:hAnsi="Times New Roman" w:cs="Times New Roman"/>
          <w:sz w:val="28"/>
          <w:szCs w:val="28"/>
        </w:rPr>
        <w:t xml:space="preserve"> </w:t>
      </w:r>
    </w:p>
    <w:p w:rsidR="00FF05B0" w:rsidRPr="00C77E77" w:rsidRDefault="00FF05B0" w:rsidP="0001327A">
      <w:pPr>
        <w:pStyle w:val="ab"/>
        <w:numPr>
          <w:ilvl w:val="0"/>
          <w:numId w:val="3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配合經濟發展新模式，推動產業新南向戰略佈局。</w:t>
      </w:r>
    </w:p>
    <w:p w:rsidR="00FF05B0" w:rsidRPr="00C77E77" w:rsidRDefault="00FF05B0" w:rsidP="0001327A">
      <w:pPr>
        <w:pStyle w:val="ab"/>
        <w:numPr>
          <w:ilvl w:val="0"/>
          <w:numId w:val="3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充實並培育新南向人才，突破發展瓶頸。</w:t>
      </w:r>
    </w:p>
    <w:p w:rsidR="00FF05B0" w:rsidRPr="00C77E77" w:rsidRDefault="00FF05B0" w:rsidP="0001327A">
      <w:pPr>
        <w:pStyle w:val="ab"/>
        <w:numPr>
          <w:ilvl w:val="0"/>
          <w:numId w:val="3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擴大多邊和雙邊協商及對話，加強經濟合作，並化解爭議和分歧。</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貳、新南向政策行動準則</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一、長期深耕，建立經濟共同體意識</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推動新南向政策，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已有長期基礎及有利條件，但從過去經驗及外在環境顯示，新南向是不能急功近利、挑戰重重的道路，我們必須一步一腳印，從長期深耕、全方位發展的方向，和東協、南亞及紐澳等國家建立策略性夥伴的關係，並逐步建立「經濟共同體意識」，才能厚植基礎，突破各種困難和瓶頸。</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二、適切定位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灣在區域發展的未來角色</w:t>
      </w:r>
    </w:p>
    <w:p w:rsidR="00FF05B0" w:rsidRPr="00C77E77" w:rsidRDefault="00FF05B0" w:rsidP="009F567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過去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灣經濟發展的成就，立基於符合本身比較利益的外向策略及代工生產模式，在全球供應鏈佔有一席之地，並在亞洲扮演資金、技術提供者及資源整合者的關鍵角色。面對全球供應鏈重整及新興市場崛起，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灣在區域發展的角色須重新定位，未來將致力打造經濟發展新模式，以創新、就業、分配為核心元素，形塑新的生產及生活模式，作為亞洲乃至亞太國家典範，扮演「創新者、分享者及服務者」的角色。</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三、推動四大連結策略</w:t>
      </w:r>
    </w:p>
    <w:p w:rsidR="00FF05B0" w:rsidRPr="00C77E77" w:rsidRDefault="00FF05B0" w:rsidP="0001327A">
      <w:pPr>
        <w:pStyle w:val="ab"/>
        <w:numPr>
          <w:ilvl w:val="0"/>
          <w:numId w:val="3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軟實力連結</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東協、南亞及紐澳等國家，都是世界各國經營關係的重點，</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灣的最大優勢在科技、人文等軟實力。未來應特別重視以軟實力為核心的連結策略，運用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灣在醫療、教育、科技發展、農業合作、中小企業等廣泛經驗，推動和東協、南亞及紐澳等國家的多邊或雙邊合作事項。</w:t>
      </w:r>
    </w:p>
    <w:p w:rsidR="00FF05B0" w:rsidRPr="00C77E77" w:rsidRDefault="00FF05B0" w:rsidP="0001327A">
      <w:pPr>
        <w:pStyle w:val="ab"/>
        <w:numPr>
          <w:ilvl w:val="0"/>
          <w:numId w:val="3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供應鏈連結</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在貿易和投資方面，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和東協、南亞及紐澳等國家具有高度互補性，但受結構性因素影響，近年若干產業已出現停滯甚至衰退現象，未來要促進貿易和投資，須從供應鏈整合著手，在資通訊、內需產業、能源及石化、新農業、金融服務等領域，建立供應鏈的連結。在下一世代的產業和貿易分工合作方面，亦須及早佈局，從五大創新產業切入，為多邊參與及合作預留空</w:t>
      </w:r>
      <w:r w:rsidRPr="00C77E77">
        <w:rPr>
          <w:rFonts w:ascii="Times New Roman" w:eastAsia="標楷體" w:hAnsi="Times New Roman" w:cs="Times New Roman"/>
          <w:sz w:val="28"/>
          <w:szCs w:val="28"/>
        </w:rPr>
        <w:lastRenderedPageBreak/>
        <w:t>間；中小企業合作也應納為合作重點。</w:t>
      </w:r>
    </w:p>
    <w:p w:rsidR="00FF05B0" w:rsidRPr="00C77E77" w:rsidRDefault="00FF05B0" w:rsidP="0001327A">
      <w:pPr>
        <w:pStyle w:val="ab"/>
        <w:numPr>
          <w:ilvl w:val="0"/>
          <w:numId w:val="3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區域市場連結</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東協、南亞及紐澳等國家所處地域遼闊，發展程度、文化、習俗、法規制度等差異甚大，要促進雙向投資及貿易，擴大經濟合作動能，必須加強區域內不同市場的連結，因此，投資軟硬體基礎設施，加強區域市場連結，既是和東協、南亞及紐澳等國家合作的關鍵，也是龐大商機。未來須依據我們本身的條件，積極爭取參與該等地區的基礎建設，並運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灣在資通訊軟體的技術優勢，推動和東協、南亞及紐澳等國家的網路連結。另一方面，應同步推動法規制度的調整，以擴大和區域市場的連結。</w:t>
      </w:r>
    </w:p>
    <w:p w:rsidR="00FF05B0" w:rsidRPr="00C77E77" w:rsidRDefault="00FF05B0" w:rsidP="0001327A">
      <w:pPr>
        <w:pStyle w:val="ab"/>
        <w:numPr>
          <w:ilvl w:val="0"/>
          <w:numId w:val="3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人和人連結</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觀光旅遊是人民和人民往來的核心，也是不同文化交流融合的催化劑，要建立和東協、南亞及紐澳等國家的緊密關係，推動人與人的連結是核心工程，未來應結合觀光和文化資源，推動雙向往來和交流，落實以人為核心的新南向精神。</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四、充實及培育南向人才</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新南向政策成功的關鍵，在於突破南向人才短缺的瓶頸，未來須從培育長期人才及充實短期人才，雙管齊下，充裕新南向人才庫。政府應投入更多資源，結合技職教育、產業發展和南向人才培育，提供企業所需的長短期人才，並應鼓勵新住民參與新南向工作，及普及語言訓練，充裕新南向的語言人才。</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五、推動雙邊和多邊制度化合作</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推動和主要貿易夥伴的制度化經濟合作，參與區域經濟整合，是我們一貫目標及努力的方向。未來應繼續推動和東協、南亞及紐澳等國家簽訂雙邊投資、租稅等協定，並積極和主要貿易夥伴洽簽</w:t>
      </w:r>
      <w:r w:rsidRPr="00C77E77">
        <w:rPr>
          <w:rFonts w:ascii="Times New Roman" w:eastAsia="標楷體" w:hAnsi="Times New Roman" w:cs="Times New Roman"/>
          <w:sz w:val="28"/>
          <w:szCs w:val="28"/>
        </w:rPr>
        <w:t>ECA</w:t>
      </w:r>
      <w:r w:rsidRPr="00C77E77">
        <w:rPr>
          <w:rFonts w:ascii="Times New Roman" w:eastAsia="標楷體" w:hAnsi="Times New Roman" w:cs="Times New Roman"/>
          <w:sz w:val="28"/>
          <w:szCs w:val="28"/>
        </w:rPr>
        <w:t>或個別項目經濟合作，以厚植加入</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的基礎和能量。</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六、規劃完整配套及有效控管風險</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新南向政策要可長可久，須作綜合性、全方位的努力，政府各部門都要扮演適切角色，規劃建立完整的配套，包括鬆綁法規，暢通人流、物流及金流，提供便利融資管道、技術支援及充分資訊，以及外援配合等，以支援新南向政策工作的落實推動。另一方面，亦須重視風險管理，充分掌握新南向國家可能的政治及經濟風險；推動和個別國家的連結及合作，應依據當地政情及僑情，作適切規劃，同時應建立重大事件預警及應變機制，有效管控各種可能的風險。</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七、積極參與國際合作</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東協及南亞國家屬新興市場的重要一環，美國、日本、中國大陸等皆有積極性策略拓展和該等國家關係，國際組織包括世銀、亞銀等亦投入資源協助區域發展，</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灣應積極參與國際合作，並和友我國家建立策略聯盟關係，共同開拓和東協及南亞國家之各項連結。</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八、全面強化協商對話機制</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推動新南向政策，展開和東協、南亞及紐澳等國家廣泛的溝通和對話，是非常重要且關鍵的工作，未來應全面強化協商及對話機制，並配合行政院對外經貿談判辦公室成立，結合外交部、經濟部等相關機關，提高對外談判能量，和東協、南亞及紐澳等國家進行多層次、全方位的協商及對話，以排除各種制度性和政策性的障礙及阻力。</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九、兩岸善意互動及合作</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在區域和平及發展上，海峽兩岸都肩負很大的責任，也存在很多共同的利益，和東協、南亞及紐澳等國家的經濟合作，兩岸各具不同條件和優勢，若相互合作，可以發揮更大的力量。所以，未來不排除在適當時機，和對岸就相關議題及合作事項，展開協商和對話，促使新南向政策和兩岸關係能相輔相成，共創區域合作的典範。</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十、善用民間組織及活力</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新南向政策須普遍落實在民間各個層面的交流，因此，須善用民間組織包括學術、科研、宗教、文化、藝術、工商團體、</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商協會、</w:t>
      </w:r>
      <w:r w:rsidRPr="00C77E77">
        <w:rPr>
          <w:rFonts w:ascii="Times New Roman" w:eastAsia="標楷體" w:hAnsi="Times New Roman" w:cs="Times New Roman"/>
          <w:sz w:val="28"/>
          <w:szCs w:val="28"/>
        </w:rPr>
        <w:t>NGO</w:t>
      </w:r>
      <w:r w:rsidRPr="00C77E77">
        <w:rPr>
          <w:rFonts w:ascii="Times New Roman" w:eastAsia="標楷體" w:hAnsi="Times New Roman" w:cs="Times New Roman"/>
          <w:sz w:val="28"/>
          <w:szCs w:val="28"/>
        </w:rPr>
        <w:t>等，鼓勵及協助其參與新南向工作，讓民間活力可以充分發揮，扮演新南向前鋒的角色。</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參、新南向政策推動架構</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一、政府部門分工</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新南向政策涉及範圍廣泛，總統府、國安會、行政院、各有關部會，應本於各自權責，擬定政策綱領、整體推動方案、個別工作計畫及各領域的旗艦計畫，有計畫、有步驟、有重點地循序展開相關工作。</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二、建立和民意部門及地方政府的協調機制</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 xml:space="preserve">　　新南向政策要全面展開、落實推動，亦須有民意部門支持與地方政府的參與及配合，因此，中央政府應建立和立法院及地方政府的協調及連繫機制，結合整體力量，為新南向政策作出積極的貢獻和成果。</w:t>
      </w:r>
    </w:p>
    <w:p w:rsidR="00E77DD6" w:rsidRPr="00C77E77" w:rsidRDefault="00FF05B0" w:rsidP="00FF05B0">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FF05B0" w:rsidRPr="00C77E77" w:rsidRDefault="00E77DD6" w:rsidP="00FF05B0">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br w:type="page"/>
      </w:r>
    </w:p>
    <w:p w:rsidR="00FF05B0" w:rsidRPr="00C77E77" w:rsidRDefault="00FF05B0" w:rsidP="009F567C">
      <w:pPr>
        <w:pStyle w:val="1"/>
        <w:spacing w:beforeLines="50" w:afterLines="50" w:line="240" w:lineRule="auto"/>
        <w:rPr>
          <w:rFonts w:ascii="Times New Roman" w:eastAsia="標楷體" w:hAnsi="Times New Roman" w:cs="Times New Roman"/>
          <w:sz w:val="36"/>
          <w:szCs w:val="32"/>
        </w:rPr>
      </w:pPr>
      <w:bookmarkStart w:id="174" w:name="_Toc461553485"/>
      <w:bookmarkStart w:id="175" w:name="_Toc470676331"/>
      <w:r w:rsidRPr="00C77E77">
        <w:rPr>
          <w:rFonts w:ascii="Times New Roman" w:eastAsia="標楷體" w:hAnsi="Times New Roman" w:cs="Times New Roman"/>
          <w:sz w:val="36"/>
          <w:szCs w:val="32"/>
        </w:rPr>
        <w:lastRenderedPageBreak/>
        <w:t>附錄</w:t>
      </w:r>
      <w:r w:rsidR="0039441E" w:rsidRPr="00C77E77">
        <w:rPr>
          <w:rFonts w:ascii="Times New Roman" w:eastAsia="標楷體" w:hAnsi="Times New Roman" w:cs="Times New Roman"/>
          <w:sz w:val="36"/>
          <w:szCs w:val="32"/>
        </w:rPr>
        <w:t>四</w:t>
      </w:r>
      <w:r w:rsidRPr="00C77E77">
        <w:rPr>
          <w:rFonts w:ascii="Times New Roman" w:eastAsia="標楷體" w:hAnsi="Times New Roman" w:cs="Times New Roman"/>
          <w:sz w:val="36"/>
          <w:szCs w:val="32"/>
        </w:rPr>
        <w:t>：新南向政策推動計劃</w:t>
      </w:r>
      <w:bookmarkEnd w:id="174"/>
      <w:bookmarkEnd w:id="175"/>
    </w:p>
    <w:p w:rsidR="00FF05B0" w:rsidRPr="00C77E77" w:rsidRDefault="00FF05B0" w:rsidP="009F567C">
      <w:pPr>
        <w:spacing w:beforeLines="50" w:before="180" w:afterLines="50" w:after="180" w:line="360" w:lineRule="auto"/>
        <w:ind w:firstLineChars="202" w:firstLine="566"/>
        <w:jc w:val="right"/>
        <w:rPr>
          <w:rFonts w:ascii="Times New Roman" w:eastAsia="標楷體" w:hAnsi="Times New Roman" w:cs="Times New Roman"/>
          <w:sz w:val="28"/>
          <w:szCs w:val="28"/>
        </w:rPr>
      </w:pPr>
      <w:r w:rsidRPr="00C77E77">
        <w:rPr>
          <w:rFonts w:ascii="Times New Roman" w:eastAsia="標楷體" w:hAnsi="Times New Roman" w:cs="Times New Roman"/>
          <w:sz w:val="28"/>
          <w:szCs w:val="28"/>
        </w:rPr>
        <w:t>中華民國行政院。</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日</w:t>
      </w:r>
    </w:p>
    <w:p w:rsidR="00FF05B0" w:rsidRPr="00C77E77" w:rsidRDefault="00FF05B0" w:rsidP="009F567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行政院依據總統於</w:t>
      </w:r>
      <w:r w:rsidRPr="00C77E77">
        <w:rPr>
          <w:rFonts w:ascii="Times New Roman" w:eastAsia="標楷體" w:hAnsi="Times New Roman" w:cs="Times New Roman"/>
          <w:sz w:val="28"/>
          <w:szCs w:val="28"/>
        </w:rPr>
        <w:t>105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16</w:t>
      </w:r>
      <w:r w:rsidRPr="00C77E77">
        <w:rPr>
          <w:rFonts w:ascii="Times New Roman" w:eastAsia="標楷體" w:hAnsi="Times New Roman" w:cs="Times New Roman"/>
          <w:sz w:val="28"/>
          <w:szCs w:val="28"/>
        </w:rPr>
        <w:t>日召開之對外經貿戰略會談，通過之「新南向政策」政策綱領，於今日正式提出「新南向政策推動計畫」。「新南向政策推動計畫」將秉持「長期深耕、多元開展、雙向互惠」核心理念，整合各部會、地方政府，以及民間企業與團體的資源與力量，從「經貿合作」、「人才交流」、「資源共享」與「區域鏈結」四大面向著手，期望與東協、南亞及紐澳等國家，創造互利共贏的新合作模式，建立「經濟共同體意識」。</w:t>
      </w:r>
    </w:p>
    <w:p w:rsidR="00FF05B0" w:rsidRPr="00C77E77" w:rsidRDefault="00FF05B0" w:rsidP="009F567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本推動計畫請行政院經貿談判辦公室負責政策協調及推動執行，務求各相關部會擬訂具體方案與工作項目，並設定</w:t>
      </w:r>
      <w:r w:rsidRPr="00C77E77">
        <w:rPr>
          <w:rFonts w:ascii="Times New Roman" w:eastAsia="標楷體" w:hAnsi="Times New Roman" w:cs="Times New Roman"/>
          <w:sz w:val="28"/>
          <w:szCs w:val="28"/>
        </w:rPr>
        <w:t>KPI</w:t>
      </w:r>
      <w:r w:rsidRPr="00C77E77">
        <w:rPr>
          <w:rFonts w:ascii="Times New Roman" w:eastAsia="標楷體" w:hAnsi="Times New Roman" w:cs="Times New Roman"/>
          <w:sz w:val="28"/>
          <w:szCs w:val="28"/>
        </w:rPr>
        <w:t>，國發會負責管考作業，務必如期如質完成既定目標。以下茲就本案四大工作主軸說明如下：</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經貿合作</w:t>
      </w:r>
    </w:p>
    <w:p w:rsidR="00FF05B0" w:rsidRPr="00C77E77" w:rsidRDefault="00FF05B0" w:rsidP="009F567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改變過去以東協及南亞為出口代工基地的型態，擴大與夥伴國產業供應鏈整合、內需市場連結及基建工程合作，建立新經貿夥伴關係。</w:t>
      </w:r>
    </w:p>
    <w:p w:rsidR="00FF05B0" w:rsidRPr="00C77E77" w:rsidRDefault="00FF05B0" w:rsidP="0001327A">
      <w:pPr>
        <w:pStyle w:val="ab"/>
        <w:numPr>
          <w:ilvl w:val="0"/>
          <w:numId w:val="3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產業價值鏈整合：針對當地產業能量與需求，強化具競爭優勢產業與各國供應鏈之結合，如由五大創新產業切入，輔導電子收費</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、智慧醫療、智慧校園等物聯網系統輸出；成立臺灣窗口</w:t>
      </w:r>
      <w:r w:rsidRPr="00C77E77">
        <w:rPr>
          <w:rFonts w:ascii="Times New Roman" w:eastAsia="標楷體" w:hAnsi="Times New Roman" w:cs="Times New Roman"/>
          <w:sz w:val="28"/>
          <w:szCs w:val="28"/>
        </w:rPr>
        <w:t>(Taiwan Desk)</w:t>
      </w:r>
      <w:r w:rsidRPr="00C77E77">
        <w:rPr>
          <w:rFonts w:ascii="Times New Roman" w:eastAsia="標楷體" w:hAnsi="Times New Roman" w:cs="Times New Roman"/>
          <w:sz w:val="28"/>
          <w:szCs w:val="28"/>
        </w:rPr>
        <w:t>，連結在地資源，協助臺商在地群聚布局，成立新南向經貿拓展單一窗口，扮演「尋找、開創、整合、促成」雙邊貿易機會之平臺。</w:t>
      </w:r>
    </w:p>
    <w:p w:rsidR="00FF05B0" w:rsidRPr="00C77E77" w:rsidRDefault="00FF05B0" w:rsidP="0001327A">
      <w:pPr>
        <w:pStyle w:val="ab"/>
        <w:numPr>
          <w:ilvl w:val="0"/>
          <w:numId w:val="3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內需市場連結：善用跨境電商搭配實體通路，拓銷優質平價消費商品，推動教育、健康、醫療、餐飲等新興服務產業輸出，並型塑臺灣產業品牌形象。</w:t>
      </w:r>
    </w:p>
    <w:p w:rsidR="00FF05B0" w:rsidRPr="00C77E77" w:rsidRDefault="00FF05B0" w:rsidP="0001327A">
      <w:pPr>
        <w:pStyle w:val="ab"/>
        <w:numPr>
          <w:ilvl w:val="0"/>
          <w:numId w:val="3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基建工程合作：成立基礎建設及整廠輸出之海外輸出協作平臺，籌組電廠、石化、環保等基礎建設輸出旗艦團隊，尋求與第三國廠商策略聯盟。</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二、</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人才交流</w:t>
      </w:r>
    </w:p>
    <w:p w:rsidR="00FF05B0" w:rsidRPr="00C77E77" w:rsidRDefault="00FF05B0" w:rsidP="009F567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強調以「人」為核心，深化雙邊青年學者、學生、產業人力的交流與培育，促進與夥伴國人才資源的互補與共享。</w:t>
      </w:r>
    </w:p>
    <w:p w:rsidR="00FF05B0" w:rsidRPr="00C77E77" w:rsidRDefault="00FF05B0" w:rsidP="0001327A">
      <w:pPr>
        <w:pStyle w:val="ab"/>
        <w:numPr>
          <w:ilvl w:val="0"/>
          <w:numId w:val="4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教育深耕：擴編臺灣獎學金，吸引東協及南亞學生；配合國內產業需求，建立「產學合作專班」、「外國青年技術訓練班」，並提供學成後媒合就業；鼓勵大學校院赴海外開設分校或專班，或開辦先修銜接教育課程；推動國中小新住民語文教學，鼓勵大學校院強化東南亞語言及區域貿易人才培育。</w:t>
      </w:r>
    </w:p>
    <w:p w:rsidR="00FF05B0" w:rsidRPr="00C77E77" w:rsidRDefault="00FF05B0" w:rsidP="0001327A">
      <w:pPr>
        <w:pStyle w:val="ab"/>
        <w:numPr>
          <w:ilvl w:val="0"/>
          <w:numId w:val="4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產業人力：針對來臺從事專門性或技術性工作的外籍移工，研議建立評點制度，符合條件者可延長居留年限，並鼓勵參與技職培訓與報考證照；強化雙向專業人力交流，確保赴外工作人員回臺社福保障之銜接，並簡化來臺申辦程序，強化人才供需媒合，協助國內企業尋才。</w:t>
      </w:r>
    </w:p>
    <w:p w:rsidR="00FF05B0" w:rsidRPr="00C77E77" w:rsidRDefault="00FF05B0" w:rsidP="0001327A">
      <w:pPr>
        <w:pStyle w:val="ab"/>
        <w:numPr>
          <w:ilvl w:val="0"/>
          <w:numId w:val="4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住民力量發揮：協助第一代新住民利用其語言及文化之優勢，取得相關證照與就業（如母語教學、觀光等）；鼓勵大專院校開設南向專業科系或學程，給予具南向語言優勢的學生加分錄取機會，培育第二代新住民為南向種籽。</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三、</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資源共享</w:t>
      </w:r>
    </w:p>
    <w:p w:rsidR="00FF05B0" w:rsidRPr="00C77E77" w:rsidRDefault="00FF05B0" w:rsidP="009F567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運用文化、觀光、醫療、科技、農業、中小企業等軟實力，爭取雙邊及多邊合作機會，提升夥伴國生活品質，並拓展我國經貿發展縱深。</w:t>
      </w:r>
    </w:p>
    <w:p w:rsidR="00FF05B0" w:rsidRPr="00C77E77" w:rsidRDefault="00FF05B0" w:rsidP="0001327A">
      <w:pPr>
        <w:pStyle w:val="ab"/>
        <w:numPr>
          <w:ilvl w:val="0"/>
          <w:numId w:val="4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醫療：促進與東協、南亞及紐澳國家醫藥雙邊認證、新藥及醫材開發合作；協助東協及南亞國家培育醫療衛生人才。</w:t>
      </w:r>
    </w:p>
    <w:p w:rsidR="00FF05B0" w:rsidRPr="00C77E77" w:rsidRDefault="00FF05B0" w:rsidP="0001327A">
      <w:pPr>
        <w:pStyle w:val="ab"/>
        <w:numPr>
          <w:ilvl w:val="0"/>
          <w:numId w:val="4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文化：藉由影視、廣播、線上遊戲，行銷臺灣文化品牌；鼓勵地方政府與東協、南亞及紐澳國家，進行城市交流與合作。</w:t>
      </w:r>
    </w:p>
    <w:p w:rsidR="00FF05B0" w:rsidRPr="00C77E77" w:rsidRDefault="00FF05B0" w:rsidP="0001327A">
      <w:pPr>
        <w:pStyle w:val="ab"/>
        <w:numPr>
          <w:ilvl w:val="0"/>
          <w:numId w:val="4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觀光：放寬東協及南亞國家來臺觀光簽證；多元宣傳觀光，提高導遊質</w:t>
      </w:r>
      <w:r w:rsidRPr="00C77E77">
        <w:rPr>
          <w:rFonts w:ascii="Times New Roman" w:eastAsia="標楷體" w:hAnsi="Times New Roman" w:cs="Times New Roman"/>
          <w:sz w:val="28"/>
          <w:szCs w:val="28"/>
        </w:rPr>
        <w:lastRenderedPageBreak/>
        <w:t>量，建立穆斯林旅遊之友善環境。</w:t>
      </w:r>
    </w:p>
    <w:p w:rsidR="00FF05B0" w:rsidRPr="00C77E77" w:rsidRDefault="00FF05B0" w:rsidP="0001327A">
      <w:pPr>
        <w:pStyle w:val="ab"/>
        <w:numPr>
          <w:ilvl w:val="0"/>
          <w:numId w:val="4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科技：建置科技交流平臺，強化科學園區及法人跨國鏈結，推動智慧災防等技術交流。</w:t>
      </w:r>
    </w:p>
    <w:p w:rsidR="00FF05B0" w:rsidRPr="00C77E77" w:rsidRDefault="00FF05B0" w:rsidP="0001327A">
      <w:pPr>
        <w:pStyle w:val="ab"/>
        <w:numPr>
          <w:ilvl w:val="0"/>
          <w:numId w:val="4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農業：成立「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灣國際農業開發（股）公司」，以國家品牌擴展海外市場；提供農技協助，推廣生物性資材及農機具，提升夥伴國經營能力。</w:t>
      </w:r>
    </w:p>
    <w:p w:rsidR="00FF05B0" w:rsidRPr="00C77E77" w:rsidRDefault="00FF05B0" w:rsidP="009F567C">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四、</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區域鏈結</w:t>
      </w:r>
    </w:p>
    <w:p w:rsidR="00FF05B0" w:rsidRPr="00C77E77" w:rsidRDefault="00FF05B0" w:rsidP="009F567C">
      <w:pPr>
        <w:spacing w:beforeLines="50" w:before="180" w:afterLines="50" w:after="18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擴大與夥伴國的多邊與雙邊制度化合作，加強協商及對話，並改變過去單打獨鬥模式，善用民間團體、僑民網絡及第三國力量，共同促進區域的安定與繁榮。</w:t>
      </w:r>
    </w:p>
    <w:p w:rsidR="00FF05B0" w:rsidRPr="00C77E77" w:rsidRDefault="00FF05B0" w:rsidP="0001327A">
      <w:pPr>
        <w:pStyle w:val="ab"/>
        <w:numPr>
          <w:ilvl w:val="0"/>
          <w:numId w:val="4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區域整合：積極和東協主要貿易夥伴與印度洽簽</w:t>
      </w:r>
      <w:r w:rsidRPr="00C77E77">
        <w:rPr>
          <w:rFonts w:ascii="Times New Roman" w:eastAsia="標楷體" w:hAnsi="Times New Roman" w:cs="Times New Roman"/>
          <w:sz w:val="28"/>
          <w:szCs w:val="28"/>
        </w:rPr>
        <w:t>ECA</w:t>
      </w:r>
      <w:r w:rsidRPr="00C77E77">
        <w:rPr>
          <w:rFonts w:ascii="Times New Roman" w:eastAsia="標楷體" w:hAnsi="Times New Roman" w:cs="Times New Roman"/>
          <w:sz w:val="28"/>
          <w:szCs w:val="28"/>
        </w:rPr>
        <w:t>或個別經濟合作項目；更新及強化已簽訂的雙邊投資及租稅協定，並建立重大事件預警及應變機制，有效掌握可能風險。</w:t>
      </w:r>
    </w:p>
    <w:p w:rsidR="00FF05B0" w:rsidRPr="00C77E77" w:rsidRDefault="00FF05B0" w:rsidP="0001327A">
      <w:pPr>
        <w:pStyle w:val="ab"/>
        <w:numPr>
          <w:ilvl w:val="0"/>
          <w:numId w:val="4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協商對話：推動與東協、南亞及紐澳進行多層次、全方位的協定與對話，並於適當時機和對岸就相關議題及合作事項，展開對話及協商。</w:t>
      </w:r>
    </w:p>
    <w:p w:rsidR="00FF05B0" w:rsidRPr="00C77E77" w:rsidRDefault="00FF05B0" w:rsidP="0001327A">
      <w:pPr>
        <w:pStyle w:val="ab"/>
        <w:numPr>
          <w:ilvl w:val="0"/>
          <w:numId w:val="4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策略聯盟：調整援外資源配置，完善援外推動機制，擴大業者參與當地國經建計畫；與第三國（如日本、新加坡）協力進軍東協、南亞及紐澳市場，並強化與民間企業及</w:t>
      </w:r>
      <w:r w:rsidRPr="00C77E77">
        <w:rPr>
          <w:rFonts w:ascii="Times New Roman" w:eastAsia="標楷體" w:hAnsi="Times New Roman" w:cs="Times New Roman"/>
          <w:sz w:val="28"/>
          <w:szCs w:val="28"/>
        </w:rPr>
        <w:t>NGO</w:t>
      </w:r>
      <w:r w:rsidRPr="00C77E77">
        <w:rPr>
          <w:rFonts w:ascii="Times New Roman" w:eastAsia="標楷體" w:hAnsi="Times New Roman" w:cs="Times New Roman"/>
          <w:sz w:val="28"/>
          <w:szCs w:val="28"/>
        </w:rPr>
        <w:t>團體合作。</w:t>
      </w:r>
    </w:p>
    <w:p w:rsidR="00FF05B0" w:rsidRPr="00C77E77" w:rsidRDefault="00FF05B0" w:rsidP="0001327A">
      <w:pPr>
        <w:pStyle w:val="ab"/>
        <w:widowControl/>
        <w:numPr>
          <w:ilvl w:val="0"/>
          <w:numId w:val="42"/>
        </w:numPr>
        <w:spacing w:before="50" w:after="50" w:line="500" w:lineRule="exact"/>
        <w:ind w:leftChars="0"/>
        <w:rPr>
          <w:rFonts w:ascii="Times New Roman" w:eastAsia="標楷體" w:hAnsi="Times New Roman" w:cs="Times New Roman"/>
          <w:sz w:val="28"/>
          <w:szCs w:val="28"/>
        </w:rPr>
      </w:pPr>
      <w:r w:rsidRPr="00C77E77">
        <w:rPr>
          <w:rFonts w:ascii="Times New Roman" w:eastAsia="標楷體" w:hAnsi="Times New Roman" w:cs="Times New Roman"/>
          <w:sz w:val="28"/>
          <w:szCs w:val="28"/>
        </w:rPr>
        <w:t>僑民網絡：建立僑民資料庫與交流平臺</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包括：留臺畢業生、當地臺商、僑民</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；善用在地僑商及臺商經貿網絡，強化與臺灣企業的連結。</w:t>
      </w:r>
    </w:p>
    <w:p w:rsidR="00E77DD6" w:rsidRPr="00C77E77" w:rsidRDefault="009F567C">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E77DD6" w:rsidRPr="00C77E77" w:rsidRDefault="00E77DD6">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br w:type="page"/>
      </w:r>
    </w:p>
    <w:p w:rsidR="009F567C" w:rsidRPr="00C77E77" w:rsidRDefault="009F567C" w:rsidP="00EC6610">
      <w:pPr>
        <w:pStyle w:val="1"/>
        <w:rPr>
          <w:rFonts w:ascii="Times New Roman" w:eastAsia="標楷體" w:hAnsi="Times New Roman" w:cs="Times New Roman"/>
          <w:sz w:val="34"/>
          <w:szCs w:val="34"/>
        </w:rPr>
      </w:pPr>
      <w:bookmarkStart w:id="176" w:name="_Toc470676332"/>
      <w:r w:rsidRPr="00C77E77">
        <w:rPr>
          <w:rFonts w:ascii="Times New Roman" w:eastAsia="標楷體" w:hAnsi="Times New Roman" w:cs="Times New Roman"/>
          <w:sz w:val="34"/>
          <w:szCs w:val="34"/>
        </w:rPr>
        <w:lastRenderedPageBreak/>
        <w:t>附錄</w:t>
      </w:r>
      <w:r w:rsidR="0039441E" w:rsidRPr="00C77E77">
        <w:rPr>
          <w:rFonts w:ascii="Times New Roman" w:eastAsia="標楷體" w:hAnsi="Times New Roman" w:cs="Times New Roman"/>
          <w:sz w:val="34"/>
          <w:szCs w:val="34"/>
        </w:rPr>
        <w:t>五</w:t>
      </w:r>
      <w:r w:rsidRPr="00C77E77">
        <w:rPr>
          <w:rFonts w:ascii="Times New Roman" w:eastAsia="標楷體" w:hAnsi="Times New Roman" w:cs="Times New Roman"/>
          <w:sz w:val="34"/>
          <w:szCs w:val="34"/>
        </w:rPr>
        <w:t>：「新南向產業合作：智慧</w:t>
      </w:r>
      <w:r w:rsidRPr="00C77E77">
        <w:rPr>
          <w:rFonts w:ascii="Times New Roman" w:eastAsia="標楷體" w:hAnsi="Times New Roman" w:cs="Times New Roman"/>
          <w:sz w:val="34"/>
          <w:szCs w:val="34"/>
        </w:rPr>
        <w:t>e</w:t>
      </w:r>
      <w:r w:rsidRPr="00C77E77">
        <w:rPr>
          <w:rFonts w:ascii="Times New Roman" w:eastAsia="標楷體" w:hAnsi="Times New Roman" w:cs="Times New Roman"/>
          <w:sz w:val="34"/>
          <w:szCs w:val="34"/>
        </w:rPr>
        <w:t>生活」座談會紀錄摘要</w:t>
      </w:r>
      <w:bookmarkEnd w:id="176"/>
    </w:p>
    <w:p w:rsidR="009F567C" w:rsidRPr="00C77E77" w:rsidRDefault="009F567C" w:rsidP="0001327A">
      <w:pPr>
        <w:pStyle w:val="ab"/>
        <w:numPr>
          <w:ilvl w:val="0"/>
          <w:numId w:val="44"/>
        </w:numPr>
        <w:adjustRightInd w:val="0"/>
        <w:snapToGrid w:val="0"/>
        <w:spacing w:beforeLines="50" w:before="180" w:afterLines="50" w:after="180" w:line="500" w:lineRule="exact"/>
        <w:ind w:leftChars="0" w:left="709" w:hanging="709"/>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指導單位：</w:t>
      </w:r>
      <w:r w:rsidRPr="00C77E77">
        <w:rPr>
          <w:rFonts w:ascii="Times New Roman" w:eastAsia="標楷體" w:hAnsi="Times New Roman" w:cs="Times New Roman"/>
          <w:sz w:val="28"/>
          <w:szCs w:val="28"/>
        </w:rPr>
        <w:t>國家發展委員會經濟發展處國際經濟科</w:t>
      </w:r>
    </w:p>
    <w:p w:rsidR="009F567C" w:rsidRPr="00C77E77" w:rsidRDefault="009F567C" w:rsidP="009F567C">
      <w:pPr>
        <w:pStyle w:val="ab"/>
        <w:adjustRightInd w:val="0"/>
        <w:snapToGrid w:val="0"/>
        <w:spacing w:beforeLines="50" w:before="180" w:afterLines="50" w:after="180" w:line="500" w:lineRule="exact"/>
        <w:ind w:leftChars="0" w:left="709"/>
        <w:rPr>
          <w:rFonts w:ascii="Times New Roman" w:eastAsia="標楷體" w:hAnsi="Times New Roman" w:cs="Times New Roman"/>
          <w:sz w:val="28"/>
          <w:szCs w:val="28"/>
        </w:rPr>
      </w:pPr>
      <w:r w:rsidRPr="00C77E77">
        <w:rPr>
          <w:rFonts w:ascii="Times New Roman" w:eastAsia="標楷體" w:hAnsi="Times New Roman" w:cs="Times New Roman"/>
          <w:b/>
          <w:sz w:val="28"/>
          <w:szCs w:val="28"/>
        </w:rPr>
        <w:t>主辦單位：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灣經濟研究院</w:t>
      </w:r>
    </w:p>
    <w:p w:rsidR="009F567C" w:rsidRPr="00C77E77" w:rsidRDefault="009F567C" w:rsidP="0001327A">
      <w:pPr>
        <w:pStyle w:val="ab"/>
        <w:numPr>
          <w:ilvl w:val="0"/>
          <w:numId w:val="44"/>
        </w:numPr>
        <w:adjustRightInd w:val="0"/>
        <w:snapToGrid w:val="0"/>
        <w:spacing w:beforeLines="50" w:before="180" w:afterLines="50" w:after="180" w:line="500" w:lineRule="exact"/>
        <w:ind w:leftChars="0" w:left="709" w:hanging="709"/>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時</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間：</w:t>
      </w:r>
      <w:r w:rsidRPr="00C77E77">
        <w:rPr>
          <w:rFonts w:ascii="Times New Roman" w:eastAsia="標楷體" w:hAnsi="Times New Roman" w:cs="Times New Roman"/>
          <w:sz w:val="28"/>
          <w:szCs w:val="28"/>
        </w:rPr>
        <w:t>105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日（週五）下午二時至四時</w:t>
      </w:r>
    </w:p>
    <w:p w:rsidR="009F567C" w:rsidRPr="00C77E77" w:rsidRDefault="009F567C" w:rsidP="0001327A">
      <w:pPr>
        <w:pStyle w:val="ab"/>
        <w:numPr>
          <w:ilvl w:val="0"/>
          <w:numId w:val="44"/>
        </w:numPr>
        <w:adjustRightInd w:val="0"/>
        <w:snapToGrid w:val="0"/>
        <w:spacing w:beforeLines="50" w:before="180" w:afterLines="50" w:after="180" w:line="500" w:lineRule="exact"/>
        <w:ind w:leftChars="0" w:left="709" w:hanging="709"/>
        <w:rPr>
          <w:rFonts w:ascii="Times New Roman" w:eastAsia="標楷體" w:hAnsi="Times New Roman" w:cs="Times New Roman"/>
          <w:sz w:val="28"/>
          <w:szCs w:val="28"/>
        </w:rPr>
      </w:pPr>
      <w:r w:rsidRPr="00C77E77">
        <w:rPr>
          <w:rFonts w:ascii="Times New Roman" w:eastAsia="標楷體" w:hAnsi="Times New Roman" w:cs="Times New Roman"/>
          <w:b/>
          <w:sz w:val="28"/>
          <w:szCs w:val="28"/>
        </w:rPr>
        <w:t>地</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點：</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經院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泥第三會議室（</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北市德惠街</w:t>
      </w:r>
      <w:r w:rsidRPr="00C77E77">
        <w:rPr>
          <w:rFonts w:ascii="Times New Roman" w:eastAsia="標楷體" w:hAnsi="Times New Roman" w:cs="Times New Roman"/>
          <w:color w:val="000000" w:themeColor="text1"/>
          <w:sz w:val="28"/>
          <w:szCs w:val="28"/>
        </w:rPr>
        <w:t>16-5</w:t>
      </w:r>
      <w:r w:rsidRPr="00C77E77">
        <w:rPr>
          <w:rFonts w:ascii="Times New Roman" w:eastAsia="標楷體" w:hAnsi="Times New Roman" w:cs="Times New Roman"/>
          <w:sz w:val="28"/>
          <w:szCs w:val="28"/>
        </w:rPr>
        <w:t>號</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樓）</w:t>
      </w:r>
    </w:p>
    <w:p w:rsidR="009F567C" w:rsidRPr="00C77E77" w:rsidRDefault="009F567C" w:rsidP="0001327A">
      <w:pPr>
        <w:pStyle w:val="ab"/>
        <w:numPr>
          <w:ilvl w:val="0"/>
          <w:numId w:val="44"/>
        </w:numPr>
        <w:adjustRightInd w:val="0"/>
        <w:snapToGrid w:val="0"/>
        <w:spacing w:beforeLines="50" w:before="180" w:afterLines="50" w:after="180" w:line="500" w:lineRule="exact"/>
        <w:ind w:leftChars="0" w:left="709" w:hanging="709"/>
        <w:rPr>
          <w:rFonts w:ascii="Times New Roman" w:eastAsia="標楷體" w:hAnsi="Times New Roman" w:cs="Times New Roman"/>
          <w:sz w:val="28"/>
          <w:szCs w:val="28"/>
        </w:rPr>
      </w:pPr>
      <w:r w:rsidRPr="00C77E77">
        <w:rPr>
          <w:rFonts w:ascii="Times New Roman" w:eastAsia="標楷體" w:hAnsi="Times New Roman" w:cs="Times New Roman"/>
          <w:b/>
          <w:sz w:val="28"/>
          <w:szCs w:val="28"/>
        </w:rPr>
        <w:t>主</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持</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人：</w:t>
      </w:r>
      <w:r w:rsidRPr="00C77E77">
        <w:rPr>
          <w:rFonts w:ascii="Times New Roman" w:eastAsia="標楷體" w:hAnsi="Times New Roman" w:cs="Times New Roman"/>
          <w:sz w:val="28"/>
          <w:szCs w:val="28"/>
        </w:rPr>
        <w:t>譚瑾瑜女士（</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經院新興市場發展研究中心主任）</w:t>
      </w:r>
    </w:p>
    <w:p w:rsidR="009F567C" w:rsidRPr="00C77E77" w:rsidRDefault="009F567C" w:rsidP="0001327A">
      <w:pPr>
        <w:pStyle w:val="ab"/>
        <w:numPr>
          <w:ilvl w:val="0"/>
          <w:numId w:val="44"/>
        </w:numPr>
        <w:adjustRightInd w:val="0"/>
        <w:snapToGrid w:val="0"/>
        <w:spacing w:beforeLines="50" w:before="180" w:afterLines="50" w:after="180" w:line="500" w:lineRule="exact"/>
        <w:ind w:leftChars="0" w:left="709" w:hanging="709"/>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討論題綱：</w:t>
      </w:r>
    </w:p>
    <w:p w:rsidR="009F567C" w:rsidRPr="00C77E77" w:rsidRDefault="009F567C" w:rsidP="0001327A">
      <w:pPr>
        <w:numPr>
          <w:ilvl w:val="0"/>
          <w:numId w:val="43"/>
        </w:numPr>
        <w:tabs>
          <w:tab w:val="left" w:pos="709"/>
          <w:tab w:val="left" w:pos="851"/>
        </w:tabs>
        <w:adjustRightInd w:val="0"/>
        <w:snapToGrid w:val="0"/>
        <w:spacing w:beforeLines="50" w:before="180" w:afterLines="50" w:after="180" w:line="50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我國電子商務、智慧物流、電子化政府、智慧校園目前在東協國家與印度的發展現況為何？是否曾經遭遇困難？如何排除困難？</w:t>
      </w:r>
    </w:p>
    <w:p w:rsidR="009F567C" w:rsidRPr="00C77E77" w:rsidRDefault="009F567C" w:rsidP="0001327A">
      <w:pPr>
        <w:numPr>
          <w:ilvl w:val="0"/>
          <w:numId w:val="43"/>
        </w:numPr>
        <w:tabs>
          <w:tab w:val="left" w:pos="709"/>
        </w:tabs>
        <w:adjustRightInd w:val="0"/>
        <w:snapToGrid w:val="0"/>
        <w:spacing w:beforeLines="50" w:before="180" w:afterLines="50" w:after="180" w:line="50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我國電子商務、智慧物流、電子化政府、智慧校園在東協與印度的市場潛力評估為何？未來是否有佈局規劃？</w:t>
      </w:r>
    </w:p>
    <w:p w:rsidR="009F567C" w:rsidRPr="00C77E77" w:rsidRDefault="009F567C" w:rsidP="0001327A">
      <w:pPr>
        <w:numPr>
          <w:ilvl w:val="0"/>
          <w:numId w:val="43"/>
        </w:numPr>
        <w:tabs>
          <w:tab w:val="left" w:pos="709"/>
          <w:tab w:val="left" w:pos="851"/>
        </w:tabs>
        <w:adjustRightInd w:val="0"/>
        <w:snapToGrid w:val="0"/>
        <w:spacing w:beforeLines="50" w:before="180" w:afterLines="50" w:after="180" w:line="500" w:lineRule="exact"/>
        <w:ind w:left="993" w:hanging="284"/>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我國電子商務、智慧物流、電子化政府、智慧校園如何在佈局東協家與印度的過程中達到「雙向合作」的效果？既能促進產業在當地的發展，同時又能確保產業在臺灣本土的根基？</w:t>
      </w:r>
      <w:r w:rsidRPr="00C77E77">
        <w:rPr>
          <w:rFonts w:ascii="Times New Roman" w:eastAsia="標楷體" w:hAnsi="Times New Roman" w:cs="Times New Roman"/>
          <w:b/>
          <w:sz w:val="28"/>
          <w:szCs w:val="28"/>
        </w:rPr>
        <w:t xml:space="preserve"> </w:t>
      </w:r>
    </w:p>
    <w:p w:rsidR="009F567C" w:rsidRPr="00C77E77" w:rsidRDefault="009F567C" w:rsidP="0001327A">
      <w:pPr>
        <w:numPr>
          <w:ilvl w:val="0"/>
          <w:numId w:val="43"/>
        </w:numPr>
        <w:tabs>
          <w:tab w:val="left" w:pos="709"/>
          <w:tab w:val="left" w:pos="851"/>
        </w:tabs>
        <w:adjustRightInd w:val="0"/>
        <w:snapToGrid w:val="0"/>
        <w:spacing w:beforeLines="50" w:before="180" w:afterLines="50" w:after="180" w:line="50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希望「新南向政策」如何協助我國電子商務、智慧物流、電子化政府、智慧校園在東協國家與印度的發展？</w:t>
      </w:r>
    </w:p>
    <w:p w:rsidR="009F567C" w:rsidRPr="00C77E77" w:rsidRDefault="009F567C" w:rsidP="0001327A">
      <w:pPr>
        <w:pStyle w:val="ab"/>
        <w:numPr>
          <w:ilvl w:val="0"/>
          <w:numId w:val="44"/>
        </w:numPr>
        <w:adjustRightInd w:val="0"/>
        <w:snapToGrid w:val="0"/>
        <w:spacing w:beforeLines="50" w:before="180" w:afterLines="50" w:after="180" w:line="500" w:lineRule="exact"/>
        <w:ind w:leftChars="0" w:left="709" w:hanging="709"/>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與談人</w:t>
      </w:r>
      <w:r w:rsidRPr="00C77E77">
        <w:rPr>
          <w:rFonts w:ascii="Times New Roman" w:eastAsia="標楷體" w:hAnsi="Times New Roman" w:cs="Times New Roman"/>
          <w:sz w:val="28"/>
          <w:szCs w:val="28"/>
        </w:rPr>
        <w:t>（依姓名筆劃順序排列）</w:t>
      </w:r>
    </w:p>
    <w:p w:rsidR="009F567C" w:rsidRPr="00C77E77" w:rsidRDefault="009F567C" w:rsidP="0001327A">
      <w:pPr>
        <w:pStyle w:val="ab"/>
        <w:numPr>
          <w:ilvl w:val="0"/>
          <w:numId w:val="45"/>
        </w:numPr>
        <w:adjustRightInd w:val="0"/>
        <w:snapToGrid w:val="0"/>
        <w:spacing w:beforeLines="50" w:before="18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何明豐先生（財團法人資訊工業策進會國際處顧問）</w:t>
      </w:r>
    </w:p>
    <w:p w:rsidR="009F567C" w:rsidRPr="00C77E77" w:rsidRDefault="009F567C" w:rsidP="0001327A">
      <w:pPr>
        <w:pStyle w:val="ab"/>
        <w:numPr>
          <w:ilvl w:val="0"/>
          <w:numId w:val="45"/>
        </w:numPr>
        <w:adjustRightInd w:val="0"/>
        <w:snapToGrid w:val="0"/>
        <w:spacing w:beforeLines="50" w:before="18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吳國宏先生（神通資訊科技股份有限公司資深經理）</w:t>
      </w:r>
    </w:p>
    <w:p w:rsidR="009F567C" w:rsidRPr="00C77E77" w:rsidRDefault="009F567C" w:rsidP="0001327A">
      <w:pPr>
        <w:pStyle w:val="ab"/>
        <w:numPr>
          <w:ilvl w:val="0"/>
          <w:numId w:val="45"/>
        </w:numPr>
        <w:adjustRightInd w:val="0"/>
        <w:snapToGrid w:val="0"/>
        <w:spacing w:beforeLines="50" w:before="18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陳日文先生（神通資訊科技股份有限公司處長）</w:t>
      </w:r>
    </w:p>
    <w:p w:rsidR="009F567C" w:rsidRPr="00C77E77" w:rsidRDefault="009F567C" w:rsidP="0001327A">
      <w:pPr>
        <w:pStyle w:val="ab"/>
        <w:numPr>
          <w:ilvl w:val="0"/>
          <w:numId w:val="45"/>
        </w:numPr>
        <w:adjustRightInd w:val="0"/>
        <w:snapToGrid w:val="0"/>
        <w:spacing w:beforeLines="50" w:before="18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劉瑞隆先生（凌羣電腦股份有限公司總經理）</w:t>
      </w:r>
    </w:p>
    <w:p w:rsidR="009F567C" w:rsidRPr="00C77E77" w:rsidRDefault="009F567C" w:rsidP="0001327A">
      <w:pPr>
        <w:pStyle w:val="ab"/>
        <w:numPr>
          <w:ilvl w:val="0"/>
          <w:numId w:val="45"/>
        </w:numPr>
        <w:adjustRightInd w:val="0"/>
        <w:snapToGrid w:val="0"/>
        <w:spacing w:beforeLines="50" w:before="180" w:afterLines="50" w:after="180" w:line="500" w:lineRule="exact"/>
        <w:ind w:leftChars="0" w:left="1191" w:hanging="482"/>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鄭聖慶先生（工研院資通所副所長）</w:t>
      </w:r>
    </w:p>
    <w:p w:rsidR="009F567C" w:rsidRPr="00C77E77" w:rsidRDefault="009F567C" w:rsidP="0001327A">
      <w:pPr>
        <w:pStyle w:val="ab"/>
        <w:numPr>
          <w:ilvl w:val="0"/>
          <w:numId w:val="45"/>
        </w:numPr>
        <w:adjustRightInd w:val="0"/>
        <w:snapToGrid w:val="0"/>
        <w:spacing w:beforeLines="50" w:before="18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pacing w:val="110"/>
          <w:kern w:val="0"/>
          <w:sz w:val="28"/>
          <w:szCs w:val="28"/>
          <w:fitText w:val="780" w:id="1266947584"/>
        </w:rPr>
        <w:t>蕭</w:t>
      </w:r>
      <w:r w:rsidRPr="00C77E77">
        <w:rPr>
          <w:rFonts w:ascii="Times New Roman" w:eastAsia="標楷體" w:hAnsi="Times New Roman" w:cs="Times New Roman"/>
          <w:color w:val="000000" w:themeColor="text1"/>
          <w:kern w:val="0"/>
          <w:sz w:val="28"/>
          <w:szCs w:val="28"/>
          <w:fitText w:val="780" w:id="1266947584"/>
        </w:rPr>
        <w:t>俊</w:t>
      </w:r>
      <w:r w:rsidRPr="00C77E77">
        <w:rPr>
          <w:rFonts w:ascii="Times New Roman" w:eastAsia="標楷體" w:hAnsi="Times New Roman" w:cs="Times New Roman"/>
          <w:color w:val="000000" w:themeColor="text1"/>
          <w:sz w:val="28"/>
          <w:szCs w:val="28"/>
        </w:rPr>
        <w:t>先生（經濟部商業司副參事）</w:t>
      </w:r>
    </w:p>
    <w:p w:rsidR="009F567C" w:rsidRPr="00C77E77" w:rsidRDefault="009F567C" w:rsidP="0001327A">
      <w:pPr>
        <w:pStyle w:val="ab"/>
        <w:numPr>
          <w:ilvl w:val="0"/>
          <w:numId w:val="45"/>
        </w:numPr>
        <w:adjustRightInd w:val="0"/>
        <w:snapToGrid w:val="0"/>
        <w:spacing w:beforeLines="50" w:before="18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戴凡真女士（商業發展研究院行銷與消費行為研究所研究員）</w:t>
      </w:r>
    </w:p>
    <w:p w:rsidR="009F567C" w:rsidRPr="00C77E77" w:rsidRDefault="009F567C" w:rsidP="0001327A">
      <w:pPr>
        <w:pStyle w:val="ab"/>
        <w:numPr>
          <w:ilvl w:val="0"/>
          <w:numId w:val="45"/>
        </w:numPr>
        <w:adjustRightInd w:val="0"/>
        <w:snapToGrid w:val="0"/>
        <w:spacing w:beforeLines="50" w:before="18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蘇文彬先生（研華股份有限公司業務協理）</w:t>
      </w:r>
    </w:p>
    <w:p w:rsidR="009F567C" w:rsidRPr="00C77E77" w:rsidRDefault="009F567C" w:rsidP="0001327A">
      <w:pPr>
        <w:pStyle w:val="ab"/>
        <w:numPr>
          <w:ilvl w:val="0"/>
          <w:numId w:val="44"/>
        </w:numPr>
        <w:adjustRightInd w:val="0"/>
        <w:snapToGrid w:val="0"/>
        <w:spacing w:beforeLines="50" w:before="180" w:afterLines="50" w:after="180" w:line="500" w:lineRule="exact"/>
        <w:ind w:leftChars="0" w:left="709" w:hanging="709"/>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會議紀錄摘要</w:t>
      </w:r>
      <w:r w:rsidRPr="00C77E77">
        <w:rPr>
          <w:rFonts w:ascii="Times New Roman" w:eastAsia="標楷體" w:hAnsi="Times New Roman" w:cs="Times New Roman"/>
          <w:color w:val="000000" w:themeColor="text1"/>
          <w:sz w:val="28"/>
          <w:szCs w:val="28"/>
        </w:rPr>
        <w:t>（依發言順序排列）</w:t>
      </w:r>
    </w:p>
    <w:p w:rsidR="009F567C" w:rsidRPr="00C77E77" w:rsidRDefault="009F567C" w:rsidP="009F567C">
      <w:pPr>
        <w:adjustRightInd w:val="0"/>
        <w:snapToGrid w:val="0"/>
        <w:spacing w:beforeLines="50" w:before="180" w:afterLines="50" w:after="180" w:line="500" w:lineRule="exact"/>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戴凡真女士：</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（一）電子商務業者在南向的積極佈局，多半是因為中國大陸、日本和美國這些市場有他們自己強大的本土業者，而東協內需市場的蓬勃發展、當地人對網路等科技的高接受程度，以及他們年</w:t>
      </w:r>
      <w:r w:rsidR="007E5894" w:rsidRPr="00C77E77">
        <w:rPr>
          <w:rFonts w:ascii="Times New Roman" w:eastAsia="標楷體" w:hAnsi="Times New Roman" w:cs="Times New Roman"/>
          <w:color w:val="000000" w:themeColor="text1"/>
          <w:sz w:val="28"/>
          <w:szCs w:val="28"/>
        </w:rPr>
        <w:t>輕人口眾多，對網路依賴度高，所以業者早已看出商機積極南向，包括</w:t>
      </w:r>
      <w:r w:rsidR="007E5894" w:rsidRPr="00C77E77">
        <w:rPr>
          <w:rFonts w:ascii="Times New Roman" w:eastAsia="標楷體" w:hAnsi="Times New Roman" w:cs="Times New Roman"/>
          <w:color w:val="000000" w:themeColor="text1"/>
          <w:sz w:val="28"/>
          <w:szCs w:val="28"/>
        </w:rPr>
        <w:t>2015</w:t>
      </w:r>
      <w:r w:rsidRPr="00C77E77">
        <w:rPr>
          <w:rFonts w:ascii="Times New Roman" w:eastAsia="標楷體" w:hAnsi="Times New Roman" w:cs="Times New Roman"/>
          <w:color w:val="000000" w:themeColor="text1"/>
          <w:sz w:val="28"/>
          <w:szCs w:val="28"/>
        </w:rPr>
        <w:t>年</w:t>
      </w:r>
      <w:r w:rsidRPr="00C77E77">
        <w:rPr>
          <w:rFonts w:ascii="Times New Roman" w:eastAsia="標楷體" w:hAnsi="Times New Roman" w:cs="Times New Roman"/>
          <w:color w:val="000000" w:themeColor="text1"/>
          <w:sz w:val="28"/>
          <w:szCs w:val="28"/>
        </w:rPr>
        <w:t>PC Home</w:t>
      </w:r>
      <w:r w:rsidRPr="00C77E77">
        <w:rPr>
          <w:rFonts w:ascii="Times New Roman" w:eastAsia="標楷體" w:hAnsi="Times New Roman" w:cs="Times New Roman"/>
          <w:color w:val="000000" w:themeColor="text1"/>
          <w:sz w:val="28"/>
          <w:szCs w:val="28"/>
        </w:rPr>
        <w:t>及</w:t>
      </w:r>
      <w:r w:rsidRPr="00C77E77">
        <w:rPr>
          <w:rFonts w:ascii="Times New Roman" w:eastAsia="標楷體" w:hAnsi="Times New Roman" w:cs="Times New Roman"/>
          <w:color w:val="000000" w:themeColor="text1"/>
          <w:sz w:val="28"/>
          <w:szCs w:val="28"/>
        </w:rPr>
        <w:t>momo</w:t>
      </w:r>
      <w:r w:rsidRPr="00C77E77">
        <w:rPr>
          <w:rFonts w:ascii="Times New Roman" w:eastAsia="標楷體" w:hAnsi="Times New Roman" w:cs="Times New Roman"/>
          <w:color w:val="000000" w:themeColor="text1"/>
          <w:sz w:val="28"/>
          <w:szCs w:val="28"/>
        </w:rPr>
        <w:t>前往泰國，</w:t>
      </w:r>
      <w:r w:rsidRPr="00C77E77">
        <w:rPr>
          <w:rFonts w:ascii="Times New Roman" w:eastAsia="標楷體" w:hAnsi="Times New Roman" w:cs="Times New Roman"/>
          <w:color w:val="000000" w:themeColor="text1"/>
          <w:sz w:val="28"/>
          <w:szCs w:val="28"/>
        </w:rPr>
        <w:t xml:space="preserve"> momo</w:t>
      </w:r>
      <w:r w:rsidRPr="00C77E77">
        <w:rPr>
          <w:rFonts w:ascii="Times New Roman" w:eastAsia="標楷體" w:hAnsi="Times New Roman" w:cs="Times New Roman"/>
          <w:color w:val="000000" w:themeColor="text1"/>
          <w:sz w:val="28"/>
          <w:szCs w:val="28"/>
        </w:rPr>
        <w:t>在菲律賓和馬來西亞也將布局，優達斯（</w:t>
      </w:r>
      <w:r w:rsidRPr="00C77E77">
        <w:rPr>
          <w:rFonts w:ascii="Times New Roman" w:eastAsia="標楷體" w:hAnsi="Times New Roman" w:cs="Times New Roman"/>
          <w:color w:val="000000" w:themeColor="text1"/>
          <w:sz w:val="28"/>
          <w:szCs w:val="28"/>
        </w:rPr>
        <w:t>Uitox</w:t>
      </w:r>
      <w:r w:rsidRPr="00C77E77">
        <w:rPr>
          <w:rFonts w:ascii="Times New Roman" w:eastAsia="標楷體" w:hAnsi="Times New Roman" w:cs="Times New Roman"/>
          <w:color w:val="000000" w:themeColor="text1"/>
          <w:sz w:val="28"/>
          <w:szCs w:val="28"/>
        </w:rPr>
        <w:t>）和愛評網等許多產業都已進入東協市場。</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二）產業反應需要政府協助或投入資源的地方共兩大塊，第一是談到東協新興國家的線上消費行為，這是新中之新，市場本身和網路行為都一直在改變，故市場的情資、市場的研究、消費行為以及產業趨勢的變化，希望國家能提供協助。第二是和產業有關，臺灣發展電子商務或網路服務業已經有一段時間，但產業規範似乎沒有跟上腳步發展，東協亦是如此，所以業者會有無所適從的情況，例如網路零售業是否歸屬零售業？在印尼、越南等都有很大的爭議，究竟用何種產業來規範是一灰色地帶，故在產業規範的國際協調上，業者希望政府能協助。</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陳日文先生：（可參考與會者建言）</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（一）東協的年輕化，以及經濟發展、各方面開始起步，我們在越南親眼見證到，雖然他們的生活、交通水準離臺灣可能還有一大段距離，但每個年輕人手上都拿手機，加上越南的成長在東協國家中算是穩定，</w:t>
      </w:r>
      <w:r w:rsidRPr="00C77E77">
        <w:rPr>
          <w:rFonts w:ascii="Times New Roman" w:eastAsia="標楷體" w:hAnsi="Times New Roman" w:cs="Times New Roman"/>
          <w:color w:val="000000" w:themeColor="text1"/>
          <w:sz w:val="28"/>
          <w:szCs w:val="28"/>
        </w:rPr>
        <w:t>GDP</w:t>
      </w:r>
      <w:r w:rsidRPr="00C77E77">
        <w:rPr>
          <w:rFonts w:ascii="Times New Roman" w:eastAsia="標楷體" w:hAnsi="Times New Roman" w:cs="Times New Roman"/>
          <w:color w:val="000000" w:themeColor="text1"/>
          <w:sz w:val="28"/>
          <w:szCs w:val="28"/>
        </w:rPr>
        <w:lastRenderedPageBreak/>
        <w:t>每年約</w:t>
      </w:r>
      <w:r w:rsidRPr="00C77E77">
        <w:rPr>
          <w:rFonts w:ascii="Times New Roman" w:eastAsia="標楷體" w:hAnsi="Times New Roman" w:cs="Times New Roman"/>
          <w:color w:val="000000" w:themeColor="text1"/>
          <w:sz w:val="28"/>
          <w:szCs w:val="28"/>
        </w:rPr>
        <w:t>5-6%</w:t>
      </w:r>
      <w:r w:rsidRPr="00C77E77">
        <w:rPr>
          <w:rFonts w:ascii="Times New Roman" w:eastAsia="標楷體" w:hAnsi="Times New Roman" w:cs="Times New Roman"/>
          <w:color w:val="000000" w:themeColor="text1"/>
          <w:sz w:val="28"/>
          <w:szCs w:val="28"/>
        </w:rPr>
        <w:t>成長，未來電子商務在越南的持續發展是有機會的。</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二）神通資訊科技承攬工業局智慧校園專案，這個議題是從國內把技術深耕，在學校先行做場域試煉，再進一步輸出國外。臺灣透過科技帶動教育已推行十幾年，可是越南才剛起步，因此神通資科先在當地投資四個示範校，協助建立學校網路、教師學習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，第二年就開始有電子白板、投影機等基礎建設，但目前推廣雲端科技有技術上的瓶頸。</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（三）神通資科在五年前與資策會教研所協助越南以</w:t>
      </w:r>
      <w:r w:rsidRPr="00C77E77">
        <w:rPr>
          <w:rFonts w:ascii="Times New Roman" w:eastAsia="標楷體" w:hAnsi="Times New Roman" w:cs="Times New Roman"/>
          <w:color w:val="000000" w:themeColor="text1"/>
          <w:sz w:val="28"/>
          <w:szCs w:val="28"/>
        </w:rPr>
        <w:t>BOT</w:t>
      </w:r>
      <w:r w:rsidRPr="00C77E77">
        <w:rPr>
          <w:rFonts w:ascii="Times New Roman" w:eastAsia="標楷體" w:hAnsi="Times New Roman" w:cs="Times New Roman"/>
          <w:color w:val="000000" w:themeColor="text1"/>
          <w:sz w:val="28"/>
          <w:szCs w:val="28"/>
        </w:rPr>
        <w:t>的方式建學術骨幹網路，但礙於越南政府沒錢，最後並未成功。教研所在越南經營透過一家當地的貿易商，這家貿易商和政府的關係很好，他希望從臺灣這邊把一些技術引進至越南，資策會也希望系統整合商可以帶動國內產業輸出至越南，所以第一站在河內建立四個示範校，包含學習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學生的保健系統，從這個基準點開始經營。我們的策略是先從有錢的省份開始，從中我們發現幾個較大的問題，當地教師尚無將科技運用至教學上的觀念，為此貿易商幫我們安排到當地的省教育廳、教育部做巡迴簡報，透過教育廳的政策來主導，這個過程有些省政府省長都出面表示他們很希望臺灣的參與，提供智慧校園的規範、標準，甚至基礎建置環境所需的產品，神通資科就居中整合，希望帶動國內其他產業做整體輸出</w:t>
      </w:r>
      <w:r w:rsidR="00464606" w:rsidRPr="00C77E77">
        <w:rPr>
          <w:rFonts w:ascii="Times New Roman" w:eastAsia="標楷體" w:hAnsi="Times New Roman" w:cs="Times New Roman"/>
          <w:color w:val="000000" w:themeColor="text1"/>
          <w:sz w:val="28"/>
          <w:szCs w:val="28"/>
        </w:rPr>
        <w:t>，所以這個商機是存在的，但越南整體的經濟力量還是有些不夠，</w:t>
      </w:r>
      <w:r w:rsidRPr="00C77E77">
        <w:rPr>
          <w:rFonts w:ascii="Times New Roman" w:eastAsia="標楷體" w:hAnsi="Times New Roman" w:cs="Times New Roman"/>
          <w:color w:val="000000" w:themeColor="text1"/>
          <w:sz w:val="28"/>
          <w:szCs w:val="28"/>
        </w:rPr>
        <w:t>2016</w:t>
      </w:r>
      <w:r w:rsidR="00464606" w:rsidRPr="00C77E77">
        <w:rPr>
          <w:rFonts w:ascii="Times New Roman" w:eastAsia="標楷體" w:hAnsi="Times New Roman" w:cs="Times New Roman"/>
          <w:color w:val="000000" w:themeColor="text1"/>
          <w:sz w:val="28"/>
          <w:szCs w:val="28"/>
        </w:rPr>
        <w:t>年</w:t>
      </w:r>
      <w:r w:rsidRPr="00C77E77">
        <w:rPr>
          <w:rFonts w:ascii="Times New Roman" w:eastAsia="標楷體" w:hAnsi="Times New Roman" w:cs="Times New Roman"/>
          <w:color w:val="000000" w:themeColor="text1"/>
          <w:sz w:val="28"/>
          <w:szCs w:val="28"/>
        </w:rPr>
        <w:t>他們就跟世界銀行貸款</w:t>
      </w:r>
      <w:r w:rsidRPr="00C77E77">
        <w:rPr>
          <w:rFonts w:ascii="Times New Roman" w:eastAsia="標楷體" w:hAnsi="Times New Roman" w:cs="Times New Roman"/>
          <w:color w:val="000000" w:themeColor="text1"/>
          <w:sz w:val="28"/>
          <w:szCs w:val="28"/>
        </w:rPr>
        <w:t>9,000</w:t>
      </w:r>
      <w:r w:rsidRPr="00C77E77">
        <w:rPr>
          <w:rFonts w:ascii="Times New Roman" w:eastAsia="標楷體" w:hAnsi="Times New Roman" w:cs="Times New Roman"/>
          <w:color w:val="000000" w:themeColor="text1"/>
          <w:sz w:val="28"/>
          <w:szCs w:val="28"/>
        </w:rPr>
        <w:t>萬美金的教育基金。另外就是政策問題，我們在當地並無整合企業、協助企業了解當地法令的機構，法律是當地最大的風險，此外，年輕人的技術落後，加上母系社會的緣故，男性看起來較不愛做事，造成推動上的障礙。</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（四）以越南來說，越南機場、部分路段的高速公路都是日本人蓋的，街上也都是日本車，日本運用國家的策略進行東南亞市場擴展，雖不可否認這有政治現實，加上</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灣現在談的</w:t>
      </w:r>
      <w:r w:rsidRPr="00C77E77">
        <w:rPr>
          <w:rFonts w:ascii="Times New Roman" w:eastAsia="標楷體" w:hAnsi="Times New Roman" w:cs="Times New Roman"/>
          <w:color w:val="000000" w:themeColor="text1"/>
          <w:sz w:val="28"/>
          <w:szCs w:val="28"/>
        </w:rPr>
        <w:t>TPP</w:t>
      </w:r>
      <w:r w:rsidRPr="00C77E77">
        <w:rPr>
          <w:rFonts w:ascii="Times New Roman" w:eastAsia="標楷體" w:hAnsi="Times New Roman" w:cs="Times New Roman"/>
          <w:color w:val="000000" w:themeColor="text1"/>
          <w:sz w:val="28"/>
          <w:szCs w:val="28"/>
        </w:rPr>
        <w:t>、亞太經合會議，其實都有點晚有點可惜，政府能否盡快亡羊補牢，另外關稅也是問題，是不是</w:t>
      </w:r>
      <w:r w:rsidRPr="00C77E77">
        <w:rPr>
          <w:rFonts w:ascii="Times New Roman" w:eastAsia="標楷體" w:hAnsi="Times New Roman" w:cs="Times New Roman"/>
          <w:color w:val="000000" w:themeColor="text1"/>
          <w:sz w:val="28"/>
          <w:szCs w:val="28"/>
        </w:rPr>
        <w:lastRenderedPageBreak/>
        <w:t>能從這些現有政治現實上盤點，思考在現況下如何搶得市場先機、拔得頭籌。</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五）很多越南人都到中國大陸讀書，當初我們進越南時，當地貿易商都會安排會講中文的人跟我們溝通，但事後他用越語與當地老闆溝通時，我們就無法理解。另外我們在河內有廠，管理人為了在越南經營、管理當地員工，下班後持續上了四年大學，學習越語。而就我所知德明科大到越南招學生，招生進來後從大學開始培養他們，進而介紹給企業媒合，工業局好像也有進行相關留學生之工作媒合。</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吳國宏先生：</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首先談到商機的問題，神通資科在杜拜機場設立自動通關系統的機會，緣由來自外交部，外交部的亞西及非洲司副司長得知杜拜有這樣一個計劃，希望能接觸臺灣廠商，所以將我們介紹給杜拜。因此獲得商機的管道一是來自官方，第二個就是類似半官方的結構，包含資策會、外貿協會，例如資策會最近協助一些國家的資通部會官員，包含東協的三國，柬埔寨、緬甸、寮國，他們對新的設備展現需求意圖，對資策會來說，他們提供電子化政府的研習營；對業者來說，我們提供產品的簡介、臺灣的介紹，大家是互補互利的角色，外貿協會也提供很多洽談會，另外像</w:t>
      </w:r>
      <w:r w:rsidRPr="00C77E77">
        <w:rPr>
          <w:rFonts w:ascii="Times New Roman" w:eastAsia="標楷體" w:hAnsi="Times New Roman" w:cs="Times New Roman"/>
          <w:color w:val="000000" w:themeColor="text1"/>
          <w:sz w:val="28"/>
          <w:szCs w:val="28"/>
        </w:rPr>
        <w:t>COMPUTEX</w:t>
      </w:r>
      <w:r w:rsidRPr="00C77E77">
        <w:rPr>
          <w:rFonts w:ascii="Times New Roman" w:eastAsia="標楷體" w:hAnsi="Times New Roman" w:cs="Times New Roman"/>
          <w:color w:val="000000" w:themeColor="text1"/>
          <w:sz w:val="28"/>
          <w:szCs w:val="28"/>
        </w:rPr>
        <w:t>，亦是獲得商機的管道，但這樣的方式類似守株待兔，我很難主動去挖掘我的商源。</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二）海外發展最大的問題是需要當地人的協助，因為我們不可能把一大群團隊從臺灣帶到這些國家去，不管是交通成本、人員成本都不是我們能夠負擔的，所以我們需要當地的團隊。另外就是基於法律和人際關係的考量，我們到中亞交界時就遇到一個問題，把貨交過去後，貨品在海關待三個月最後居然被沒收，而我們的包商是第一個順位可以拿到貨品的人，這是很難想像的法律，所以需要本地化的人協助我們，才能順利將案子完成。</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三）剛剛是屬於點對點的方式，另外在印度清奈或是越南胡志明市建地鐵，我們是跟日本信號公司合作，變成他們的下包商，中國大陸也是這樣做，這是屬於一條龍的方式帶領，我們則附在龍上去做事，這個部分也值得我們借鏡。</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（四）另外我們還遇到一些問題，就是我們去會談，但談完後很多案子就止步了，譬如說在南港展覽館的印度會談，很多廠商講印度有</w:t>
      </w:r>
      <w:r w:rsidRPr="00C77E77">
        <w:rPr>
          <w:rFonts w:ascii="Times New Roman" w:eastAsia="標楷體" w:hAnsi="Times New Roman" w:cs="Times New Roman"/>
          <w:color w:val="000000" w:themeColor="text1"/>
          <w:sz w:val="28"/>
          <w:szCs w:val="28"/>
        </w:rPr>
        <w:t>100</w:t>
      </w:r>
      <w:r w:rsidRPr="00C77E77">
        <w:rPr>
          <w:rFonts w:ascii="Times New Roman" w:eastAsia="標楷體" w:hAnsi="Times New Roman" w:cs="Times New Roman"/>
          <w:color w:val="000000" w:themeColor="text1"/>
          <w:sz w:val="28"/>
          <w:szCs w:val="28"/>
        </w:rPr>
        <w:t>個智慧城市案，可是最大問題是我要面對誰，未來我要怎麼跟他收錢，後續的產品運輸該如何做，如果我對當地的法律不了解，我很可能產品進去了但血本無歸，這是我要冒的最大風險。所以希望政府可以協助我們尋找當地合作夥伴，像我們杜拜的案子藉由外交部協助，與當地夥伴簽屬</w:t>
      </w:r>
      <w:r w:rsidRPr="00C77E77">
        <w:rPr>
          <w:rFonts w:ascii="Times New Roman" w:eastAsia="標楷體" w:hAnsi="Times New Roman" w:cs="Times New Roman"/>
          <w:color w:val="000000" w:themeColor="text1"/>
          <w:sz w:val="28"/>
          <w:szCs w:val="28"/>
        </w:rPr>
        <w:t>MOU</w:t>
      </w:r>
      <w:r w:rsidRPr="00C77E77">
        <w:rPr>
          <w:rFonts w:ascii="Times New Roman" w:eastAsia="標楷體" w:hAnsi="Times New Roman" w:cs="Times New Roman"/>
          <w:color w:val="000000" w:themeColor="text1"/>
          <w:sz w:val="28"/>
          <w:szCs w:val="28"/>
        </w:rPr>
        <w:t>後，當地事務透過當地夥伴處理，才能順利完成此案，因此政府若能幫忙尋找信賴的窗口、協助制度的瞭解，將可以降低廠商風險，提高拓展海外市場意願。</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五）到東南亞進行生意談判時，語言的確造成很大的困擾。之前在長庚大學服務時，有學生是來自印度，甚至有印尼大學的學生，他們的語言溝通能力已經有了，而且對當地文化瞭解，可以做為我們的仲介，但很多留學生因為無法在臺灣找到工作，最後又回母國工作，這是很可惜的，他們受臺灣教育、對臺灣瞭解，可以跟我們溝通，加上他們擁有的文化背景跟語言能力，是很好的協助助手，好不容易培養的人力資源應該要把握，我們應把人才管道打開，相信這對南向政策來說多一個挹注資源。</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蘇文彬先生：（可參考與會者建言）</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我們曾跟著神通、宏碁做東南亞的智能公車案，但最後並沒有成功，問題就是當地法規不熟。當我們開始之後，有人把規定更改、甚至連價格也變動，許多我們不懂的潛規則造成阻礙，最後血本無歸，所以非常需要當地人輔助。</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（二）許多大型系統整合商，例如國外的</w:t>
      </w:r>
      <w:r w:rsidRPr="00C77E77">
        <w:rPr>
          <w:rFonts w:ascii="Times New Roman" w:eastAsia="標楷體" w:hAnsi="Times New Roman" w:cs="Times New Roman"/>
          <w:color w:val="000000" w:themeColor="text1"/>
          <w:sz w:val="28"/>
          <w:szCs w:val="28"/>
        </w:rPr>
        <w:t>LG</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SAMSUNG</w:t>
      </w:r>
      <w:r w:rsidRPr="00C77E77">
        <w:rPr>
          <w:rFonts w:ascii="Times New Roman" w:eastAsia="標楷體" w:hAnsi="Times New Roman" w:cs="Times New Roman"/>
          <w:color w:val="000000" w:themeColor="text1"/>
          <w:sz w:val="28"/>
          <w:szCs w:val="28"/>
        </w:rPr>
        <w:t>，雖然他們都已具有一定規模，但他們一定會找一家當地業者一起投標、合作，降低外人不知的潛規則風險。</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（三）東協以及印度都在邁向工業化的過程，商機無庸置疑是存在的，但私單位能做的就是點對點，能量是很有限的，政府如果能在臺灣建置一個示範，就像推廣</w:t>
      </w:r>
      <w:r w:rsidRPr="00C77E77">
        <w:rPr>
          <w:rFonts w:ascii="Times New Roman" w:eastAsia="標楷體" w:hAnsi="Times New Roman" w:cs="Times New Roman"/>
          <w:color w:val="000000" w:themeColor="text1"/>
          <w:sz w:val="28"/>
          <w:szCs w:val="28"/>
        </w:rPr>
        <w:t>ETC</w:t>
      </w:r>
      <w:r w:rsidRPr="00C77E77">
        <w:rPr>
          <w:rFonts w:ascii="Times New Roman" w:eastAsia="標楷體" w:hAnsi="Times New Roman" w:cs="Times New Roman"/>
          <w:color w:val="000000" w:themeColor="text1"/>
          <w:sz w:val="28"/>
          <w:szCs w:val="28"/>
        </w:rPr>
        <w:t>一樣，到世界各國去做整廠輸出，才能夠真正把產業推銷出去。舉例來說，在物流方面從貨物進來的電子化紀錄管控，運輸過程運用車載電腦的駕駛、路徑管理，倉儲的環境區域控制，我們臺灣的廠商都能做，但是若要所有流程從頭包到尾，廠商不願意冒如此大的風險對單一計劃投入這麼多，所以如果公單位能在臺灣建一個示範場域，透過駐外單位或是一個專責單位帶領行銷推廣，提供國外臺灣的整體產業印象，結合眾廠商力量，這樣就能提高外銷的機會，雖然這需要經費，但對公單位來說能有業務推廣收入，對私人企業亦有很大的幫助。</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劉瑞隆先生：（可參考與會者建言）</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（一）南向和西進是完全不一樣的，西進時，較沒有語言的問題，所以沒辦法把中國大陸的經驗複製到南向，況且中國大陸畢竟已開始進入成熟市場，所以政府主張發展南向替代市場是對的，南進有必要性。</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二）臺灣在研發輔導上是世界典範，其他國家將臺灣當做借鏡來取經，但是政府在市場行銷上的輔導較弱，我們有必要針對這個問題去調整。我建議分短、中、長期，短期由政府帶頭，進行法規配套的修改，加大協助拓銷的經費，補助公協會帶頭進行行銷。另外就是政府的分工，目前駐外的外館並沒有協助廠商行銷的責任，但這可以調整，可能透過行政院院長指示、行政命令就可以執行。中期要有聚焦亮點，我們有能力幫東協目標國建立央行、交易所等機構，所以我們必須聚焦成功案例。長期就是人才面，因</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灣沒有足夠的天然資源，也沒有夠大</w:t>
      </w:r>
      <w:r w:rsidRPr="00C77E77">
        <w:rPr>
          <w:rFonts w:ascii="Times New Roman" w:eastAsia="標楷體" w:hAnsi="Times New Roman" w:cs="Times New Roman"/>
          <w:color w:val="000000" w:themeColor="text1"/>
          <w:sz w:val="28"/>
          <w:szCs w:val="28"/>
        </w:rPr>
        <w:lastRenderedPageBreak/>
        <w:t>的市場，完全靠人才支撐，我們必須要啟動白領移民政策，類似美國綠卡的設計，因為臺灣的生活環境吸引東南亞國家，所以透過白領移民政策吸引東南亞人才到臺灣，一來降低我國學校因少子化面臨學生短缺問題，二來企業會因這些東南亞來的留學生進行移民簽證而非外籍員工身分，提高雇用意願，透過這些東南亞人才掌握東協市場，成為東協市場中心。另外除了研發輔導，政府在產品化的輔導、市場的拓銷也應設法助廠商一臂之力。</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三）目前臺灣非法雇用外籍勞工是有刑責的，因此雇用外國人需要申請工作許可，這對中小企業來說是一個困擾，加上外籍人士無法成為長期員工，造成公司無法仰賴他，因此降低外籍人士在臺灣找到工作。若是能改善外籍人士雇用辦法，配合白領移民政策，增進中小企業雇用外國人之意願，可大幅提高國外人才留臺工作機會。</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何明豐先生：</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（一）國內缺乏共信平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，業者須靠自己出去碰撞。以資策會國際處的經驗，我們曾經在印度雇用很多軟體工程師寫程式，但寫完後卻找不到買主，因此我們開始在印度扮演共信平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，透過我們建立的人脈，媒合臺印廠商。資策會建立的共信平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好處在於有資源往來的都是大企業，且我們也扮演政府交流平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兩國的政府若不方便公開接觸，會透過我們做傳遞，我們也會協助產業做對接，透過組成臺灣聯盟與印度廠商接洽，提高雙方商機媒合成功機率，但東南亞國家可能比印度複雜，因為各國法律不同，東南亞國家的共信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需由哪個機構幫忙較好，需要由政府好好思考。</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（二）資策會國際處在印度經營已久，累積的政商關係非常珍貴，新任總理穆迪上</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後，印度跟</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灣關係算是有史以來最好的階段，但礙於沒有正式邦交，無法明講。穆迪認為印度要轉型，印度五成人口在農業，創造</w:t>
      </w:r>
      <w:r w:rsidRPr="00C77E77">
        <w:rPr>
          <w:rFonts w:ascii="Times New Roman" w:eastAsia="標楷體" w:hAnsi="Times New Roman" w:cs="Times New Roman"/>
          <w:color w:val="000000" w:themeColor="text1"/>
          <w:sz w:val="28"/>
          <w:szCs w:val="28"/>
        </w:rPr>
        <w:t>GDP</w:t>
      </w:r>
      <w:r w:rsidRPr="00C77E77">
        <w:rPr>
          <w:rFonts w:ascii="Times New Roman" w:eastAsia="標楷體" w:hAnsi="Times New Roman" w:cs="Times New Roman"/>
          <w:color w:val="000000" w:themeColor="text1"/>
          <w:sz w:val="28"/>
          <w:szCs w:val="28"/>
        </w:rPr>
        <w:t>僅一成，必須將農業人口移到製造業，才能讓經濟完整，但</w:t>
      </w:r>
      <w:r w:rsidRPr="00C77E77">
        <w:rPr>
          <w:rFonts w:ascii="Times New Roman" w:eastAsia="標楷體" w:hAnsi="Times New Roman" w:cs="Times New Roman"/>
          <w:color w:val="000000" w:themeColor="text1"/>
          <w:sz w:val="28"/>
          <w:szCs w:val="28"/>
        </w:rPr>
        <w:lastRenderedPageBreak/>
        <w:t>印度沒有技術，所以擬了</w:t>
      </w:r>
      <w:r w:rsidRPr="00C77E77">
        <w:rPr>
          <w:rFonts w:ascii="Times New Roman" w:eastAsia="標楷體" w:hAnsi="Times New Roman" w:cs="Times New Roman"/>
          <w:color w:val="000000" w:themeColor="text1"/>
          <w:sz w:val="28"/>
          <w:szCs w:val="28"/>
        </w:rPr>
        <w:t>made in India</w:t>
      </w:r>
      <w:r w:rsidRPr="00C77E77">
        <w:rPr>
          <w:rFonts w:ascii="Times New Roman" w:eastAsia="標楷體" w:hAnsi="Times New Roman" w:cs="Times New Roman"/>
          <w:color w:val="000000" w:themeColor="text1"/>
          <w:sz w:val="28"/>
          <w:szCs w:val="28"/>
        </w:rPr>
        <w:t>，歡迎各國來印度製造。因印度外匯赤字第一大為石油、第二大為黃金、第三大屬</w:t>
      </w:r>
      <w:r w:rsidRPr="00C77E77">
        <w:rPr>
          <w:rFonts w:ascii="Times New Roman" w:eastAsia="標楷體" w:hAnsi="Times New Roman" w:cs="Times New Roman"/>
          <w:color w:val="000000" w:themeColor="text1"/>
          <w:sz w:val="28"/>
          <w:szCs w:val="28"/>
        </w:rPr>
        <w:t>ICT</w:t>
      </w:r>
      <w:r w:rsidRPr="00C77E77">
        <w:rPr>
          <w:rFonts w:ascii="Times New Roman" w:eastAsia="標楷體" w:hAnsi="Times New Roman" w:cs="Times New Roman"/>
          <w:color w:val="000000" w:themeColor="text1"/>
          <w:sz w:val="28"/>
          <w:szCs w:val="28"/>
        </w:rPr>
        <w:t>產品，印度決定從第三個開始解決，韓、日、中技術都不錯，但韓日有自己的體系，不大外售別人，而印度和中國大陸關係較緊張，兩國有邊境問題，所以穆迪認為臺灣是他的最佳夥伴，臺灣的</w:t>
      </w:r>
      <w:r w:rsidRPr="00C77E77">
        <w:rPr>
          <w:rFonts w:ascii="Times New Roman" w:eastAsia="標楷體" w:hAnsi="Times New Roman" w:cs="Times New Roman"/>
          <w:color w:val="000000" w:themeColor="text1"/>
          <w:sz w:val="28"/>
          <w:szCs w:val="28"/>
        </w:rPr>
        <w:t xml:space="preserve">ICT </w:t>
      </w:r>
      <w:r w:rsidRPr="00C77E77">
        <w:rPr>
          <w:rFonts w:ascii="Times New Roman" w:eastAsia="標楷體" w:hAnsi="Times New Roman" w:cs="Times New Roman"/>
          <w:color w:val="000000" w:themeColor="text1"/>
          <w:sz w:val="28"/>
          <w:szCs w:val="28"/>
        </w:rPr>
        <w:t>解決方案在印度有口碑，但因為印度人軟體方面不錯，所以不喜歡純軟體解決方案，最後是提供硬體給他，若是能將硬體搭配軟體就可以進行整套輸出。</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三）印度對智慧城市議題很有興趣，但因為他們才剛起步，例如他們海關所需的解決方案，只需要簡單的圖形辨識系統以解決人工問題，印度要的是破壞式創新的需求，我們的創新則是往上累加，系統越來越先進，對剛起步的市場來說，他們只偏好局部的功能、更便宜的解決方案、運用偏軟體的解決方案，這是廠商進到印度市場需要做的修正。</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（四）印度手機市場剛起飛，每秒有三個印度人第一次上網，而且可能就是用手機，他們已跳過用電腦上網的階段，因此在電子商務這塊，市場非常大，亞馬遜已經進到印度市場但只是第三大，第一大是本土的</w:t>
      </w:r>
      <w:r w:rsidRPr="00C77E77">
        <w:rPr>
          <w:rFonts w:ascii="Times New Roman" w:eastAsia="標楷體" w:hAnsi="Times New Roman" w:cs="Times New Roman"/>
          <w:color w:val="000000" w:themeColor="text1"/>
          <w:sz w:val="28"/>
          <w:szCs w:val="28"/>
        </w:rPr>
        <w:t>Flipkart</w:t>
      </w:r>
      <w:r w:rsidRPr="00C77E77">
        <w:rPr>
          <w:rFonts w:ascii="Times New Roman" w:eastAsia="標楷體" w:hAnsi="Times New Roman" w:cs="Times New Roman"/>
          <w:color w:val="000000" w:themeColor="text1"/>
          <w:sz w:val="28"/>
          <w:szCs w:val="28"/>
        </w:rPr>
        <w:t>，第二大是</w:t>
      </w:r>
      <w:r w:rsidRPr="00C77E77">
        <w:rPr>
          <w:rFonts w:ascii="Times New Roman" w:eastAsia="標楷體" w:hAnsi="Times New Roman" w:cs="Times New Roman"/>
          <w:color w:val="000000" w:themeColor="text1"/>
          <w:sz w:val="28"/>
          <w:szCs w:val="28"/>
        </w:rPr>
        <w:t>Snapdeal</w:t>
      </w:r>
      <w:r w:rsidRPr="00C77E77">
        <w:rPr>
          <w:rFonts w:ascii="Times New Roman" w:eastAsia="標楷體" w:hAnsi="Times New Roman" w:cs="Times New Roman"/>
          <w:color w:val="000000" w:themeColor="text1"/>
          <w:sz w:val="28"/>
          <w:szCs w:val="28"/>
        </w:rPr>
        <w:t>。另外印度的交通不方便，既然基礎建設不夠、車子也不夠，印度政府乾脆開放</w:t>
      </w:r>
      <w:r w:rsidRPr="00C77E77">
        <w:rPr>
          <w:rFonts w:ascii="Times New Roman" w:eastAsia="標楷體" w:hAnsi="Times New Roman" w:cs="Times New Roman"/>
          <w:color w:val="000000" w:themeColor="text1"/>
          <w:sz w:val="28"/>
          <w:szCs w:val="28"/>
        </w:rPr>
        <w:t>Uber</w:t>
      </w:r>
      <w:r w:rsidRPr="00C77E77">
        <w:rPr>
          <w:rFonts w:ascii="Times New Roman" w:eastAsia="標楷體" w:hAnsi="Times New Roman" w:cs="Times New Roman"/>
          <w:color w:val="000000" w:themeColor="text1"/>
          <w:sz w:val="28"/>
          <w:szCs w:val="28"/>
        </w:rPr>
        <w:t>，不僅能收到稅，又可改善交通不便情形，但</w:t>
      </w:r>
      <w:r w:rsidRPr="00C77E77">
        <w:rPr>
          <w:rFonts w:ascii="Times New Roman" w:eastAsia="標楷體" w:hAnsi="Times New Roman" w:cs="Times New Roman"/>
          <w:color w:val="000000" w:themeColor="text1"/>
          <w:sz w:val="28"/>
          <w:szCs w:val="28"/>
        </w:rPr>
        <w:t>Uber</w:t>
      </w:r>
      <w:r w:rsidRPr="00C77E77">
        <w:rPr>
          <w:rFonts w:ascii="Times New Roman" w:eastAsia="標楷體" w:hAnsi="Times New Roman" w:cs="Times New Roman"/>
          <w:color w:val="000000" w:themeColor="text1"/>
          <w:sz w:val="28"/>
          <w:szCs w:val="28"/>
        </w:rPr>
        <w:t>不是印度最大的網路叫車，最大是</w:t>
      </w:r>
      <w:r w:rsidRPr="00C77E77">
        <w:rPr>
          <w:rFonts w:ascii="Times New Roman" w:eastAsia="標楷體" w:hAnsi="Times New Roman" w:cs="Times New Roman"/>
          <w:color w:val="000000" w:themeColor="text1"/>
          <w:sz w:val="28"/>
          <w:szCs w:val="28"/>
        </w:rPr>
        <w:t>Ola Cabs</w:t>
      </w:r>
      <w:r w:rsidRPr="00C77E77">
        <w:rPr>
          <w:rFonts w:ascii="Times New Roman" w:eastAsia="標楷體" w:hAnsi="Times New Roman" w:cs="Times New Roman"/>
          <w:color w:val="000000" w:themeColor="text1"/>
          <w:sz w:val="28"/>
          <w:szCs w:val="28"/>
        </w:rPr>
        <w:t>，因為他可以用當地方言叫車，也可以叫三輪車。另外，像電子商務的第三方支付，雖然才剛起步，但印度的</w:t>
      </w:r>
      <w:r w:rsidRPr="00C77E77">
        <w:rPr>
          <w:rFonts w:ascii="Times New Roman" w:eastAsia="標楷體" w:hAnsi="Times New Roman" w:cs="Times New Roman"/>
          <w:color w:val="000000" w:themeColor="text1"/>
          <w:sz w:val="28"/>
          <w:szCs w:val="28"/>
        </w:rPr>
        <w:t>Paytm</w:t>
      </w:r>
      <w:r w:rsidRPr="00C77E77">
        <w:rPr>
          <w:rFonts w:ascii="Times New Roman" w:eastAsia="標楷體" w:hAnsi="Times New Roman" w:cs="Times New Roman"/>
          <w:color w:val="000000" w:themeColor="text1"/>
          <w:sz w:val="28"/>
          <w:szCs w:val="28"/>
        </w:rPr>
        <w:t>已經有一億多的使用者，比信用卡總人口數多，所以進到印度市場，臺灣廠商要瞭解新興市場特殊的後發式創新，才能切入當地需求。</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五）資策會國際處目前亦提供媒合職訓案，印度非常缺修電視、修手機的人，我們現在做課程設計，與大學合作，每個月從印度來一批人受訓，受訓後回去有很好的就業市場。除了職訓外，我們亦想促成印度大學生來臺實習方案，時間約一學期，畢業後再視情況由工廠決定是否留</w:t>
      </w:r>
      <w:r w:rsidRPr="00C77E77">
        <w:rPr>
          <w:rFonts w:ascii="Times New Roman" w:eastAsia="標楷體" w:hAnsi="Times New Roman" w:cs="Times New Roman"/>
          <w:color w:val="000000" w:themeColor="text1"/>
          <w:sz w:val="28"/>
          <w:szCs w:val="28"/>
        </w:rPr>
        <w:lastRenderedPageBreak/>
        <w:t>用，這可能可以符合業界需求，但這部分有法規限制，需要各單位幫忙。</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六）印度把智慧城市方案當外交手段進行，希望透過外國來贊助帶動當地發展，這比較不適合臺灣。另外，當地資金成本高，如果國內銀行能提供融資，不僅解決國內閒置資金問題，也能提高收益，像目前一些太陽能案，印度太陽能發電可以賣電給電力公司，但因我們銀行認為太陽能設備不是資產，不能抵押，如果可以改善就可促進印度的生意。</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鄭勝慶先生：</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（一）過去西進中國大陸我們有語言優勢，但在東南亞只能靠臺商、華僑，假設可以招到東南亞的高階人才，對臺灣是有幫助的，政府應該好好考量，像工研院就將提升外國人才雇用率到</w:t>
      </w:r>
      <w:r w:rsidRPr="00C77E77">
        <w:rPr>
          <w:rFonts w:ascii="Times New Roman" w:eastAsia="標楷體" w:hAnsi="Times New Roman" w:cs="Times New Roman"/>
          <w:color w:val="000000" w:themeColor="text1"/>
          <w:sz w:val="28"/>
          <w:szCs w:val="28"/>
        </w:rPr>
        <w:t>10%</w:t>
      </w:r>
      <w:r w:rsidRPr="00C77E77">
        <w:rPr>
          <w:rFonts w:ascii="Times New Roman" w:eastAsia="標楷體" w:hAnsi="Times New Roman" w:cs="Times New Roman"/>
          <w:color w:val="000000" w:themeColor="text1"/>
          <w:sz w:val="28"/>
          <w:szCs w:val="28"/>
        </w:rPr>
        <w:t>為目標，促進國際化。</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二）瑞典、加拿大、英國，他們在臺灣的辦事處就是在推廣他們的公司和臺灣合作，所以我們外館應該要加強經貿工作和人力，協助當地臺商跟將要前往的臺商做交流，降低危險度，在人和組織的對接正確性可以提高。</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三）回教國家對臺灣應該沒有排斥性，他們對美國排斥性較高，這就是機會，只是要注意文化問題。另外因政治因素，電子化政府、智慧校園可能都會跟政府扯上關係，所以進行困難度較高，或許我們可以考慮向日本學習，他不盡然是透過政府，有商社在當地進行交流，我們可以由大家集中投資一個商社、或是由政府出面組織廠商來做大型案子，如要接政府案子是需要的，不然單一廠商一樣一樣談較無效率。</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（四）以中國大陸為例，電子化政府在推行時，如果政府的業務沒有先行</w:t>
      </w:r>
      <w:r w:rsidRPr="00C77E77">
        <w:rPr>
          <w:rFonts w:ascii="Times New Roman" w:eastAsia="標楷體" w:hAnsi="Times New Roman" w:cs="Times New Roman"/>
          <w:color w:val="000000" w:themeColor="text1"/>
          <w:sz w:val="28"/>
          <w:szCs w:val="28"/>
        </w:rPr>
        <w:t>SOP</w:t>
      </w:r>
      <w:r w:rsidRPr="00C77E77">
        <w:rPr>
          <w:rFonts w:ascii="Times New Roman" w:eastAsia="標楷體" w:hAnsi="Times New Roman" w:cs="Times New Roman"/>
          <w:color w:val="000000" w:themeColor="text1"/>
          <w:sz w:val="28"/>
          <w:szCs w:val="28"/>
        </w:rPr>
        <w:t>化、資訊化，進行起來非常辛苦，東南亞也有同樣的問題，所以我們能先做的事，是在臺灣建立示範櫥窗，展示臺灣實力給各國看。</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（五）南向市場需要雙方的共同合作，以郭</w:t>
      </w:r>
      <w:r w:rsidR="00E524DA" w:rsidRPr="00C77E77">
        <w:rPr>
          <w:rFonts w:ascii="Times New Roman" w:eastAsia="標楷體" w:hAnsi="Times New Roman" w:cs="Times New Roman"/>
          <w:color w:val="000000" w:themeColor="text1"/>
          <w:sz w:val="28"/>
          <w:szCs w:val="28"/>
        </w:rPr>
        <w:t>台</w:t>
      </w:r>
      <w:r w:rsidRPr="00C77E77">
        <w:rPr>
          <w:rFonts w:ascii="Times New Roman" w:eastAsia="標楷體" w:hAnsi="Times New Roman" w:cs="Times New Roman"/>
          <w:color w:val="000000" w:themeColor="text1"/>
          <w:sz w:val="28"/>
          <w:szCs w:val="28"/>
        </w:rPr>
        <w:t>銘為例，他也有和中國大陸合</w:t>
      </w:r>
      <w:r w:rsidRPr="00C77E77">
        <w:rPr>
          <w:rFonts w:ascii="Times New Roman" w:eastAsia="標楷體" w:hAnsi="Times New Roman" w:cs="Times New Roman"/>
          <w:color w:val="000000" w:themeColor="text1"/>
          <w:sz w:val="28"/>
          <w:szCs w:val="28"/>
        </w:rPr>
        <w:lastRenderedPageBreak/>
        <w:t>資合作，必須要讓對方也有利可圖，這樣共同合作成功機會才大。</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蕭俊先生：</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（一）商業司主管國內商業秩序，譬如商業登記，但也會顧及商業發展，針對電子商務、智慧物流，商業司也有涉</w:t>
      </w:r>
      <w:r w:rsidR="0006385D" w:rsidRPr="00C77E77">
        <w:rPr>
          <w:rFonts w:ascii="Times New Roman" w:eastAsia="標楷體" w:hAnsi="Times New Roman" w:cs="Times New Roman"/>
          <w:color w:val="000000" w:themeColor="text1"/>
          <w:sz w:val="28"/>
          <w:szCs w:val="28"/>
        </w:rPr>
        <w:t>獵</w:t>
      </w:r>
      <w:r w:rsidRPr="00C77E77">
        <w:rPr>
          <w:rFonts w:ascii="Times New Roman" w:eastAsia="標楷體" w:hAnsi="Times New Roman" w:cs="Times New Roman"/>
          <w:color w:val="000000" w:themeColor="text1"/>
          <w:sz w:val="28"/>
          <w:szCs w:val="28"/>
        </w:rPr>
        <w:t>。物流業者最常反映的就是進入市場的問題，包括語言還有通關法規障礙，一般出口都可以退稅，但電商量少併櫃，造成沒辦法退稅。曼谷在東南亞最大的物流展覽交流會，主辦單位特別寫信邀請臺灣派員參加，表示臺灣在技術上、軟體和資通訊的應用、臺灣智慧物流的解決方案，在世界上受到一定重視。</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（二）外館主要功能是要推展貿易、幫助廠商，但目前最大的問題是職責分配不清，造成此塊工作並未發展順利。</w:t>
      </w:r>
    </w:p>
    <w:p w:rsidR="009F567C" w:rsidRPr="00C77E77" w:rsidRDefault="009F567C" w:rsidP="009F567C">
      <w:pPr>
        <w:adjustRightInd w:val="0"/>
        <w:snapToGrid w:val="0"/>
        <w:spacing w:beforeLines="50" w:before="180" w:afterLines="50" w:after="180" w:line="500" w:lineRule="exact"/>
        <w:ind w:left="792" w:hangingChars="283" w:hanging="792"/>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三）對南向市場是需要下功夫經營的，澳洲派駐幾百人在印度，中國大陸的一帶一路和日本都重視這塊市場，但我們南向沒有銀行協助，業者反映貸不到錢，開發南向市場是需要資金和人家合作的，如果不扎根、不設公司，很難獲得對方信任，南向就會比較困難。</w:t>
      </w:r>
    </w:p>
    <w:p w:rsidR="009F567C" w:rsidRPr="00C77E77" w:rsidRDefault="009F567C" w:rsidP="009F567C">
      <w:pPr>
        <w:widowControl/>
        <w:spacing w:beforeLines="50" w:before="180" w:afterLines="50" w:after="180" w:line="500" w:lineRule="exact"/>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br w:type="page"/>
      </w:r>
    </w:p>
    <w:p w:rsidR="00085941" w:rsidRPr="00C77E77" w:rsidRDefault="00085941" w:rsidP="007A742F">
      <w:pPr>
        <w:pStyle w:val="1"/>
        <w:rPr>
          <w:rFonts w:ascii="Times New Roman" w:eastAsia="標楷體" w:hAnsi="Times New Roman" w:cs="Times New Roman"/>
          <w:color w:val="000000" w:themeColor="text1"/>
          <w:sz w:val="36"/>
          <w:szCs w:val="36"/>
        </w:rPr>
      </w:pPr>
      <w:bookmarkStart w:id="177" w:name="_Toc470676333"/>
      <w:r w:rsidRPr="00C77E77">
        <w:rPr>
          <w:rFonts w:ascii="Times New Roman" w:eastAsia="標楷體" w:hAnsi="Times New Roman" w:cs="Times New Roman"/>
          <w:color w:val="000000" w:themeColor="text1"/>
          <w:sz w:val="36"/>
          <w:szCs w:val="36"/>
        </w:rPr>
        <w:lastRenderedPageBreak/>
        <w:t>附錄</w:t>
      </w:r>
      <w:r w:rsidR="0039441E" w:rsidRPr="00C77E77">
        <w:rPr>
          <w:rFonts w:ascii="Times New Roman" w:eastAsia="標楷體" w:hAnsi="Times New Roman" w:cs="Times New Roman"/>
          <w:color w:val="000000" w:themeColor="text1"/>
          <w:sz w:val="36"/>
          <w:szCs w:val="36"/>
        </w:rPr>
        <w:t>六</w:t>
      </w:r>
      <w:r w:rsidRPr="00C77E77">
        <w:rPr>
          <w:rFonts w:ascii="Times New Roman" w:eastAsia="標楷體" w:hAnsi="Times New Roman" w:cs="Times New Roman"/>
          <w:color w:val="000000" w:themeColor="text1"/>
          <w:sz w:val="36"/>
          <w:szCs w:val="36"/>
        </w:rPr>
        <w:t>：「新南向產業合作：智慧</w:t>
      </w:r>
      <w:r w:rsidRPr="00C77E77">
        <w:rPr>
          <w:rFonts w:ascii="Times New Roman" w:eastAsia="標楷體" w:hAnsi="Times New Roman" w:cs="Times New Roman"/>
          <w:color w:val="000000" w:themeColor="text1"/>
          <w:sz w:val="36"/>
          <w:szCs w:val="36"/>
        </w:rPr>
        <w:t>e</w:t>
      </w:r>
      <w:r w:rsidRPr="00C77E77">
        <w:rPr>
          <w:rFonts w:ascii="Times New Roman" w:eastAsia="標楷體" w:hAnsi="Times New Roman" w:cs="Times New Roman"/>
          <w:color w:val="000000" w:themeColor="text1"/>
          <w:sz w:val="36"/>
          <w:szCs w:val="36"/>
        </w:rPr>
        <w:t>生活」</w:t>
      </w:r>
      <w:r w:rsidR="004952D5" w:rsidRPr="00C77E77">
        <w:rPr>
          <w:rFonts w:ascii="Times New Roman" w:eastAsia="標楷體" w:hAnsi="Times New Roman" w:cs="Times New Roman"/>
          <w:color w:val="000000" w:themeColor="text1"/>
          <w:sz w:val="36"/>
          <w:szCs w:val="36"/>
        </w:rPr>
        <w:t>與會者建言</w:t>
      </w:r>
      <w:bookmarkEnd w:id="177"/>
    </w:p>
    <w:p w:rsidR="004952D5" w:rsidRPr="00C77E77" w:rsidRDefault="004952D5" w:rsidP="004952D5">
      <w:pPr>
        <w:spacing w:beforeLines="50" w:before="180" w:afterLines="50" w:after="180" w:line="500" w:lineRule="exact"/>
        <w:jc w:val="right"/>
        <w:rPr>
          <w:rFonts w:ascii="Times New Roman" w:eastAsia="標楷體" w:hAnsi="Times New Roman" w:cs="Times New Roman"/>
          <w:sz w:val="28"/>
        </w:rPr>
      </w:pPr>
      <w:r w:rsidRPr="00C77E77">
        <w:rPr>
          <w:rFonts w:ascii="Times New Roman" w:eastAsia="標楷體" w:hAnsi="Times New Roman" w:cs="Times New Roman"/>
          <w:sz w:val="28"/>
        </w:rPr>
        <w:t>凌羣電腦股份有限公司</w:t>
      </w:r>
      <w:r w:rsidRPr="00C77E77">
        <w:rPr>
          <w:rFonts w:ascii="Times New Roman" w:eastAsia="標楷體" w:hAnsi="Times New Roman" w:cs="Times New Roman"/>
          <w:sz w:val="28"/>
        </w:rPr>
        <w:t xml:space="preserve"> </w:t>
      </w:r>
      <w:r w:rsidRPr="00C77E77">
        <w:rPr>
          <w:rFonts w:ascii="Times New Roman" w:eastAsia="標楷體" w:hAnsi="Times New Roman" w:cs="Times New Roman"/>
          <w:sz w:val="28"/>
        </w:rPr>
        <w:t>劉總經理瑞隆。</w:t>
      </w:r>
      <w:r w:rsidRPr="00C77E77">
        <w:rPr>
          <w:rFonts w:ascii="Times New Roman" w:eastAsia="標楷體" w:hAnsi="Times New Roman" w:cs="Times New Roman"/>
          <w:sz w:val="28"/>
        </w:rPr>
        <w:t>2016</w:t>
      </w:r>
      <w:r w:rsidRPr="00C77E77">
        <w:rPr>
          <w:rFonts w:ascii="Times New Roman" w:eastAsia="標楷體" w:hAnsi="Times New Roman" w:cs="Times New Roman"/>
          <w:sz w:val="28"/>
        </w:rPr>
        <w:t>年</w:t>
      </w:r>
      <w:r w:rsidRPr="00C77E77">
        <w:rPr>
          <w:rFonts w:ascii="Times New Roman" w:eastAsia="標楷體" w:hAnsi="Times New Roman" w:cs="Times New Roman"/>
          <w:sz w:val="28"/>
        </w:rPr>
        <w:t>9</w:t>
      </w:r>
      <w:r w:rsidRPr="00C77E77">
        <w:rPr>
          <w:rFonts w:ascii="Times New Roman" w:eastAsia="標楷體" w:hAnsi="Times New Roman" w:cs="Times New Roman"/>
          <w:sz w:val="28"/>
        </w:rPr>
        <w:t>月</w:t>
      </w:r>
      <w:r w:rsidRPr="00C77E77">
        <w:rPr>
          <w:rFonts w:ascii="Times New Roman" w:eastAsia="標楷體" w:hAnsi="Times New Roman" w:cs="Times New Roman"/>
          <w:sz w:val="28"/>
        </w:rPr>
        <w:t>23</w:t>
      </w:r>
      <w:r w:rsidRPr="00C77E77">
        <w:rPr>
          <w:rFonts w:ascii="Times New Roman" w:eastAsia="標楷體" w:hAnsi="Times New Roman" w:cs="Times New Roman"/>
          <w:sz w:val="28"/>
        </w:rPr>
        <w:t>日</w:t>
      </w:r>
    </w:p>
    <w:p w:rsidR="004952D5" w:rsidRPr="00C77E77" w:rsidRDefault="004952D5" w:rsidP="004952D5">
      <w:pPr>
        <w:spacing w:beforeLines="50" w:before="180" w:afterLines="50" w:after="180" w:line="500" w:lineRule="exact"/>
        <w:ind w:firstLine="425"/>
        <w:jc w:val="both"/>
        <w:rPr>
          <w:rFonts w:ascii="Times New Roman" w:eastAsia="標楷體" w:hAnsi="Times New Roman" w:cs="Times New Roman"/>
          <w:sz w:val="28"/>
        </w:rPr>
      </w:pPr>
      <w:r w:rsidRPr="00C77E77">
        <w:rPr>
          <w:rFonts w:ascii="Times New Roman" w:eastAsia="標楷體" w:hAnsi="Times New Roman" w:cs="Times New Roman"/>
          <w:sz w:val="28"/>
        </w:rPr>
        <w:t>新南向政策是我國因應西進兩岸市場成熟化之後的接續，擴大市場（替代市場）的方案，憑心而論，有其必要性，但如果要做成功，有一些必要的配套需要完成。</w:t>
      </w:r>
    </w:p>
    <w:p w:rsidR="004952D5" w:rsidRPr="00C77E77" w:rsidRDefault="004952D5" w:rsidP="004952D5">
      <w:pPr>
        <w:spacing w:beforeLines="50" w:before="180" w:afterLines="50" w:after="180" w:line="500" w:lineRule="exact"/>
        <w:ind w:firstLine="425"/>
        <w:jc w:val="both"/>
        <w:rPr>
          <w:rFonts w:ascii="Times New Roman" w:eastAsia="標楷體" w:hAnsi="Times New Roman" w:cs="Times New Roman"/>
          <w:sz w:val="28"/>
        </w:rPr>
      </w:pPr>
      <w:r w:rsidRPr="00C77E77">
        <w:rPr>
          <w:rFonts w:ascii="Times New Roman" w:eastAsia="標楷體" w:hAnsi="Times New Roman" w:cs="Times New Roman"/>
          <w:sz w:val="28"/>
        </w:rPr>
        <w:t>以我們凌羣電腦為案例，我們目前在泰國和越南有設立子公司，</w:t>
      </w:r>
      <w:r w:rsidR="0006385D" w:rsidRPr="00C77E77">
        <w:rPr>
          <w:rFonts w:ascii="Times New Roman" w:eastAsia="標楷體" w:hAnsi="Times New Roman" w:cs="Times New Roman"/>
          <w:sz w:val="28"/>
        </w:rPr>
        <w:t>在</w:t>
      </w:r>
      <w:r w:rsidRPr="00C77E77">
        <w:rPr>
          <w:rFonts w:ascii="Times New Roman" w:eastAsia="標楷體" w:hAnsi="Times New Roman" w:cs="Times New Roman"/>
          <w:sz w:val="28"/>
        </w:rPr>
        <w:t>柬埔寨有行銷成功的長期客戶，在馬來西亞有豐富的人脈關係，以我們</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目前資通訊、電子商務、電子化政府的發展，我們在研發輔導上，有很成功的經驗和典範，例如經濟部透過工研院、資策會所做的研發輔導，一向為世界各國稱許、學習的典範，但在市場拓銷方面，就有很大的改善空間，相較於我們主要的競爭國</w:t>
      </w:r>
      <w:r w:rsidRPr="00C77E77">
        <w:rPr>
          <w:rFonts w:ascii="Times New Roman" w:eastAsia="標楷體" w:hAnsi="Times New Roman" w:cs="Times New Roman"/>
          <w:sz w:val="28"/>
        </w:rPr>
        <w:t>─</w:t>
      </w:r>
      <w:r w:rsidRPr="00C77E77">
        <w:rPr>
          <w:rFonts w:ascii="Times New Roman" w:eastAsia="標楷體" w:hAnsi="Times New Roman" w:cs="Times New Roman"/>
          <w:sz w:val="28"/>
        </w:rPr>
        <w:t>韓國，韓國是以國家的力量帶頭去拓展市場，例如韓國政府贈送越南政府、柬埔寨政府交易的系統，附帶保證其廠商的銷售權益；我國政府在分工配套上，恐怕就有很多需要調整的部分，包括法規制度、輔導單位、外館等。</w:t>
      </w:r>
    </w:p>
    <w:p w:rsidR="004952D5" w:rsidRPr="00C77E77" w:rsidRDefault="004952D5" w:rsidP="004952D5">
      <w:pPr>
        <w:spacing w:beforeLines="50" w:before="180" w:afterLines="50" w:after="180" w:line="500" w:lineRule="exact"/>
        <w:ind w:firstLine="425"/>
        <w:jc w:val="both"/>
        <w:rPr>
          <w:rFonts w:ascii="Times New Roman" w:eastAsia="標楷體" w:hAnsi="Times New Roman" w:cs="Times New Roman"/>
          <w:sz w:val="28"/>
        </w:rPr>
      </w:pPr>
      <w:r w:rsidRPr="00C77E77">
        <w:rPr>
          <w:rFonts w:ascii="Times New Roman" w:eastAsia="標楷體" w:hAnsi="Times New Roman" w:cs="Times New Roman"/>
          <w:sz w:val="28"/>
        </w:rPr>
        <w:t>針對未來有以下短、中、長期的建議：</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短期：</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政府帶頭調整相關的法規制度、配套、海外拓銷輔導，以及政府相關單位的分工，例如明確賦予外館海外拓銷的責任</w:t>
      </w:r>
      <w:r w:rsidRPr="00C77E77">
        <w:rPr>
          <w:rFonts w:ascii="Times New Roman" w:eastAsia="標楷體" w:hAnsi="Times New Roman" w:cs="Times New Roman"/>
          <w:sz w:val="28"/>
        </w:rPr>
        <w:t>KPI</w:t>
      </w:r>
      <w:r w:rsidRPr="00C77E77">
        <w:rPr>
          <w:rFonts w:ascii="Times New Roman" w:eastAsia="標楷體" w:hAnsi="Times New Roman" w:cs="Times New Roman"/>
          <w:sz w:val="28"/>
        </w:rPr>
        <w:t>。</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中期：</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成功的建立一些大型應用的亮點，</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灣有強大的</w:t>
      </w:r>
      <w:r w:rsidRPr="00C77E77">
        <w:rPr>
          <w:rFonts w:ascii="Times New Roman" w:eastAsia="標楷體" w:hAnsi="Times New Roman" w:cs="Times New Roman"/>
          <w:sz w:val="28"/>
        </w:rPr>
        <w:t>ICT</w:t>
      </w:r>
      <w:r w:rsidRPr="00C77E77">
        <w:rPr>
          <w:rFonts w:ascii="Times New Roman" w:eastAsia="標楷體" w:hAnsi="Times New Roman" w:cs="Times New Roman"/>
          <w:sz w:val="28"/>
        </w:rPr>
        <w:t>能力，有許多大型系統公司，如神通、凌羣等，都有能力快速的幫我們的南進目標市場諸國建立中央銀行、交易所等大型應用。</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長期：</w:t>
      </w:r>
    </w:p>
    <w:p w:rsidR="004952D5" w:rsidRPr="00C77E77" w:rsidRDefault="00FD0D5A" w:rsidP="0001327A">
      <w:pPr>
        <w:pStyle w:val="ab"/>
        <w:numPr>
          <w:ilvl w:val="0"/>
          <w:numId w:val="65"/>
        </w:numPr>
        <w:spacing w:beforeLines="50" w:before="180" w:afterLines="50" w:after="180" w:line="500" w:lineRule="exact"/>
        <w:ind w:leftChars="0"/>
        <w:jc w:val="both"/>
        <w:rPr>
          <w:rFonts w:ascii="Times New Roman" w:eastAsia="標楷體" w:hAnsi="Times New Roman" w:cs="Times New Roman"/>
          <w:sz w:val="28"/>
        </w:rPr>
      </w:pPr>
      <w:r w:rsidRPr="00C77E77">
        <w:rPr>
          <w:rFonts w:ascii="Times New Roman" w:eastAsia="標楷體" w:hAnsi="Times New Roman" w:cs="Times New Roman"/>
          <w:sz w:val="28"/>
        </w:rPr>
        <w:lastRenderedPageBreak/>
        <w:t>臺</w:t>
      </w:r>
      <w:r w:rsidR="004952D5" w:rsidRPr="00C77E77">
        <w:rPr>
          <w:rFonts w:ascii="Times New Roman" w:eastAsia="標楷體" w:hAnsi="Times New Roman" w:cs="Times New Roman"/>
          <w:sz w:val="28"/>
        </w:rPr>
        <w:t>灣以人才為本，要迅速推動白領移民政策，吸引東協諸國到</w:t>
      </w:r>
      <w:r w:rsidRPr="00C77E77">
        <w:rPr>
          <w:rFonts w:ascii="Times New Roman" w:eastAsia="標楷體" w:hAnsi="Times New Roman" w:cs="Times New Roman"/>
          <w:sz w:val="28"/>
        </w:rPr>
        <w:t>臺</w:t>
      </w:r>
      <w:r w:rsidR="004952D5" w:rsidRPr="00C77E77">
        <w:rPr>
          <w:rFonts w:ascii="Times New Roman" w:eastAsia="標楷體" w:hAnsi="Times New Roman" w:cs="Times New Roman"/>
          <w:sz w:val="28"/>
        </w:rPr>
        <w:t>灣來念書，畢業後找到工作，公司替他們申請</w:t>
      </w:r>
      <w:r w:rsidR="004952D5" w:rsidRPr="00C77E77">
        <w:rPr>
          <w:rFonts w:ascii="Times New Roman" w:eastAsia="標楷體" w:hAnsi="Times New Roman" w:cs="Times New Roman"/>
          <w:sz w:val="28"/>
        </w:rPr>
        <w:t>“</w:t>
      </w:r>
      <w:r w:rsidRPr="00C77E77">
        <w:rPr>
          <w:rFonts w:ascii="Times New Roman" w:eastAsia="標楷體" w:hAnsi="Times New Roman" w:cs="Times New Roman"/>
          <w:sz w:val="28"/>
        </w:rPr>
        <w:t>臺</w:t>
      </w:r>
      <w:r w:rsidR="004952D5" w:rsidRPr="00C77E77">
        <w:rPr>
          <w:rFonts w:ascii="Times New Roman" w:eastAsia="標楷體" w:hAnsi="Times New Roman" w:cs="Times New Roman"/>
          <w:sz w:val="28"/>
        </w:rPr>
        <w:t>灣綠卡</w:t>
      </w:r>
      <w:r w:rsidR="004952D5" w:rsidRPr="00C77E77">
        <w:rPr>
          <w:rFonts w:ascii="Times New Roman" w:eastAsia="標楷體" w:hAnsi="Times New Roman" w:cs="Times New Roman"/>
          <w:sz w:val="28"/>
        </w:rPr>
        <w:t>”</w:t>
      </w:r>
      <w:r w:rsidR="004952D5" w:rsidRPr="00C77E77">
        <w:rPr>
          <w:rFonts w:ascii="Times New Roman" w:eastAsia="標楷體" w:hAnsi="Times New Roman" w:cs="Times New Roman"/>
          <w:sz w:val="28"/>
        </w:rPr>
        <w:t>。如此一來，一方面解決少子化之後，學校退場的問題，另一方面這些</w:t>
      </w:r>
      <w:r w:rsidR="004952D5" w:rsidRPr="00C77E77">
        <w:rPr>
          <w:rFonts w:ascii="Times New Roman" w:eastAsia="標楷體" w:hAnsi="Times New Roman" w:cs="Times New Roman"/>
          <w:sz w:val="28"/>
        </w:rPr>
        <w:t>“</w:t>
      </w:r>
      <w:r w:rsidRPr="00C77E77">
        <w:rPr>
          <w:rFonts w:ascii="Times New Roman" w:eastAsia="標楷體" w:hAnsi="Times New Roman" w:cs="Times New Roman"/>
          <w:sz w:val="28"/>
        </w:rPr>
        <w:t>臺</w:t>
      </w:r>
      <w:r w:rsidR="004952D5" w:rsidRPr="00C77E77">
        <w:rPr>
          <w:rFonts w:ascii="Times New Roman" w:eastAsia="標楷體" w:hAnsi="Times New Roman" w:cs="Times New Roman"/>
          <w:sz w:val="28"/>
        </w:rPr>
        <w:t>灣新子民</w:t>
      </w:r>
      <w:r w:rsidR="004952D5" w:rsidRPr="00C77E77">
        <w:rPr>
          <w:rFonts w:ascii="Times New Roman" w:eastAsia="標楷體" w:hAnsi="Times New Roman" w:cs="Times New Roman"/>
          <w:sz w:val="28"/>
        </w:rPr>
        <w:t>”</w:t>
      </w:r>
      <w:r w:rsidR="004952D5" w:rsidRPr="00C77E77">
        <w:rPr>
          <w:rFonts w:ascii="Times New Roman" w:eastAsia="標楷體" w:hAnsi="Times New Roman" w:cs="Times New Roman"/>
          <w:sz w:val="28"/>
        </w:rPr>
        <w:t>投入市場，將成為南進的尖兵、主力部隊。</w:t>
      </w:r>
    </w:p>
    <w:p w:rsidR="004952D5" w:rsidRPr="00C77E77" w:rsidRDefault="004952D5" w:rsidP="0001327A">
      <w:pPr>
        <w:pStyle w:val="ab"/>
        <w:numPr>
          <w:ilvl w:val="0"/>
          <w:numId w:val="65"/>
        </w:numPr>
        <w:spacing w:beforeLines="50" w:before="180" w:afterLines="50" w:after="180" w:line="500" w:lineRule="exact"/>
        <w:ind w:leftChars="0"/>
        <w:jc w:val="both"/>
        <w:rPr>
          <w:rFonts w:ascii="Times New Roman" w:eastAsia="標楷體" w:hAnsi="Times New Roman" w:cs="Times New Roman"/>
          <w:sz w:val="28"/>
        </w:rPr>
      </w:pPr>
      <w:r w:rsidRPr="00C77E77">
        <w:rPr>
          <w:rFonts w:ascii="Times New Roman" w:eastAsia="標楷體" w:hAnsi="Times New Roman" w:cs="Times New Roman"/>
          <w:sz w:val="28"/>
        </w:rPr>
        <w:t>持續研發輔導，並擴大到產品化的輔導。</w:t>
      </w:r>
    </w:p>
    <w:p w:rsidR="004952D5" w:rsidRPr="00C77E77" w:rsidRDefault="004952D5" w:rsidP="0001327A">
      <w:pPr>
        <w:pStyle w:val="ab"/>
        <w:numPr>
          <w:ilvl w:val="0"/>
          <w:numId w:val="65"/>
        </w:numPr>
        <w:spacing w:beforeLines="50" w:before="180" w:afterLines="50" w:after="180" w:line="500" w:lineRule="exact"/>
        <w:ind w:leftChars="0"/>
        <w:jc w:val="both"/>
        <w:rPr>
          <w:rFonts w:ascii="Times New Roman" w:eastAsia="標楷體" w:hAnsi="Times New Roman" w:cs="Times New Roman"/>
          <w:sz w:val="28"/>
        </w:rPr>
      </w:pPr>
      <w:r w:rsidRPr="00C77E77">
        <w:rPr>
          <w:rFonts w:ascii="Times New Roman" w:eastAsia="標楷體" w:hAnsi="Times New Roman" w:cs="Times New Roman"/>
          <w:sz w:val="28"/>
        </w:rPr>
        <w:t>擴大市場拓銷的輔導、全方位調整，加大力道，調整法規制度，政府分工，投入資源。</w:t>
      </w:r>
    </w:p>
    <w:p w:rsidR="004952D5" w:rsidRPr="00C77E77" w:rsidRDefault="004952D5" w:rsidP="004952D5">
      <w:pPr>
        <w:widowControl/>
        <w:spacing w:beforeLines="50" w:before="180" w:afterLines="50" w:after="180" w:line="500" w:lineRule="exact"/>
        <w:rPr>
          <w:rFonts w:ascii="Times New Roman" w:eastAsia="標楷體" w:hAnsi="Times New Roman" w:cs="Times New Roman"/>
          <w:sz w:val="28"/>
        </w:rPr>
      </w:pPr>
      <w:r w:rsidRPr="00C77E77">
        <w:rPr>
          <w:rFonts w:ascii="Times New Roman" w:eastAsia="標楷體" w:hAnsi="Times New Roman" w:cs="Times New Roman"/>
          <w:sz w:val="28"/>
        </w:rPr>
        <w:br w:type="page"/>
      </w:r>
    </w:p>
    <w:p w:rsidR="004952D5" w:rsidRPr="00C77E77" w:rsidRDefault="004952D5" w:rsidP="004952D5">
      <w:pPr>
        <w:spacing w:beforeLines="50" w:before="180" w:afterLines="50" w:after="180" w:line="500" w:lineRule="exact"/>
        <w:jc w:val="right"/>
        <w:rPr>
          <w:rFonts w:ascii="Times New Roman" w:eastAsia="標楷體" w:hAnsi="Times New Roman" w:cs="Times New Roman"/>
          <w:sz w:val="28"/>
        </w:rPr>
      </w:pPr>
      <w:r w:rsidRPr="00C77E77">
        <w:rPr>
          <w:rFonts w:ascii="Times New Roman" w:eastAsia="標楷體" w:hAnsi="Times New Roman" w:cs="Times New Roman"/>
          <w:sz w:val="28"/>
        </w:rPr>
        <w:lastRenderedPageBreak/>
        <w:t>研華股份有限公司蘇業務協理文彬。</w:t>
      </w:r>
      <w:r w:rsidRPr="00C77E77">
        <w:rPr>
          <w:rFonts w:ascii="Times New Roman" w:eastAsia="標楷體" w:hAnsi="Times New Roman" w:cs="Times New Roman"/>
          <w:sz w:val="28"/>
        </w:rPr>
        <w:t>2016</w:t>
      </w:r>
      <w:r w:rsidRPr="00C77E77">
        <w:rPr>
          <w:rFonts w:ascii="Times New Roman" w:eastAsia="標楷體" w:hAnsi="Times New Roman" w:cs="Times New Roman"/>
          <w:sz w:val="28"/>
        </w:rPr>
        <w:t>年</w:t>
      </w:r>
      <w:r w:rsidRPr="00C77E77">
        <w:rPr>
          <w:rFonts w:ascii="Times New Roman" w:eastAsia="標楷體" w:hAnsi="Times New Roman" w:cs="Times New Roman"/>
          <w:sz w:val="28"/>
        </w:rPr>
        <w:t>9</w:t>
      </w:r>
      <w:r w:rsidRPr="00C77E77">
        <w:rPr>
          <w:rFonts w:ascii="Times New Roman" w:eastAsia="標楷體" w:hAnsi="Times New Roman" w:cs="Times New Roman"/>
          <w:sz w:val="28"/>
        </w:rPr>
        <w:t>月</w:t>
      </w:r>
      <w:r w:rsidRPr="00C77E77">
        <w:rPr>
          <w:rFonts w:ascii="Times New Roman" w:eastAsia="標楷體" w:hAnsi="Times New Roman" w:cs="Times New Roman"/>
          <w:sz w:val="28"/>
        </w:rPr>
        <w:t>23</w:t>
      </w:r>
      <w:r w:rsidRPr="00C77E77">
        <w:rPr>
          <w:rFonts w:ascii="Times New Roman" w:eastAsia="標楷體" w:hAnsi="Times New Roman" w:cs="Times New Roman"/>
          <w:sz w:val="28"/>
        </w:rPr>
        <w:t>日</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南向產業政策</w:t>
      </w:r>
    </w:p>
    <w:p w:rsidR="004952D5" w:rsidRPr="00C77E77" w:rsidRDefault="004952D5" w:rsidP="004952D5">
      <w:pPr>
        <w:spacing w:beforeLines="50" w:before="180" w:afterLines="50" w:after="180" w:line="500" w:lineRule="exact"/>
        <w:ind w:firstLine="480"/>
        <w:jc w:val="both"/>
        <w:rPr>
          <w:rFonts w:ascii="Times New Roman" w:eastAsia="標楷體" w:hAnsi="Times New Roman" w:cs="Times New Roman"/>
          <w:sz w:val="28"/>
        </w:rPr>
      </w:pPr>
      <w:r w:rsidRPr="00C77E77">
        <w:rPr>
          <w:rFonts w:ascii="Times New Roman" w:eastAsia="標楷體" w:hAnsi="Times New Roman" w:cs="Times New Roman"/>
          <w:sz w:val="28"/>
        </w:rPr>
        <w:t>東協與印度正在前往工業化的道路上，我們覺得機會很多，當地的政府都試著做一些有感的政策譬如菲律賓要使港口現代化，泰國要提升觀光產業品質，馬來西亞促進物流，印度更大張旗鼓地搞</w:t>
      </w:r>
      <w:r w:rsidRPr="00C77E77">
        <w:rPr>
          <w:rFonts w:ascii="Times New Roman" w:eastAsia="標楷體" w:hAnsi="Times New Roman" w:cs="Times New Roman"/>
          <w:sz w:val="28"/>
        </w:rPr>
        <w:t>Smart City…</w:t>
      </w:r>
    </w:p>
    <w:p w:rsidR="004952D5" w:rsidRPr="00C77E77" w:rsidRDefault="004952D5" w:rsidP="004952D5">
      <w:pPr>
        <w:spacing w:beforeLines="50" w:before="180" w:afterLines="50" w:after="180" w:line="500" w:lineRule="exact"/>
        <w:ind w:firstLine="480"/>
        <w:jc w:val="both"/>
        <w:rPr>
          <w:rFonts w:ascii="Times New Roman" w:eastAsia="標楷體" w:hAnsi="Times New Roman" w:cs="Times New Roman"/>
          <w:sz w:val="28"/>
        </w:rPr>
      </w:pPr>
      <w:r w:rsidRPr="00C77E77">
        <w:rPr>
          <w:rFonts w:ascii="Times New Roman" w:eastAsia="標楷體" w:hAnsi="Times New Roman" w:cs="Times New Roman"/>
          <w:sz w:val="28"/>
        </w:rPr>
        <w:t>如果要談將</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灣製造的產品賣出去，我相信公單位就算不用力，民營企業也會努力開拓市場，用力賣出去。但是如果談系統輸出，一個</w:t>
      </w:r>
      <w:r w:rsidRPr="00C77E77">
        <w:rPr>
          <w:rFonts w:ascii="Times New Roman" w:eastAsia="標楷體" w:hAnsi="Times New Roman" w:cs="Times New Roman"/>
          <w:sz w:val="28"/>
        </w:rPr>
        <w:t>solution package</w:t>
      </w:r>
      <w:r w:rsidRPr="00C77E77">
        <w:rPr>
          <w:rFonts w:ascii="Times New Roman" w:eastAsia="標楷體" w:hAnsi="Times New Roman" w:cs="Times New Roman"/>
          <w:sz w:val="28"/>
        </w:rPr>
        <w:t>，或是一種</w:t>
      </w:r>
      <w:r w:rsidRPr="00C77E77">
        <w:rPr>
          <w:rFonts w:ascii="Times New Roman" w:eastAsia="標楷體" w:hAnsi="Times New Roman" w:cs="Times New Roman"/>
          <w:sz w:val="28"/>
        </w:rPr>
        <w:t>service model</w:t>
      </w:r>
      <w:r w:rsidRPr="00C77E77">
        <w:rPr>
          <w:rFonts w:ascii="Times New Roman" w:eastAsia="標楷體" w:hAnsi="Times New Roman" w:cs="Times New Roman"/>
          <w:sz w:val="28"/>
        </w:rPr>
        <w:t>，的確就需要公單位帶頭才能辦到。</w:t>
      </w:r>
    </w:p>
    <w:p w:rsidR="004952D5" w:rsidRPr="00C77E77" w:rsidRDefault="004952D5" w:rsidP="004952D5">
      <w:pPr>
        <w:spacing w:beforeLines="50" w:before="180" w:afterLines="50" w:after="180" w:line="500" w:lineRule="exact"/>
        <w:ind w:firstLine="480"/>
        <w:jc w:val="both"/>
        <w:rPr>
          <w:rFonts w:ascii="Times New Roman" w:eastAsia="標楷體" w:hAnsi="Times New Roman" w:cs="Times New Roman"/>
          <w:sz w:val="28"/>
        </w:rPr>
      </w:pPr>
      <w:r w:rsidRPr="00C77E77">
        <w:rPr>
          <w:rFonts w:ascii="Times New Roman" w:eastAsia="標楷體" w:hAnsi="Times New Roman" w:cs="Times New Roman"/>
          <w:sz w:val="28"/>
        </w:rPr>
        <w:t>目前我們看到的產業電腦界，沒有例外就是單打獨鬥：就是把產品賣給當地的</w:t>
      </w:r>
      <w:r w:rsidRPr="00C77E77">
        <w:rPr>
          <w:rFonts w:ascii="Times New Roman" w:eastAsia="標楷體" w:hAnsi="Times New Roman" w:cs="Times New Roman"/>
          <w:sz w:val="28"/>
        </w:rPr>
        <w:t>SI</w:t>
      </w:r>
      <w:r w:rsidRPr="00C77E77">
        <w:rPr>
          <w:rFonts w:ascii="Times New Roman" w:eastAsia="標楷體" w:hAnsi="Times New Roman" w:cs="Times New Roman"/>
          <w:sz w:val="28"/>
        </w:rPr>
        <w:t>，或是經銷商，再由他們去找應用軟體，把</w:t>
      </w:r>
      <w:r w:rsidRPr="00C77E77">
        <w:rPr>
          <w:rFonts w:ascii="Times New Roman" w:eastAsia="標楷體" w:hAnsi="Times New Roman" w:cs="Times New Roman"/>
          <w:sz w:val="28"/>
        </w:rPr>
        <w:t>solution</w:t>
      </w:r>
      <w:r w:rsidRPr="00C77E77">
        <w:rPr>
          <w:rFonts w:ascii="Times New Roman" w:eastAsia="標楷體" w:hAnsi="Times New Roman" w:cs="Times New Roman"/>
          <w:sz w:val="28"/>
        </w:rPr>
        <w:t>呈現出來，這樣的</w:t>
      </w:r>
      <w:r w:rsidRPr="00C77E77">
        <w:rPr>
          <w:rFonts w:ascii="Times New Roman" w:eastAsia="標楷體" w:hAnsi="Times New Roman" w:cs="Times New Roman"/>
          <w:sz w:val="28"/>
        </w:rPr>
        <w:t>solution</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灣廠商能不能做？肯定可以，問題卡在哪裡？當地的法規，語言，在地的技術支援，或是一些外人不知的潛規則</w:t>
      </w:r>
      <w:r w:rsidRPr="00C77E77">
        <w:rPr>
          <w:rFonts w:ascii="Times New Roman" w:eastAsia="標楷體" w:hAnsi="Times New Roman" w:cs="Times New Roman"/>
          <w:sz w:val="28"/>
        </w:rPr>
        <w:t>…</w:t>
      </w:r>
      <w:r w:rsidRPr="00C77E77">
        <w:rPr>
          <w:rFonts w:ascii="Times New Roman" w:eastAsia="標楷體" w:hAnsi="Times New Roman" w:cs="Times New Roman"/>
          <w:sz w:val="28"/>
        </w:rPr>
        <w:t>投資下去不見得能回收，所以我們看到</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灣的</w:t>
      </w:r>
      <w:r w:rsidRPr="00C77E77">
        <w:rPr>
          <w:rFonts w:ascii="Times New Roman" w:eastAsia="標楷體" w:hAnsi="Times New Roman" w:cs="Times New Roman"/>
          <w:sz w:val="28"/>
        </w:rPr>
        <w:t>SI</w:t>
      </w:r>
      <w:r w:rsidRPr="00C77E77">
        <w:rPr>
          <w:rFonts w:ascii="Times New Roman" w:eastAsia="標楷體" w:hAnsi="Times New Roman" w:cs="Times New Roman"/>
          <w:sz w:val="28"/>
        </w:rPr>
        <w:t>很難在這些國家攻城掠地，我們建議是不是可以由公單位先在</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灣建置一個</w:t>
      </w:r>
      <w:r w:rsidRPr="00C77E77">
        <w:rPr>
          <w:rFonts w:ascii="Times New Roman" w:eastAsia="標楷體" w:hAnsi="Times New Roman" w:cs="Times New Roman"/>
          <w:sz w:val="28"/>
        </w:rPr>
        <w:t>reference site</w:t>
      </w:r>
      <w:r w:rsidRPr="00C77E77">
        <w:rPr>
          <w:rFonts w:ascii="Times New Roman" w:eastAsia="標楷體" w:hAnsi="Times New Roman" w:cs="Times New Roman"/>
          <w:sz w:val="28"/>
        </w:rPr>
        <w:t>，先在臺灣做完整個</w:t>
      </w:r>
      <w:r w:rsidRPr="00C77E77">
        <w:rPr>
          <w:rFonts w:ascii="Times New Roman" w:eastAsia="標楷體" w:hAnsi="Times New Roman" w:cs="Times New Roman"/>
          <w:sz w:val="28"/>
        </w:rPr>
        <w:t>solution</w:t>
      </w:r>
      <w:r w:rsidRPr="00C77E77">
        <w:rPr>
          <w:rFonts w:ascii="Times New Roman" w:eastAsia="標楷體" w:hAnsi="Times New Roman" w:cs="Times New Roman"/>
          <w:sz w:val="28"/>
        </w:rPr>
        <w:t>，這樣一套</w:t>
      </w:r>
      <w:r w:rsidRPr="00C77E77">
        <w:rPr>
          <w:rFonts w:ascii="Times New Roman" w:eastAsia="標楷體" w:hAnsi="Times New Roman" w:cs="Times New Roman"/>
          <w:sz w:val="28"/>
        </w:rPr>
        <w:t>package</w:t>
      </w:r>
      <w:r w:rsidRPr="00C77E77">
        <w:rPr>
          <w:rFonts w:ascii="Times New Roman" w:eastAsia="標楷體" w:hAnsi="Times New Roman" w:cs="Times New Roman"/>
          <w:sz w:val="28"/>
        </w:rPr>
        <w:t>要輸出，就容易多了，譬如在智慧物流方面，從港口貨櫃裝卸的電子化控制跟記錄，貨櫃車進出無紙化，送到物流中心之後每批貨物或是每個棧板用</w:t>
      </w:r>
      <w:r w:rsidRPr="00C77E77">
        <w:rPr>
          <w:rFonts w:ascii="Times New Roman" w:eastAsia="標楷體" w:hAnsi="Times New Roman" w:cs="Times New Roman"/>
          <w:sz w:val="28"/>
        </w:rPr>
        <w:t>RFID</w:t>
      </w:r>
      <w:r w:rsidRPr="00C77E77">
        <w:rPr>
          <w:rFonts w:ascii="Times New Roman" w:eastAsia="標楷體" w:hAnsi="Times New Roman" w:cs="Times New Roman"/>
          <w:sz w:val="28"/>
        </w:rPr>
        <w:t>感應跟管控，物流中心本身的溫濕度監控，接下來卡車運輸用車載電腦來傳送訊息：車子在哪裡？貨物是否由客戶簽收，運送路線的最佳化，駕駛行為管控，有沒有打瞌睡或是超速、講手機</w:t>
      </w:r>
      <w:r w:rsidRPr="00C77E77">
        <w:rPr>
          <w:rFonts w:ascii="Times New Roman" w:eastAsia="標楷體" w:hAnsi="Times New Roman" w:cs="Times New Roman"/>
          <w:sz w:val="28"/>
        </w:rPr>
        <w:t>…</w:t>
      </w:r>
      <w:r w:rsidRPr="00C77E77">
        <w:rPr>
          <w:rFonts w:ascii="Times New Roman" w:eastAsia="標楷體" w:hAnsi="Times New Roman" w:cs="Times New Roman"/>
          <w:sz w:val="28"/>
        </w:rPr>
        <w:t>再到車輛本身行為的監控，車速引擎轉速胎壓</w:t>
      </w:r>
      <w:r w:rsidRPr="00C77E77">
        <w:rPr>
          <w:rFonts w:ascii="Times New Roman" w:eastAsia="標楷體" w:hAnsi="Times New Roman" w:cs="Times New Roman"/>
          <w:sz w:val="28"/>
        </w:rPr>
        <w:t>…</w:t>
      </w:r>
      <w:r w:rsidRPr="00C77E77">
        <w:rPr>
          <w:rFonts w:ascii="Times New Roman" w:eastAsia="標楷體" w:hAnsi="Times New Roman" w:cs="Times New Roman"/>
          <w:sz w:val="28"/>
        </w:rPr>
        <w:t>等等。</w:t>
      </w:r>
    </w:p>
    <w:p w:rsidR="004952D5" w:rsidRPr="00C77E77" w:rsidRDefault="004952D5" w:rsidP="004952D5">
      <w:pPr>
        <w:spacing w:beforeLines="50" w:before="180" w:afterLines="50" w:after="180" w:line="500" w:lineRule="exact"/>
        <w:ind w:firstLine="480"/>
        <w:jc w:val="both"/>
        <w:rPr>
          <w:rFonts w:ascii="Times New Roman" w:eastAsia="標楷體" w:hAnsi="Times New Roman" w:cs="Times New Roman"/>
          <w:sz w:val="28"/>
        </w:rPr>
      </w:pPr>
      <w:r w:rsidRPr="00C77E77">
        <w:rPr>
          <w:rFonts w:ascii="Times New Roman" w:eastAsia="標楷體" w:hAnsi="Times New Roman" w:cs="Times New Roman"/>
          <w:sz w:val="28"/>
        </w:rPr>
        <w:t>我們可以有個專責機構，負責經費跟讓</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灣廠商練兵，然後再把這些</w:t>
      </w:r>
      <w:r w:rsidRPr="00C77E77">
        <w:rPr>
          <w:rFonts w:ascii="Times New Roman" w:eastAsia="標楷體" w:hAnsi="Times New Roman" w:cs="Times New Roman"/>
          <w:sz w:val="28"/>
        </w:rPr>
        <w:t>package</w:t>
      </w:r>
      <w:r w:rsidRPr="00C77E77">
        <w:rPr>
          <w:rFonts w:ascii="Times New Roman" w:eastAsia="標楷體" w:hAnsi="Times New Roman" w:cs="Times New Roman"/>
          <w:sz w:val="28"/>
        </w:rPr>
        <w:t>透過各種方式來推廣，以及銷售，這樣這些</w:t>
      </w:r>
      <w:r w:rsidRPr="00C77E77">
        <w:rPr>
          <w:rFonts w:ascii="Times New Roman" w:eastAsia="標楷體" w:hAnsi="Times New Roman" w:cs="Times New Roman"/>
          <w:sz w:val="28"/>
        </w:rPr>
        <w:t>know-how</w:t>
      </w:r>
      <w:r w:rsidRPr="00C77E77">
        <w:rPr>
          <w:rFonts w:ascii="Times New Roman" w:eastAsia="標楷體" w:hAnsi="Times New Roman" w:cs="Times New Roman"/>
          <w:sz w:val="28"/>
        </w:rPr>
        <w:t>還是在我們手上。</w:t>
      </w:r>
    </w:p>
    <w:p w:rsidR="004952D5" w:rsidRPr="00C77E77" w:rsidRDefault="004952D5" w:rsidP="004952D5">
      <w:pPr>
        <w:adjustRightInd w:val="0"/>
        <w:snapToGrid w:val="0"/>
        <w:spacing w:before="50" w:after="50" w:line="500" w:lineRule="exact"/>
        <w:ind w:left="792" w:hangingChars="283" w:hanging="792"/>
        <w:jc w:val="both"/>
        <w:rPr>
          <w:rFonts w:ascii="Times New Roman" w:eastAsia="標楷體" w:hAnsi="Times New Roman" w:cs="Times New Roman"/>
          <w:color w:val="000000" w:themeColor="text1"/>
          <w:sz w:val="28"/>
          <w:szCs w:val="25"/>
        </w:rPr>
      </w:pPr>
    </w:p>
    <w:p w:rsidR="00085941" w:rsidRPr="00C77E77" w:rsidRDefault="00085941">
      <w:pPr>
        <w:widowControl/>
        <w:rPr>
          <w:rFonts w:ascii="Times New Roman" w:eastAsia="標楷體" w:hAnsi="Times New Roman" w:cs="Times New Roman"/>
          <w:color w:val="000000" w:themeColor="text1"/>
          <w:sz w:val="25"/>
          <w:szCs w:val="25"/>
        </w:rPr>
      </w:pPr>
      <w:r w:rsidRPr="00C77E77">
        <w:rPr>
          <w:rFonts w:ascii="Times New Roman" w:eastAsia="標楷體" w:hAnsi="Times New Roman" w:cs="Times New Roman"/>
          <w:color w:val="000000" w:themeColor="text1"/>
          <w:sz w:val="25"/>
          <w:szCs w:val="25"/>
        </w:rPr>
        <w:br w:type="page"/>
      </w:r>
    </w:p>
    <w:p w:rsidR="004952D5" w:rsidRPr="00C77E77" w:rsidRDefault="004952D5" w:rsidP="004952D5">
      <w:pPr>
        <w:spacing w:beforeLines="50" w:before="180" w:afterLines="50" w:after="180" w:line="500" w:lineRule="exact"/>
        <w:jc w:val="right"/>
        <w:rPr>
          <w:rFonts w:ascii="Times New Roman" w:eastAsia="標楷體" w:hAnsi="Times New Roman" w:cs="Times New Roman"/>
          <w:sz w:val="28"/>
        </w:rPr>
      </w:pPr>
      <w:r w:rsidRPr="00C77E77">
        <w:rPr>
          <w:rFonts w:ascii="Times New Roman" w:eastAsia="標楷體" w:hAnsi="Times New Roman" w:cs="Times New Roman"/>
          <w:sz w:val="28"/>
        </w:rPr>
        <w:lastRenderedPageBreak/>
        <w:t>神通資訊科技股份有限公司陳處長日文。</w:t>
      </w:r>
      <w:r w:rsidRPr="00C77E77">
        <w:rPr>
          <w:rFonts w:ascii="Times New Roman" w:eastAsia="標楷體" w:hAnsi="Times New Roman" w:cs="Times New Roman"/>
          <w:sz w:val="28"/>
        </w:rPr>
        <w:t>2016</w:t>
      </w:r>
      <w:r w:rsidRPr="00C77E77">
        <w:rPr>
          <w:rFonts w:ascii="Times New Roman" w:eastAsia="標楷體" w:hAnsi="Times New Roman" w:cs="Times New Roman"/>
          <w:sz w:val="28"/>
        </w:rPr>
        <w:t>年</w:t>
      </w:r>
      <w:r w:rsidRPr="00C77E77">
        <w:rPr>
          <w:rFonts w:ascii="Times New Roman" w:eastAsia="標楷體" w:hAnsi="Times New Roman" w:cs="Times New Roman"/>
          <w:sz w:val="28"/>
        </w:rPr>
        <w:t>9</w:t>
      </w:r>
      <w:r w:rsidRPr="00C77E77">
        <w:rPr>
          <w:rFonts w:ascii="Times New Roman" w:eastAsia="標楷體" w:hAnsi="Times New Roman" w:cs="Times New Roman"/>
          <w:sz w:val="28"/>
        </w:rPr>
        <w:t>月</w:t>
      </w:r>
      <w:r w:rsidRPr="00C77E77">
        <w:rPr>
          <w:rFonts w:ascii="Times New Roman" w:eastAsia="標楷體" w:hAnsi="Times New Roman" w:cs="Times New Roman"/>
          <w:sz w:val="28"/>
        </w:rPr>
        <w:t>23</w:t>
      </w:r>
      <w:r w:rsidRPr="00C77E77">
        <w:rPr>
          <w:rFonts w:ascii="Times New Roman" w:eastAsia="標楷體" w:hAnsi="Times New Roman" w:cs="Times New Roman"/>
          <w:sz w:val="28"/>
        </w:rPr>
        <w:t>日。</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智慧校園南向策略</w:t>
      </w:r>
    </w:p>
    <w:p w:rsidR="004952D5" w:rsidRPr="00C77E77" w:rsidRDefault="004952D5" w:rsidP="004952D5">
      <w:pPr>
        <w:spacing w:beforeLines="50" w:before="180" w:afterLines="50" w:after="180" w:line="500" w:lineRule="exact"/>
        <w:jc w:val="both"/>
        <w:rPr>
          <w:rFonts w:ascii="Times New Roman" w:eastAsia="標楷體" w:hAnsi="Times New Roman" w:cs="Times New Roman"/>
          <w:b/>
          <w:sz w:val="28"/>
        </w:rPr>
      </w:pPr>
      <w:r w:rsidRPr="00C77E77">
        <w:rPr>
          <w:rFonts w:ascii="Times New Roman" w:eastAsia="標楷體" w:hAnsi="Times New Roman" w:cs="Times New Roman"/>
          <w:b/>
          <w:sz w:val="28"/>
        </w:rPr>
        <w:t>我國智慧校園目前在東協國家與印度的發展現況為何？是否曾經遭遇困難？如何排除困難？</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Ans:</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現況：除越南與部分馬來西亞</w:t>
      </w:r>
      <w:r w:rsidRPr="00C77E77">
        <w:rPr>
          <w:rFonts w:ascii="Times New Roman" w:eastAsia="標楷體" w:hAnsi="Times New Roman" w:cs="Times New Roman"/>
          <w:sz w:val="28"/>
        </w:rPr>
        <w:t>/</w:t>
      </w:r>
      <w:r w:rsidRPr="00C77E77">
        <w:rPr>
          <w:rFonts w:ascii="Times New Roman" w:eastAsia="標楷體" w:hAnsi="Times New Roman" w:cs="Times New Roman"/>
          <w:sz w:val="28"/>
        </w:rPr>
        <w:t>印尼外，外銷不易，量少，因為</w:t>
      </w:r>
      <w:r w:rsidRPr="00C77E77">
        <w:rPr>
          <w:rFonts w:ascii="Times New Roman" w:eastAsia="標楷體" w:hAnsi="Times New Roman" w:cs="Times New Roman"/>
          <w:sz w:val="28"/>
        </w:rPr>
        <w:t>:</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1.</w:t>
      </w:r>
      <w:r w:rsidRPr="00C77E77">
        <w:rPr>
          <w:rFonts w:ascii="Times New Roman" w:eastAsia="標楷體" w:hAnsi="Times New Roman" w:cs="Times New Roman"/>
          <w:sz w:val="28"/>
        </w:rPr>
        <w:tab/>
      </w:r>
      <w:r w:rsidRPr="00C77E77">
        <w:rPr>
          <w:rFonts w:ascii="Times New Roman" w:eastAsia="標楷體" w:hAnsi="Times New Roman" w:cs="Times New Roman"/>
          <w:sz w:val="28"/>
        </w:rPr>
        <w:t>學校</w:t>
      </w:r>
      <w:r w:rsidRPr="00C77E77">
        <w:rPr>
          <w:rFonts w:ascii="Times New Roman" w:eastAsia="標楷體" w:hAnsi="Times New Roman" w:cs="Times New Roman"/>
          <w:sz w:val="28"/>
        </w:rPr>
        <w:t>/</w:t>
      </w:r>
      <w:r w:rsidRPr="00C77E77">
        <w:rPr>
          <w:rFonts w:ascii="Times New Roman" w:eastAsia="標楷體" w:hAnsi="Times New Roman" w:cs="Times New Roman"/>
          <w:sz w:val="28"/>
        </w:rPr>
        <w:t>學生家庭網路不夠好或不穩定</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2.</w:t>
      </w:r>
      <w:r w:rsidRPr="00C77E77">
        <w:rPr>
          <w:rFonts w:ascii="Times New Roman" w:eastAsia="標楷體" w:hAnsi="Times New Roman" w:cs="Times New Roman"/>
          <w:sz w:val="28"/>
        </w:rPr>
        <w:tab/>
      </w:r>
      <w:r w:rsidRPr="00C77E77">
        <w:rPr>
          <w:rFonts w:ascii="Times New Roman" w:eastAsia="標楷體" w:hAnsi="Times New Roman" w:cs="Times New Roman"/>
          <w:sz w:val="28"/>
        </w:rPr>
        <w:t>學校師資之數位素質極缺或不優</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3.</w:t>
      </w:r>
      <w:r w:rsidRPr="00C77E77">
        <w:rPr>
          <w:rFonts w:ascii="Times New Roman" w:eastAsia="標楷體" w:hAnsi="Times New Roman" w:cs="Times New Roman"/>
          <w:sz w:val="28"/>
        </w:rPr>
        <w:tab/>
      </w:r>
      <w:r w:rsidRPr="00C77E77">
        <w:rPr>
          <w:rFonts w:ascii="Times New Roman" w:eastAsia="標楷體" w:hAnsi="Times New Roman" w:cs="Times New Roman"/>
          <w:sz w:val="28"/>
        </w:rPr>
        <w:t>大部分國家缺乏明確通路，部署困難</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4.</w:t>
      </w:r>
      <w:r w:rsidRPr="00C77E77">
        <w:rPr>
          <w:rFonts w:ascii="Times New Roman" w:eastAsia="標楷體" w:hAnsi="Times New Roman" w:cs="Times New Roman"/>
          <w:sz w:val="28"/>
        </w:rPr>
        <w:tab/>
      </w:r>
      <w:r w:rsidRPr="00C77E77">
        <w:rPr>
          <w:rFonts w:ascii="Times New Roman" w:eastAsia="標楷體" w:hAnsi="Times New Roman" w:cs="Times New Roman"/>
          <w:sz w:val="28"/>
        </w:rPr>
        <w:t>採購方式不夠清楚</w:t>
      </w:r>
      <w:r w:rsidRPr="00C77E77">
        <w:rPr>
          <w:rFonts w:ascii="Times New Roman" w:eastAsia="標楷體" w:hAnsi="Times New Roman" w:cs="Times New Roman"/>
          <w:sz w:val="28"/>
        </w:rPr>
        <w:t>/</w:t>
      </w:r>
      <w:r w:rsidRPr="00C77E77">
        <w:rPr>
          <w:rFonts w:ascii="Times New Roman" w:eastAsia="標楷體" w:hAnsi="Times New Roman" w:cs="Times New Roman"/>
          <w:sz w:val="28"/>
        </w:rPr>
        <w:t>政治不夠清明</w:t>
      </w:r>
      <w:r w:rsidRPr="00C77E77">
        <w:rPr>
          <w:rFonts w:ascii="Times New Roman" w:eastAsia="標楷體" w:hAnsi="Times New Roman" w:cs="Times New Roman"/>
          <w:sz w:val="28"/>
        </w:rPr>
        <w:t>/</w:t>
      </w:r>
      <w:r w:rsidRPr="00C77E77">
        <w:rPr>
          <w:rFonts w:ascii="Times New Roman" w:eastAsia="標楷體" w:hAnsi="Times New Roman" w:cs="Times New Roman"/>
          <w:sz w:val="28"/>
        </w:rPr>
        <w:t>無法標案</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5.</w:t>
      </w:r>
      <w:r w:rsidRPr="00C77E77">
        <w:rPr>
          <w:rFonts w:ascii="Times New Roman" w:eastAsia="標楷體" w:hAnsi="Times New Roman" w:cs="Times New Roman"/>
          <w:sz w:val="28"/>
        </w:rPr>
        <w:tab/>
      </w:r>
      <w:r w:rsidRPr="00C77E77">
        <w:rPr>
          <w:rFonts w:ascii="Times New Roman" w:eastAsia="標楷體" w:hAnsi="Times New Roman" w:cs="Times New Roman"/>
          <w:sz w:val="28"/>
        </w:rPr>
        <w:t>多國語言，需有不同語言人才與翻譯工程</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6.</w:t>
      </w:r>
      <w:r w:rsidRPr="00C77E77">
        <w:rPr>
          <w:rFonts w:ascii="Times New Roman" w:eastAsia="標楷體" w:hAnsi="Times New Roman" w:cs="Times New Roman"/>
          <w:sz w:val="28"/>
        </w:rPr>
        <w:tab/>
      </w:r>
      <w:r w:rsidRPr="00C77E77">
        <w:rPr>
          <w:rFonts w:ascii="Times New Roman" w:eastAsia="標楷體" w:hAnsi="Times New Roman" w:cs="Times New Roman"/>
          <w:sz w:val="28"/>
        </w:rPr>
        <w:t>有時會排華</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建議</w:t>
      </w:r>
      <w:r w:rsidRPr="00C77E77">
        <w:rPr>
          <w:rFonts w:ascii="Times New Roman" w:eastAsia="標楷體" w:hAnsi="Times New Roman" w:cs="Times New Roman"/>
          <w:sz w:val="28"/>
        </w:rPr>
        <w:t>:</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1.</w:t>
      </w:r>
      <w:r w:rsidRPr="00C77E77">
        <w:rPr>
          <w:rFonts w:ascii="Times New Roman" w:eastAsia="標楷體" w:hAnsi="Times New Roman" w:cs="Times New Roman"/>
          <w:sz w:val="28"/>
        </w:rPr>
        <w:tab/>
      </w:r>
      <w:r w:rsidRPr="00C77E77">
        <w:rPr>
          <w:rFonts w:ascii="Times New Roman" w:eastAsia="標楷體" w:hAnsi="Times New Roman" w:cs="Times New Roman"/>
          <w:sz w:val="28"/>
        </w:rPr>
        <w:t>與當地電信公司積極合作，甚至以國家力量共同與其合資公司推廣</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2.</w:t>
      </w:r>
      <w:r w:rsidRPr="00C77E77">
        <w:rPr>
          <w:rFonts w:ascii="Times New Roman" w:eastAsia="標楷體" w:hAnsi="Times New Roman" w:cs="Times New Roman"/>
          <w:sz w:val="28"/>
        </w:rPr>
        <w:tab/>
      </w:r>
      <w:r w:rsidRPr="00C77E77">
        <w:rPr>
          <w:rFonts w:ascii="Times New Roman" w:eastAsia="標楷體" w:hAnsi="Times New Roman" w:cs="Times New Roman"/>
          <w:sz w:val="28"/>
        </w:rPr>
        <w:t>協助各國成立智慧校園與教育科技推動之師資培育中心</w:t>
      </w:r>
    </w:p>
    <w:p w:rsidR="004952D5" w:rsidRPr="00C77E77" w:rsidRDefault="004952D5" w:rsidP="004952D5">
      <w:pPr>
        <w:spacing w:beforeLines="50" w:before="180" w:afterLines="50" w:after="180" w:line="500" w:lineRule="exact"/>
        <w:ind w:left="426" w:hangingChars="152" w:hanging="426"/>
        <w:jc w:val="both"/>
        <w:rPr>
          <w:rFonts w:ascii="Times New Roman" w:eastAsia="標楷體" w:hAnsi="Times New Roman" w:cs="Times New Roman"/>
          <w:sz w:val="28"/>
        </w:rPr>
      </w:pPr>
      <w:r w:rsidRPr="00C77E77">
        <w:rPr>
          <w:rFonts w:ascii="Times New Roman" w:eastAsia="標楷體" w:hAnsi="Times New Roman" w:cs="Times New Roman"/>
          <w:sz w:val="28"/>
        </w:rPr>
        <w:t>3.</w:t>
      </w:r>
      <w:r w:rsidRPr="00C77E77">
        <w:rPr>
          <w:rFonts w:ascii="Times New Roman" w:eastAsia="標楷體" w:hAnsi="Times New Roman" w:cs="Times New Roman"/>
          <w:sz w:val="28"/>
        </w:rPr>
        <w:tab/>
      </w:r>
      <w:r w:rsidRPr="00C77E77">
        <w:rPr>
          <w:rFonts w:ascii="Times New Roman" w:eastAsia="標楷體" w:hAnsi="Times New Roman" w:cs="Times New Roman"/>
          <w:sz w:val="28"/>
        </w:rPr>
        <w:t>政府協助國內教育內容廠商，以補助方式翻譯成各國語言，並培訓種子師資</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4.</w:t>
      </w:r>
      <w:r w:rsidRPr="00C77E77">
        <w:rPr>
          <w:rFonts w:ascii="Times New Roman" w:eastAsia="標楷體" w:hAnsi="Times New Roman" w:cs="Times New Roman"/>
          <w:sz w:val="28"/>
        </w:rPr>
        <w:tab/>
      </w:r>
      <w:r w:rsidRPr="00C77E77">
        <w:rPr>
          <w:rFonts w:ascii="Times New Roman" w:eastAsia="標楷體" w:hAnsi="Times New Roman" w:cs="Times New Roman"/>
          <w:sz w:val="28"/>
        </w:rPr>
        <w:t>積極培養當地有力通路，建立長期情誼與合作互信，如越南之</w:t>
      </w:r>
      <w:r w:rsidRPr="00C77E77">
        <w:rPr>
          <w:rFonts w:ascii="Times New Roman" w:eastAsia="標楷體" w:hAnsi="Times New Roman" w:cs="Times New Roman"/>
          <w:sz w:val="28"/>
        </w:rPr>
        <w:t>AIC</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5.</w:t>
      </w:r>
      <w:r w:rsidRPr="00C77E77">
        <w:rPr>
          <w:rFonts w:ascii="Times New Roman" w:eastAsia="標楷體" w:hAnsi="Times New Roman" w:cs="Times New Roman"/>
          <w:sz w:val="28"/>
        </w:rPr>
        <w:tab/>
      </w:r>
      <w:r w:rsidRPr="00C77E77">
        <w:rPr>
          <w:rFonts w:ascii="Times New Roman" w:eastAsia="標楷體" w:hAnsi="Times New Roman" w:cs="Times New Roman"/>
          <w:sz w:val="28"/>
        </w:rPr>
        <w:t>外銷合作之外交工作，亦須進行</w:t>
      </w:r>
      <w:r w:rsidRPr="00C77E77">
        <w:rPr>
          <w:rFonts w:ascii="Times New Roman" w:eastAsia="標楷體" w:hAnsi="Times New Roman" w:cs="Times New Roman"/>
          <w:sz w:val="28"/>
        </w:rPr>
        <w:t>.</w:t>
      </w:r>
      <w:r w:rsidRPr="00C77E77">
        <w:rPr>
          <w:rFonts w:ascii="Times New Roman" w:eastAsia="標楷體" w:hAnsi="Times New Roman" w:cs="Times New Roman"/>
          <w:sz w:val="28"/>
        </w:rPr>
        <w:t>我方人員安全亦須有確保之方式</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6.</w:t>
      </w:r>
      <w:r w:rsidRPr="00C77E77">
        <w:rPr>
          <w:rFonts w:ascii="Times New Roman" w:eastAsia="標楷體" w:hAnsi="Times New Roman" w:cs="Times New Roman"/>
          <w:sz w:val="28"/>
        </w:rPr>
        <w:tab/>
      </w:r>
      <w:r w:rsidRPr="00C77E77">
        <w:rPr>
          <w:rFonts w:ascii="Times New Roman" w:eastAsia="標楷體" w:hAnsi="Times New Roman" w:cs="Times New Roman"/>
          <w:sz w:val="28"/>
        </w:rPr>
        <w:t>政府統一提供多國語言人才之共同協助</w:t>
      </w:r>
    </w:p>
    <w:p w:rsidR="004952D5" w:rsidRPr="00C77E77" w:rsidRDefault="004952D5" w:rsidP="004952D5">
      <w:pPr>
        <w:spacing w:beforeLines="50" w:before="180" w:afterLines="50" w:after="180" w:line="500" w:lineRule="exact"/>
        <w:ind w:left="496" w:hangingChars="177" w:hanging="496"/>
        <w:jc w:val="both"/>
        <w:rPr>
          <w:rFonts w:ascii="Times New Roman" w:eastAsia="標楷體" w:hAnsi="Times New Roman" w:cs="Times New Roman"/>
          <w:sz w:val="28"/>
        </w:rPr>
      </w:pPr>
      <w:r w:rsidRPr="00C77E77">
        <w:rPr>
          <w:rFonts w:ascii="Times New Roman" w:eastAsia="標楷體" w:hAnsi="Times New Roman" w:cs="Times New Roman"/>
          <w:sz w:val="28"/>
        </w:rPr>
        <w:t>7.</w:t>
      </w:r>
      <w:r w:rsidRPr="00C77E77">
        <w:rPr>
          <w:rFonts w:ascii="Times New Roman" w:eastAsia="標楷體" w:hAnsi="Times New Roman" w:cs="Times New Roman"/>
          <w:sz w:val="28"/>
        </w:rPr>
        <w:tab/>
      </w:r>
      <w:r w:rsidRPr="00C77E77">
        <w:rPr>
          <w:rFonts w:ascii="Times New Roman" w:eastAsia="標楷體" w:hAnsi="Times New Roman" w:cs="Times New Roman"/>
          <w:sz w:val="28"/>
        </w:rPr>
        <w:t>政府最好能設立長期服務據點，才能長期耕耘與收穫。切忌只讓廠商各</w:t>
      </w:r>
      <w:r w:rsidRPr="00C77E77">
        <w:rPr>
          <w:rFonts w:ascii="Times New Roman" w:eastAsia="標楷體" w:hAnsi="Times New Roman" w:cs="Times New Roman"/>
          <w:sz w:val="28"/>
        </w:rPr>
        <w:lastRenderedPageBreak/>
        <w:t>自散彈打鳥，耗財耗時又無效</w:t>
      </w:r>
    </w:p>
    <w:p w:rsidR="004952D5" w:rsidRPr="00C77E77" w:rsidRDefault="004952D5" w:rsidP="004952D5">
      <w:pPr>
        <w:spacing w:beforeLines="50" w:before="180" w:afterLines="50" w:after="180" w:line="500" w:lineRule="exact"/>
        <w:jc w:val="both"/>
        <w:rPr>
          <w:rFonts w:ascii="Times New Roman" w:eastAsia="標楷體" w:hAnsi="Times New Roman" w:cs="Times New Roman"/>
          <w:b/>
          <w:sz w:val="28"/>
        </w:rPr>
      </w:pPr>
      <w:r w:rsidRPr="00C77E77">
        <w:rPr>
          <w:rFonts w:ascii="Times New Roman" w:eastAsia="標楷體" w:hAnsi="Times New Roman" w:cs="Times New Roman"/>
          <w:b/>
          <w:sz w:val="28"/>
        </w:rPr>
        <w:t>我國智慧校園在東協與印度的市場潛力評估為何？未來是否有佈局規劃？</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Ans:</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現況</w:t>
      </w:r>
      <w:r w:rsidRPr="00C77E77">
        <w:rPr>
          <w:rFonts w:ascii="Times New Roman" w:eastAsia="標楷體" w:hAnsi="Times New Roman" w:cs="Times New Roman"/>
          <w:sz w:val="28"/>
        </w:rPr>
        <w:t>:</w:t>
      </w:r>
      <w:r w:rsidRPr="00C77E77">
        <w:rPr>
          <w:rFonts w:ascii="Times New Roman" w:eastAsia="標楷體" w:hAnsi="Times New Roman" w:cs="Times New Roman"/>
          <w:sz w:val="28"/>
        </w:rPr>
        <w:t>潛力應不錯，但須長期耕耘</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未來是否有佈局規劃</w:t>
      </w:r>
      <w:r w:rsidRPr="00C77E77">
        <w:rPr>
          <w:rFonts w:ascii="Times New Roman" w:eastAsia="標楷體" w:hAnsi="Times New Roman" w:cs="Times New Roman"/>
          <w:sz w:val="28"/>
        </w:rPr>
        <w:t>:</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越間投資、貿易、文化交流等關係深厚，越南婦女嫁至</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灣人數在非</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籍配偶中僅次於中國配偶人數，這些因素對於</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商拓展越南其他服務業市場而言，提供十分有利的條件，例如教育服務業、醫療健康服務業等，都是未來極具潛力的產業。目前針對特定省分導入示範校即為佈局規劃策略之一。</w:t>
      </w:r>
    </w:p>
    <w:p w:rsidR="004952D5" w:rsidRPr="00C77E77" w:rsidRDefault="004952D5" w:rsidP="004952D5">
      <w:pPr>
        <w:spacing w:beforeLines="50" w:before="180" w:afterLines="50" w:after="180" w:line="500" w:lineRule="exact"/>
        <w:jc w:val="both"/>
        <w:rPr>
          <w:rFonts w:ascii="Times New Roman" w:eastAsia="標楷體" w:hAnsi="Times New Roman" w:cs="Times New Roman"/>
          <w:b/>
          <w:sz w:val="28"/>
        </w:rPr>
      </w:pPr>
      <w:r w:rsidRPr="00C77E77">
        <w:rPr>
          <w:rFonts w:ascii="Times New Roman" w:eastAsia="標楷體" w:hAnsi="Times New Roman" w:cs="Times New Roman"/>
          <w:b/>
          <w:sz w:val="28"/>
        </w:rPr>
        <w:t>我國智慧校園如何在佈局東協家與印度的過程中達到「雙向合作」的效果？既能促進產業在當地的發展，同時又能確保產業在臺灣本土的根基？</w:t>
      </w:r>
      <w:r w:rsidRPr="00C77E77">
        <w:rPr>
          <w:rFonts w:ascii="Times New Roman" w:eastAsia="標楷體" w:hAnsi="Times New Roman" w:cs="Times New Roman"/>
          <w:b/>
          <w:sz w:val="28"/>
        </w:rPr>
        <w:t xml:space="preserve"> </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Ans:</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雙向合作方式建議：</w:t>
      </w:r>
    </w:p>
    <w:p w:rsidR="004952D5" w:rsidRPr="00C77E77" w:rsidRDefault="004952D5" w:rsidP="004952D5">
      <w:pPr>
        <w:spacing w:beforeLines="50" w:before="180" w:afterLines="50" w:after="180" w:line="500" w:lineRule="exact"/>
        <w:ind w:left="496" w:hangingChars="177" w:hanging="496"/>
        <w:jc w:val="both"/>
        <w:rPr>
          <w:rFonts w:ascii="Times New Roman" w:eastAsia="標楷體" w:hAnsi="Times New Roman" w:cs="Times New Roman"/>
          <w:sz w:val="28"/>
        </w:rPr>
      </w:pPr>
      <w:r w:rsidRPr="00C77E77">
        <w:rPr>
          <w:rFonts w:ascii="Times New Roman" w:eastAsia="標楷體" w:hAnsi="Times New Roman" w:cs="Times New Roman"/>
          <w:sz w:val="28"/>
        </w:rPr>
        <w:t>1.</w:t>
      </w:r>
      <w:r w:rsidRPr="00C77E77">
        <w:rPr>
          <w:rFonts w:ascii="Times New Roman" w:eastAsia="標楷體" w:hAnsi="Times New Roman" w:cs="Times New Roman"/>
          <w:sz w:val="28"/>
        </w:rPr>
        <w:tab/>
      </w:r>
      <w:r w:rsidRPr="00C77E77">
        <w:rPr>
          <w:rFonts w:ascii="Times New Roman" w:eastAsia="標楷體" w:hAnsi="Times New Roman" w:cs="Times New Roman"/>
          <w:sz w:val="28"/>
        </w:rPr>
        <w:t>與當地電信公司</w:t>
      </w:r>
      <w:r w:rsidRPr="00C77E77">
        <w:rPr>
          <w:rFonts w:ascii="Times New Roman" w:eastAsia="標楷體" w:hAnsi="Times New Roman" w:cs="Times New Roman"/>
          <w:sz w:val="28"/>
        </w:rPr>
        <w:t>/</w:t>
      </w:r>
      <w:r w:rsidRPr="00C77E77">
        <w:rPr>
          <w:rFonts w:ascii="Times New Roman" w:eastAsia="標楷體" w:hAnsi="Times New Roman" w:cs="Times New Roman"/>
          <w:sz w:val="28"/>
        </w:rPr>
        <w:t>大型教育機構或廠商</w:t>
      </w:r>
      <w:r w:rsidRPr="00C77E77">
        <w:rPr>
          <w:rFonts w:ascii="Times New Roman" w:eastAsia="標楷體" w:hAnsi="Times New Roman" w:cs="Times New Roman"/>
          <w:sz w:val="28"/>
        </w:rPr>
        <w:t>/</w:t>
      </w:r>
      <w:r w:rsidRPr="00C77E77">
        <w:rPr>
          <w:rFonts w:ascii="Times New Roman" w:eastAsia="標楷體" w:hAnsi="Times New Roman" w:cs="Times New Roman"/>
          <w:sz w:val="28"/>
        </w:rPr>
        <w:t>大型</w:t>
      </w:r>
      <w:r w:rsidRPr="00C77E77">
        <w:rPr>
          <w:rFonts w:ascii="Times New Roman" w:eastAsia="標楷體" w:hAnsi="Times New Roman" w:cs="Times New Roman"/>
          <w:sz w:val="28"/>
        </w:rPr>
        <w:t>SI</w:t>
      </w:r>
      <w:r w:rsidRPr="00C77E77">
        <w:rPr>
          <w:rFonts w:ascii="Times New Roman" w:eastAsia="標楷體" w:hAnsi="Times New Roman" w:cs="Times New Roman"/>
          <w:sz w:val="28"/>
        </w:rPr>
        <w:t>公司積極合作，甚至以國家力量共同與其合資公司，或促成國內大型公司與當地公司合資公司，共同推廣</w:t>
      </w:r>
    </w:p>
    <w:p w:rsidR="004952D5" w:rsidRPr="00C77E77" w:rsidRDefault="004952D5" w:rsidP="004952D5">
      <w:pPr>
        <w:spacing w:beforeLines="50" w:before="180" w:afterLines="50" w:after="180" w:line="500" w:lineRule="exact"/>
        <w:ind w:left="496" w:hangingChars="177" w:hanging="496"/>
        <w:jc w:val="both"/>
        <w:rPr>
          <w:rFonts w:ascii="Times New Roman" w:eastAsia="標楷體" w:hAnsi="Times New Roman" w:cs="Times New Roman"/>
          <w:sz w:val="28"/>
        </w:rPr>
      </w:pPr>
      <w:r w:rsidRPr="00C77E77">
        <w:rPr>
          <w:rFonts w:ascii="Times New Roman" w:eastAsia="標楷體" w:hAnsi="Times New Roman" w:cs="Times New Roman"/>
          <w:sz w:val="28"/>
        </w:rPr>
        <w:t>2.</w:t>
      </w:r>
      <w:r w:rsidRPr="00C77E77">
        <w:rPr>
          <w:rFonts w:ascii="Times New Roman" w:eastAsia="標楷體" w:hAnsi="Times New Roman" w:cs="Times New Roman"/>
          <w:sz w:val="28"/>
        </w:rPr>
        <w:tab/>
      </w:r>
      <w:r w:rsidRPr="00C77E77">
        <w:rPr>
          <w:rFonts w:ascii="Times New Roman" w:eastAsia="標楷體" w:hAnsi="Times New Roman" w:cs="Times New Roman"/>
          <w:sz w:val="28"/>
        </w:rPr>
        <w:t>協助各國成立智慧校園與教育科技推動之師資培育中心，甚至協助其教案之編制</w:t>
      </w:r>
    </w:p>
    <w:p w:rsidR="004952D5" w:rsidRPr="00C77E77" w:rsidRDefault="004952D5" w:rsidP="004952D5">
      <w:pPr>
        <w:spacing w:beforeLines="50" w:before="180" w:afterLines="50" w:after="180" w:line="500" w:lineRule="exact"/>
        <w:ind w:left="496" w:hangingChars="177" w:hanging="496"/>
        <w:jc w:val="both"/>
        <w:rPr>
          <w:rFonts w:ascii="Times New Roman" w:eastAsia="標楷體" w:hAnsi="Times New Roman" w:cs="Times New Roman"/>
          <w:sz w:val="28"/>
        </w:rPr>
      </w:pPr>
      <w:r w:rsidRPr="00C77E77">
        <w:rPr>
          <w:rFonts w:ascii="Times New Roman" w:eastAsia="標楷體" w:hAnsi="Times New Roman" w:cs="Times New Roman"/>
          <w:sz w:val="28"/>
        </w:rPr>
        <w:t>3.</w:t>
      </w:r>
      <w:r w:rsidRPr="00C77E77">
        <w:rPr>
          <w:rFonts w:ascii="Times New Roman" w:eastAsia="標楷體" w:hAnsi="Times New Roman" w:cs="Times New Roman"/>
          <w:sz w:val="28"/>
        </w:rPr>
        <w:tab/>
      </w:r>
      <w:r w:rsidRPr="00C77E77">
        <w:rPr>
          <w:rFonts w:ascii="Times New Roman" w:eastAsia="標楷體" w:hAnsi="Times New Roman" w:cs="Times New Roman"/>
          <w:sz w:val="28"/>
        </w:rPr>
        <w:t>成立智慧校園國家代表隊與顧問團，政府帶隊協助各國建置幾個智慧校園</w:t>
      </w:r>
      <w:r w:rsidRPr="00C77E77">
        <w:rPr>
          <w:rFonts w:ascii="Times New Roman" w:eastAsia="標楷體" w:hAnsi="Times New Roman" w:cs="Times New Roman"/>
          <w:sz w:val="28"/>
        </w:rPr>
        <w:t>/</w:t>
      </w:r>
      <w:r w:rsidRPr="00C77E77">
        <w:rPr>
          <w:rFonts w:ascii="Times New Roman" w:eastAsia="標楷體" w:hAnsi="Times New Roman" w:cs="Times New Roman"/>
          <w:sz w:val="28"/>
        </w:rPr>
        <w:t>數位教育</w:t>
      </w:r>
      <w:r w:rsidRPr="00C77E77">
        <w:rPr>
          <w:rFonts w:ascii="Times New Roman" w:eastAsia="標楷體" w:hAnsi="Times New Roman" w:cs="Times New Roman"/>
          <w:sz w:val="28"/>
        </w:rPr>
        <w:t>/</w:t>
      </w:r>
      <w:r w:rsidRPr="00C77E77">
        <w:rPr>
          <w:rFonts w:ascii="Times New Roman" w:eastAsia="標楷體" w:hAnsi="Times New Roman" w:cs="Times New Roman"/>
          <w:sz w:val="28"/>
        </w:rPr>
        <w:t>未來教育示範校或示範學區</w:t>
      </w:r>
    </w:p>
    <w:p w:rsidR="004952D5" w:rsidRPr="00C77E77" w:rsidRDefault="004952D5" w:rsidP="004952D5">
      <w:pPr>
        <w:spacing w:beforeLines="50" w:before="180" w:afterLines="50" w:after="180" w:line="500" w:lineRule="exact"/>
        <w:ind w:left="566" w:hangingChars="202" w:hanging="566"/>
        <w:jc w:val="both"/>
        <w:rPr>
          <w:rFonts w:ascii="Times New Roman" w:eastAsia="標楷體" w:hAnsi="Times New Roman" w:cs="Times New Roman"/>
          <w:sz w:val="28"/>
        </w:rPr>
      </w:pPr>
      <w:r w:rsidRPr="00C77E77">
        <w:rPr>
          <w:rFonts w:ascii="Times New Roman" w:eastAsia="標楷體" w:hAnsi="Times New Roman" w:cs="Times New Roman"/>
          <w:sz w:val="28"/>
        </w:rPr>
        <w:t>4.</w:t>
      </w:r>
      <w:r w:rsidRPr="00C77E77">
        <w:rPr>
          <w:rFonts w:ascii="Times New Roman" w:eastAsia="標楷體" w:hAnsi="Times New Roman" w:cs="Times New Roman"/>
          <w:sz w:val="28"/>
        </w:rPr>
        <w:tab/>
      </w:r>
      <w:r w:rsidRPr="00C77E77">
        <w:rPr>
          <w:rFonts w:ascii="Times New Roman" w:eastAsia="標楷體" w:hAnsi="Times New Roman" w:cs="Times New Roman"/>
          <w:sz w:val="28"/>
        </w:rPr>
        <w:t>將國內優異教材，與當地教師團，共同翻譯或改製成當地語言與合適教案</w:t>
      </w:r>
    </w:p>
    <w:p w:rsidR="009B2A0F" w:rsidRPr="00C77E77" w:rsidRDefault="009B2A0F" w:rsidP="004952D5">
      <w:pPr>
        <w:spacing w:beforeLines="50" w:before="180" w:afterLines="50" w:after="180" w:line="500" w:lineRule="exact"/>
        <w:ind w:left="566" w:hangingChars="202" w:hanging="566"/>
        <w:jc w:val="both"/>
        <w:rPr>
          <w:rFonts w:ascii="Times New Roman" w:eastAsia="標楷體" w:hAnsi="Times New Roman" w:cs="Times New Roman"/>
          <w:sz w:val="28"/>
        </w:rPr>
      </w:pP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lastRenderedPageBreak/>
        <w:t>保持</w:t>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灣根基：</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1.</w:t>
      </w:r>
      <w:r w:rsidRPr="00C77E77">
        <w:rPr>
          <w:rFonts w:ascii="Times New Roman" w:eastAsia="標楷體" w:hAnsi="Times New Roman" w:cs="Times New Roman"/>
          <w:sz w:val="28"/>
        </w:rPr>
        <w:tab/>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灣持續跟上國際或超國際之研發</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2.</w:t>
      </w:r>
      <w:r w:rsidRPr="00C77E77">
        <w:rPr>
          <w:rFonts w:ascii="Times New Roman" w:eastAsia="標楷體" w:hAnsi="Times New Roman" w:cs="Times New Roman"/>
          <w:sz w:val="28"/>
        </w:rPr>
        <w:tab/>
      </w:r>
      <w:r w:rsidR="00FD0D5A" w:rsidRPr="00C77E77">
        <w:rPr>
          <w:rFonts w:ascii="Times New Roman" w:eastAsia="標楷體" w:hAnsi="Times New Roman" w:cs="Times New Roman"/>
          <w:sz w:val="28"/>
        </w:rPr>
        <w:t>臺</w:t>
      </w:r>
      <w:r w:rsidRPr="00C77E77">
        <w:rPr>
          <w:rFonts w:ascii="Times New Roman" w:eastAsia="標楷體" w:hAnsi="Times New Roman" w:cs="Times New Roman"/>
          <w:sz w:val="28"/>
        </w:rPr>
        <w:t>灣持續建立第二代、第三代之智慧校園</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3.</w:t>
      </w:r>
      <w:r w:rsidRPr="00C77E77">
        <w:rPr>
          <w:rFonts w:ascii="Times New Roman" w:eastAsia="標楷體" w:hAnsi="Times New Roman" w:cs="Times New Roman"/>
          <w:sz w:val="28"/>
        </w:rPr>
        <w:tab/>
      </w:r>
      <w:r w:rsidRPr="00C77E77">
        <w:rPr>
          <w:rFonts w:ascii="Times New Roman" w:eastAsia="標楷體" w:hAnsi="Times New Roman" w:cs="Times New Roman"/>
          <w:sz w:val="28"/>
        </w:rPr>
        <w:t>更鼓勵業者與老師研發，辦理比賽等，形成風氣</w:t>
      </w:r>
    </w:p>
    <w:p w:rsidR="004952D5" w:rsidRPr="00C77E77" w:rsidRDefault="004952D5" w:rsidP="004952D5">
      <w:pPr>
        <w:spacing w:beforeLines="50" w:before="180" w:afterLines="50" w:after="180" w:line="500" w:lineRule="exact"/>
        <w:jc w:val="both"/>
        <w:rPr>
          <w:rFonts w:ascii="Times New Roman" w:eastAsia="標楷體" w:hAnsi="Times New Roman" w:cs="Times New Roman"/>
          <w:b/>
          <w:sz w:val="28"/>
        </w:rPr>
      </w:pPr>
      <w:r w:rsidRPr="00C77E77">
        <w:rPr>
          <w:rFonts w:ascii="Times New Roman" w:eastAsia="標楷體" w:hAnsi="Times New Roman" w:cs="Times New Roman"/>
          <w:b/>
          <w:sz w:val="28"/>
        </w:rPr>
        <w:t>希望「新南向政策」如何協助我國智慧校園在東協國家與印度的發展？</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Ans:</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1.</w:t>
      </w:r>
      <w:r w:rsidRPr="00C77E77">
        <w:rPr>
          <w:rFonts w:ascii="Times New Roman" w:eastAsia="標楷體" w:hAnsi="Times New Roman" w:cs="Times New Roman"/>
          <w:sz w:val="28"/>
        </w:rPr>
        <w:tab/>
      </w:r>
      <w:r w:rsidRPr="00C77E77">
        <w:rPr>
          <w:rFonts w:ascii="Times New Roman" w:eastAsia="標楷體" w:hAnsi="Times New Roman" w:cs="Times New Roman"/>
          <w:sz w:val="28"/>
        </w:rPr>
        <w:t>整體規劃，有效落實</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2.</w:t>
      </w:r>
      <w:r w:rsidRPr="00C77E77">
        <w:rPr>
          <w:rFonts w:ascii="Times New Roman" w:eastAsia="標楷體" w:hAnsi="Times New Roman" w:cs="Times New Roman"/>
          <w:sz w:val="28"/>
        </w:rPr>
        <w:tab/>
      </w:r>
      <w:r w:rsidRPr="00C77E77">
        <w:rPr>
          <w:rFonts w:ascii="Times New Roman" w:eastAsia="標楷體" w:hAnsi="Times New Roman" w:cs="Times New Roman"/>
          <w:sz w:val="28"/>
        </w:rPr>
        <w:t>政府帶隊，產業積極行動與部署</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3.</w:t>
      </w:r>
      <w:r w:rsidRPr="00C77E77">
        <w:rPr>
          <w:rFonts w:ascii="Times New Roman" w:eastAsia="標楷體" w:hAnsi="Times New Roman" w:cs="Times New Roman"/>
          <w:sz w:val="28"/>
        </w:rPr>
        <w:tab/>
      </w:r>
      <w:r w:rsidRPr="00C77E77">
        <w:rPr>
          <w:rFonts w:ascii="Times New Roman" w:eastAsia="標楷體" w:hAnsi="Times New Roman" w:cs="Times New Roman"/>
          <w:sz w:val="28"/>
        </w:rPr>
        <w:t>跨國合資企業之進行與推動</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4.</w:t>
      </w:r>
      <w:r w:rsidRPr="00C77E77">
        <w:rPr>
          <w:rFonts w:ascii="Times New Roman" w:eastAsia="標楷體" w:hAnsi="Times New Roman" w:cs="Times New Roman"/>
          <w:sz w:val="28"/>
        </w:rPr>
        <w:tab/>
      </w:r>
      <w:r w:rsidRPr="00C77E77">
        <w:rPr>
          <w:rFonts w:ascii="Times New Roman" w:eastAsia="標楷體" w:hAnsi="Times New Roman" w:cs="Times New Roman"/>
          <w:sz w:val="28"/>
        </w:rPr>
        <w:t>雙方官方與教育機構之定期拜訪互動</w:t>
      </w:r>
    </w:p>
    <w:p w:rsidR="004952D5" w:rsidRPr="00C77E77" w:rsidRDefault="004952D5" w:rsidP="004952D5">
      <w:pPr>
        <w:spacing w:beforeLines="50" w:before="180" w:afterLines="50" w:after="180" w:line="500" w:lineRule="exact"/>
        <w:jc w:val="both"/>
        <w:rPr>
          <w:rFonts w:ascii="Times New Roman" w:eastAsia="標楷體" w:hAnsi="Times New Roman" w:cs="Times New Roman"/>
          <w:sz w:val="28"/>
        </w:rPr>
      </w:pPr>
      <w:r w:rsidRPr="00C77E77">
        <w:rPr>
          <w:rFonts w:ascii="Times New Roman" w:eastAsia="標楷體" w:hAnsi="Times New Roman" w:cs="Times New Roman"/>
          <w:sz w:val="28"/>
        </w:rPr>
        <w:t>5.</w:t>
      </w:r>
      <w:r w:rsidRPr="00C77E77">
        <w:rPr>
          <w:rFonts w:ascii="Times New Roman" w:eastAsia="標楷體" w:hAnsi="Times New Roman" w:cs="Times New Roman"/>
          <w:sz w:val="28"/>
        </w:rPr>
        <w:tab/>
      </w:r>
      <w:r w:rsidRPr="00C77E77">
        <w:rPr>
          <w:rFonts w:ascii="Times New Roman" w:eastAsia="標楷體" w:hAnsi="Times New Roman" w:cs="Times New Roman"/>
          <w:sz w:val="28"/>
        </w:rPr>
        <w:t>建立長期海外推動機制與單位，不要只辦展覽活動而已</w:t>
      </w:r>
    </w:p>
    <w:p w:rsidR="004952D5" w:rsidRPr="00C77E77" w:rsidRDefault="004952D5">
      <w:pPr>
        <w:widowControl/>
        <w:rPr>
          <w:rFonts w:ascii="Times New Roman" w:eastAsia="標楷體" w:hAnsi="Times New Roman" w:cs="Times New Roman"/>
          <w:color w:val="000000" w:themeColor="text1"/>
          <w:sz w:val="25"/>
          <w:szCs w:val="25"/>
        </w:rPr>
      </w:pPr>
      <w:r w:rsidRPr="00C77E77">
        <w:rPr>
          <w:rFonts w:ascii="Times New Roman" w:eastAsia="標楷體" w:hAnsi="Times New Roman" w:cs="Times New Roman"/>
          <w:color w:val="000000" w:themeColor="text1"/>
          <w:sz w:val="25"/>
          <w:szCs w:val="25"/>
        </w:rPr>
        <w:br w:type="page"/>
      </w:r>
    </w:p>
    <w:p w:rsidR="00085941" w:rsidRPr="00C77E77" w:rsidRDefault="00085941" w:rsidP="002576FE">
      <w:pPr>
        <w:pStyle w:val="1"/>
        <w:rPr>
          <w:rFonts w:ascii="Times New Roman" w:eastAsia="標楷體" w:hAnsi="Times New Roman" w:cs="Times New Roman"/>
          <w:color w:val="000000" w:themeColor="text1"/>
          <w:sz w:val="36"/>
          <w:szCs w:val="36"/>
        </w:rPr>
      </w:pPr>
      <w:bookmarkStart w:id="178" w:name="_Toc470676334"/>
      <w:r w:rsidRPr="00C77E77">
        <w:rPr>
          <w:rFonts w:ascii="Times New Roman" w:eastAsia="標楷體" w:hAnsi="Times New Roman" w:cs="Times New Roman"/>
          <w:color w:val="000000" w:themeColor="text1"/>
          <w:sz w:val="36"/>
          <w:szCs w:val="36"/>
        </w:rPr>
        <w:lastRenderedPageBreak/>
        <w:t>附錄</w:t>
      </w:r>
      <w:r w:rsidR="0039441E" w:rsidRPr="00C77E77">
        <w:rPr>
          <w:rFonts w:ascii="Times New Roman" w:eastAsia="標楷體" w:hAnsi="Times New Roman" w:cs="Times New Roman"/>
          <w:color w:val="000000" w:themeColor="text1"/>
          <w:sz w:val="36"/>
          <w:szCs w:val="36"/>
        </w:rPr>
        <w:t>七</w:t>
      </w:r>
      <w:r w:rsidRPr="00C77E77">
        <w:rPr>
          <w:rFonts w:ascii="Times New Roman" w:eastAsia="標楷體" w:hAnsi="Times New Roman" w:cs="Times New Roman"/>
          <w:color w:val="000000" w:themeColor="text1"/>
          <w:sz w:val="36"/>
          <w:szCs w:val="36"/>
        </w:rPr>
        <w:t>：「新南向產業合作：醫療生技與新農業」座談會紀錄摘要</w:t>
      </w:r>
      <w:bookmarkEnd w:id="178"/>
    </w:p>
    <w:p w:rsidR="00085941" w:rsidRPr="00C77E77" w:rsidRDefault="00085941" w:rsidP="0001327A">
      <w:pPr>
        <w:pStyle w:val="ab"/>
        <w:numPr>
          <w:ilvl w:val="0"/>
          <w:numId w:val="56"/>
        </w:numPr>
        <w:adjustRightInd w:val="0"/>
        <w:snapToGrid w:val="0"/>
        <w:spacing w:beforeLines="50" w:before="180" w:afterLines="50" w:after="180" w:line="500" w:lineRule="exact"/>
        <w:ind w:leftChars="0" w:left="709" w:hanging="709"/>
        <w:rPr>
          <w:rFonts w:ascii="Times New Roman" w:eastAsia="標楷體" w:hAnsi="Times New Roman" w:cs="Times New Roman"/>
          <w:sz w:val="28"/>
          <w:szCs w:val="28"/>
        </w:rPr>
      </w:pPr>
      <w:r w:rsidRPr="00C77E77">
        <w:rPr>
          <w:rFonts w:ascii="Times New Roman" w:eastAsia="標楷體" w:hAnsi="Times New Roman" w:cs="Times New Roman"/>
          <w:b/>
          <w:sz w:val="28"/>
          <w:szCs w:val="28"/>
        </w:rPr>
        <w:t>主辦單位：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灣經濟研究院</w:t>
      </w:r>
    </w:p>
    <w:p w:rsidR="00085941" w:rsidRPr="00C77E77" w:rsidRDefault="00085941" w:rsidP="0001327A">
      <w:pPr>
        <w:pStyle w:val="ab"/>
        <w:numPr>
          <w:ilvl w:val="0"/>
          <w:numId w:val="56"/>
        </w:numPr>
        <w:adjustRightInd w:val="0"/>
        <w:snapToGrid w:val="0"/>
        <w:spacing w:before="50" w:afterLines="50" w:after="180" w:line="500" w:lineRule="exact"/>
        <w:ind w:leftChars="0" w:left="709" w:hanging="709"/>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時</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間：</w:t>
      </w:r>
      <w:r w:rsidRPr="00C77E77">
        <w:rPr>
          <w:rFonts w:ascii="Times New Roman" w:eastAsia="標楷體" w:hAnsi="Times New Roman" w:cs="Times New Roman"/>
          <w:sz w:val="28"/>
          <w:szCs w:val="28"/>
        </w:rPr>
        <w:t>105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29</w:t>
      </w:r>
      <w:r w:rsidRPr="00C77E77">
        <w:rPr>
          <w:rFonts w:ascii="Times New Roman" w:eastAsia="標楷體" w:hAnsi="Times New Roman" w:cs="Times New Roman"/>
          <w:sz w:val="28"/>
          <w:szCs w:val="28"/>
        </w:rPr>
        <w:t>日（週四）</w:t>
      </w:r>
      <w:bookmarkStart w:id="179" w:name="OLE_LINK3"/>
      <w:r w:rsidRPr="00C77E77">
        <w:rPr>
          <w:rFonts w:ascii="Times New Roman" w:eastAsia="標楷體" w:hAnsi="Times New Roman" w:cs="Times New Roman"/>
          <w:sz w:val="28"/>
          <w:szCs w:val="28"/>
        </w:rPr>
        <w:t>下午二時至四時</w:t>
      </w:r>
    </w:p>
    <w:bookmarkEnd w:id="179"/>
    <w:p w:rsidR="00085941" w:rsidRPr="00C77E77" w:rsidRDefault="00085941" w:rsidP="0001327A">
      <w:pPr>
        <w:pStyle w:val="ab"/>
        <w:numPr>
          <w:ilvl w:val="0"/>
          <w:numId w:val="56"/>
        </w:numPr>
        <w:adjustRightInd w:val="0"/>
        <w:snapToGrid w:val="0"/>
        <w:spacing w:before="50" w:afterLines="50" w:after="180" w:line="500" w:lineRule="exact"/>
        <w:ind w:leftChars="0" w:left="709" w:hanging="709"/>
        <w:rPr>
          <w:rFonts w:ascii="Times New Roman" w:eastAsia="標楷體" w:hAnsi="Times New Roman" w:cs="Times New Roman"/>
          <w:sz w:val="28"/>
          <w:szCs w:val="28"/>
        </w:rPr>
      </w:pPr>
      <w:r w:rsidRPr="00C77E77">
        <w:rPr>
          <w:rFonts w:ascii="Times New Roman" w:eastAsia="標楷體" w:hAnsi="Times New Roman" w:cs="Times New Roman"/>
          <w:b/>
          <w:sz w:val="28"/>
          <w:szCs w:val="28"/>
        </w:rPr>
        <w:t>地</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點：</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經院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泥第三會議室（</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北市德惠街</w:t>
      </w:r>
      <w:r w:rsidRPr="00C77E77">
        <w:rPr>
          <w:rFonts w:ascii="Times New Roman" w:eastAsia="標楷體" w:hAnsi="Times New Roman" w:cs="Times New Roman"/>
          <w:sz w:val="28"/>
          <w:szCs w:val="28"/>
        </w:rPr>
        <w:t>16-5</w:t>
      </w:r>
      <w:r w:rsidRPr="00C77E77">
        <w:rPr>
          <w:rFonts w:ascii="Times New Roman" w:eastAsia="標楷體" w:hAnsi="Times New Roman" w:cs="Times New Roman"/>
          <w:sz w:val="28"/>
          <w:szCs w:val="28"/>
        </w:rPr>
        <w:t>號</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樓）</w:t>
      </w:r>
    </w:p>
    <w:p w:rsidR="00085941" w:rsidRPr="00C77E77" w:rsidRDefault="00085941" w:rsidP="0001327A">
      <w:pPr>
        <w:pStyle w:val="ab"/>
        <w:numPr>
          <w:ilvl w:val="0"/>
          <w:numId w:val="56"/>
        </w:numPr>
        <w:adjustRightInd w:val="0"/>
        <w:snapToGrid w:val="0"/>
        <w:spacing w:before="50" w:afterLines="50" w:after="180" w:line="500" w:lineRule="exact"/>
        <w:ind w:leftChars="0" w:left="709" w:hanging="709"/>
        <w:rPr>
          <w:rFonts w:ascii="Times New Roman" w:eastAsia="標楷體" w:hAnsi="Times New Roman" w:cs="Times New Roman"/>
          <w:sz w:val="28"/>
          <w:szCs w:val="28"/>
        </w:rPr>
      </w:pPr>
      <w:r w:rsidRPr="00C77E77">
        <w:rPr>
          <w:rFonts w:ascii="Times New Roman" w:eastAsia="標楷體" w:hAnsi="Times New Roman" w:cs="Times New Roman"/>
          <w:b/>
          <w:sz w:val="28"/>
          <w:szCs w:val="28"/>
        </w:rPr>
        <w:t>主</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持</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人：</w:t>
      </w:r>
      <w:r w:rsidRPr="00C77E77">
        <w:rPr>
          <w:rFonts w:ascii="Times New Roman" w:eastAsia="標楷體" w:hAnsi="Times New Roman" w:cs="Times New Roman"/>
          <w:sz w:val="28"/>
          <w:szCs w:val="28"/>
        </w:rPr>
        <w:t>陳華昇先生（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經院兩岸發展研究中心主任）</w:t>
      </w:r>
    </w:p>
    <w:p w:rsidR="00085941" w:rsidRPr="00C77E77" w:rsidRDefault="00085941" w:rsidP="0001327A">
      <w:pPr>
        <w:pStyle w:val="ab"/>
        <w:numPr>
          <w:ilvl w:val="0"/>
          <w:numId w:val="56"/>
        </w:numPr>
        <w:adjustRightInd w:val="0"/>
        <w:snapToGrid w:val="0"/>
        <w:spacing w:beforeLines="50" w:before="180" w:afterLines="50" w:after="180" w:line="500" w:lineRule="exact"/>
        <w:ind w:leftChars="0" w:left="709" w:hanging="709"/>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討論題綱：</w:t>
      </w:r>
    </w:p>
    <w:p w:rsidR="00085941" w:rsidRPr="00C77E77" w:rsidRDefault="00085941" w:rsidP="00085941">
      <w:pPr>
        <w:tabs>
          <w:tab w:val="left" w:pos="709"/>
          <w:tab w:val="left" w:pos="851"/>
        </w:tabs>
        <w:adjustRightInd w:val="0"/>
        <w:snapToGrid w:val="0"/>
        <w:spacing w:before="50" w:afterLines="50" w:after="180" w:line="50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我國醫療生技與新農業目前在東協國家與印度的發展現況為何？是否曾經遭遇困難？如何排除困難？</w:t>
      </w:r>
    </w:p>
    <w:p w:rsidR="00085941" w:rsidRPr="00C77E77" w:rsidRDefault="00085941" w:rsidP="00085941">
      <w:pPr>
        <w:tabs>
          <w:tab w:val="left" w:pos="709"/>
          <w:tab w:val="left" w:pos="851"/>
        </w:tabs>
        <w:adjustRightInd w:val="0"/>
        <w:snapToGrid w:val="0"/>
        <w:spacing w:before="50" w:afterLines="50" w:after="180" w:line="50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我國醫療生技與新農業在東協國家與印度的市場潛力評估為何？未來是否有佈局規劃？</w:t>
      </w:r>
    </w:p>
    <w:p w:rsidR="00085941" w:rsidRPr="00C77E77" w:rsidRDefault="00085941" w:rsidP="00085941">
      <w:pPr>
        <w:tabs>
          <w:tab w:val="left" w:pos="709"/>
          <w:tab w:val="left" w:pos="851"/>
        </w:tabs>
        <w:adjustRightInd w:val="0"/>
        <w:snapToGrid w:val="0"/>
        <w:spacing w:before="50" w:afterLines="50" w:after="180" w:line="50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我國醫療生技與新農業如何在佈局東協國家與印度的過程中達到「雙向合作」的效果？既能促進產業在當地的發展，同時又能確保產業在臺灣本土的根基？</w:t>
      </w:r>
    </w:p>
    <w:p w:rsidR="00085941" w:rsidRPr="00C77E77" w:rsidRDefault="00085941" w:rsidP="00085941">
      <w:pPr>
        <w:tabs>
          <w:tab w:val="left" w:pos="709"/>
          <w:tab w:val="left" w:pos="851"/>
        </w:tabs>
        <w:adjustRightInd w:val="0"/>
        <w:snapToGrid w:val="0"/>
        <w:spacing w:before="50" w:afterLines="50" w:after="180" w:line="50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希望「新南向政策」如何協助我國醫療生技與新農業在東協國家與印度的發展？</w:t>
      </w:r>
    </w:p>
    <w:p w:rsidR="00085941" w:rsidRPr="00C77E77" w:rsidRDefault="00085941" w:rsidP="0001327A">
      <w:pPr>
        <w:pStyle w:val="ab"/>
        <w:numPr>
          <w:ilvl w:val="0"/>
          <w:numId w:val="56"/>
        </w:numPr>
        <w:adjustRightInd w:val="0"/>
        <w:snapToGrid w:val="0"/>
        <w:spacing w:beforeLines="50" w:before="180" w:afterLines="50" w:after="180" w:line="500" w:lineRule="exact"/>
        <w:ind w:leftChars="0" w:left="709" w:hanging="709"/>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與談人（依姓名筆劃順序排列）</w:t>
      </w:r>
    </w:p>
    <w:p w:rsidR="00085941" w:rsidRPr="00C77E77" w:rsidRDefault="00085941" w:rsidP="0001327A">
      <w:pPr>
        <w:pStyle w:val="ab"/>
        <w:numPr>
          <w:ilvl w:val="0"/>
          <w:numId w:val="46"/>
        </w:numPr>
        <w:adjustRightInd w:val="0"/>
        <w:snapToGrid w:val="0"/>
        <w:spacing w:before="5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王惠弘先生（杏國新藥股份有限公司協理）</w:t>
      </w:r>
    </w:p>
    <w:p w:rsidR="00085941" w:rsidRPr="00C77E77" w:rsidRDefault="00085941" w:rsidP="0001327A">
      <w:pPr>
        <w:pStyle w:val="ab"/>
        <w:numPr>
          <w:ilvl w:val="0"/>
          <w:numId w:val="46"/>
        </w:numPr>
        <w:adjustRightInd w:val="0"/>
        <w:snapToGrid w:val="0"/>
        <w:spacing w:before="5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馬超彥先生（臺灣清真產業品質保證推廣協會副理事長）</w:t>
      </w:r>
    </w:p>
    <w:p w:rsidR="00085941" w:rsidRPr="00C77E77" w:rsidRDefault="00085941" w:rsidP="0001327A">
      <w:pPr>
        <w:pStyle w:val="ab"/>
        <w:numPr>
          <w:ilvl w:val="0"/>
          <w:numId w:val="46"/>
        </w:numPr>
        <w:adjustRightInd w:val="0"/>
        <w:snapToGrid w:val="0"/>
        <w:spacing w:before="5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張志仁先生（行政院農業委員會國際處技正）</w:t>
      </w:r>
    </w:p>
    <w:p w:rsidR="00085941" w:rsidRPr="00C77E77" w:rsidRDefault="00085941" w:rsidP="0001327A">
      <w:pPr>
        <w:pStyle w:val="ab"/>
        <w:numPr>
          <w:ilvl w:val="0"/>
          <w:numId w:val="46"/>
        </w:numPr>
        <w:adjustRightInd w:val="0"/>
        <w:snapToGrid w:val="0"/>
        <w:spacing w:before="5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梁啟全先生（卜蜂集團協理）</w:t>
      </w:r>
    </w:p>
    <w:p w:rsidR="00085941" w:rsidRPr="00C77E77" w:rsidRDefault="00085941" w:rsidP="0001327A">
      <w:pPr>
        <w:pStyle w:val="ab"/>
        <w:numPr>
          <w:ilvl w:val="0"/>
          <w:numId w:val="46"/>
        </w:numPr>
        <w:adjustRightInd w:val="0"/>
        <w:snapToGrid w:val="0"/>
        <w:spacing w:before="5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陳柏安先生（財團法人農業科技研究院植物科技研究所副研究員）</w:t>
      </w:r>
    </w:p>
    <w:p w:rsidR="00085941" w:rsidRPr="00C77E77" w:rsidRDefault="00085941" w:rsidP="0001327A">
      <w:pPr>
        <w:pStyle w:val="ab"/>
        <w:numPr>
          <w:ilvl w:val="0"/>
          <w:numId w:val="46"/>
        </w:numPr>
        <w:adjustRightInd w:val="0"/>
        <w:snapToGrid w:val="0"/>
        <w:spacing w:before="5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鄒玫君女士（衛生福利部食品藥物管理署研究員）</w:t>
      </w:r>
    </w:p>
    <w:p w:rsidR="00085941" w:rsidRPr="00C77E77" w:rsidRDefault="00085941" w:rsidP="0001327A">
      <w:pPr>
        <w:pStyle w:val="ab"/>
        <w:numPr>
          <w:ilvl w:val="0"/>
          <w:numId w:val="46"/>
        </w:numPr>
        <w:adjustRightInd w:val="0"/>
        <w:snapToGrid w:val="0"/>
        <w:spacing w:before="5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劉威宏先生（易特聯合科技股份有限公司東南亞區業務經理）</w:t>
      </w:r>
    </w:p>
    <w:p w:rsidR="00085941" w:rsidRPr="00C77E77" w:rsidRDefault="00085941" w:rsidP="0001327A">
      <w:pPr>
        <w:pStyle w:val="ab"/>
        <w:numPr>
          <w:ilvl w:val="0"/>
          <w:numId w:val="46"/>
        </w:numPr>
        <w:adjustRightInd w:val="0"/>
        <w:snapToGrid w:val="0"/>
        <w:spacing w:before="50" w:afterLines="50" w:after="180" w:line="500" w:lineRule="exact"/>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謝華寧先生（易特聯合科技股份有限公司總經理室資深特助）</w:t>
      </w:r>
    </w:p>
    <w:p w:rsidR="00085941" w:rsidRPr="00C77E77" w:rsidRDefault="00085941" w:rsidP="0001327A">
      <w:pPr>
        <w:pStyle w:val="ab"/>
        <w:numPr>
          <w:ilvl w:val="0"/>
          <w:numId w:val="56"/>
        </w:numPr>
        <w:adjustRightInd w:val="0"/>
        <w:snapToGrid w:val="0"/>
        <w:spacing w:beforeLines="50" w:before="180" w:afterLines="50" w:after="180" w:line="500" w:lineRule="exact"/>
        <w:ind w:leftChars="0" w:left="709" w:hanging="709"/>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b/>
          <w:sz w:val="28"/>
          <w:szCs w:val="28"/>
        </w:rPr>
        <w:t>會議記錄摘要</w:t>
      </w:r>
    </w:p>
    <w:p w:rsidR="00085941" w:rsidRPr="00C77E77" w:rsidRDefault="00085941" w:rsidP="0001327A">
      <w:pPr>
        <w:pStyle w:val="ab"/>
        <w:numPr>
          <w:ilvl w:val="0"/>
          <w:numId w:val="47"/>
        </w:numPr>
        <w:adjustRightInd w:val="0"/>
        <w:snapToGrid w:val="0"/>
        <w:spacing w:beforeLines="50" w:before="180" w:afterLines="50" w:after="180" w:line="500" w:lineRule="exact"/>
        <w:ind w:leftChars="0" w:left="0" w:firstLine="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王惠弘先生</w:t>
      </w:r>
    </w:p>
    <w:p w:rsidR="00085941" w:rsidRPr="00C77E77" w:rsidRDefault="00085941" w:rsidP="0001327A">
      <w:pPr>
        <w:pStyle w:val="ab"/>
        <w:numPr>
          <w:ilvl w:val="0"/>
          <w:numId w:val="48"/>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在國際化部分，以學名藥廠在</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灣的競爭為例，最大的競爭對手，除了自己同行之間的競爭以外，主要還是國際的學名藥廠，因為國際藥廠具有低成本品項優勢，而且執照一次取得約</w:t>
      </w:r>
      <w:r w:rsidRPr="00C77E77">
        <w:rPr>
          <w:rFonts w:ascii="Times New Roman" w:eastAsia="標楷體" w:hAnsi="Times New Roman" w:cs="Times New Roman"/>
          <w:color w:val="000000"/>
          <w:sz w:val="28"/>
          <w:szCs w:val="28"/>
        </w:rPr>
        <w:t>10</w:t>
      </w:r>
      <w:r w:rsidRPr="00C77E77">
        <w:rPr>
          <w:rFonts w:ascii="Times New Roman" w:eastAsia="標楷體" w:hAnsi="Times New Roman" w:cs="Times New Roman"/>
          <w:color w:val="000000"/>
          <w:sz w:val="28"/>
          <w:szCs w:val="28"/>
        </w:rPr>
        <w:t>幾張。由於</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灣的市場相對較小，每一家藥廠有自己的競爭策略，加上整合難度很大，最後則演變成市場自由競爭。</w:t>
      </w:r>
    </w:p>
    <w:p w:rsidR="00085941" w:rsidRPr="00C77E77" w:rsidRDefault="00085941" w:rsidP="0001327A">
      <w:pPr>
        <w:pStyle w:val="ab"/>
        <w:numPr>
          <w:ilvl w:val="0"/>
          <w:numId w:val="48"/>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以杏國而言，銷售策略主要以市場考量，目前最大的市場是美國、第二是中國大陸，還有日本、歐盟。由於現階段東協國家的市場還不算大，另外一個角度是東協國家是否需要新藥，許多東協國家的政策如生體相等性（</w:t>
      </w:r>
      <w:r w:rsidRPr="00C77E77">
        <w:rPr>
          <w:rFonts w:ascii="Times New Roman" w:eastAsia="標楷體" w:hAnsi="Times New Roman" w:cs="Times New Roman"/>
          <w:color w:val="000000"/>
          <w:sz w:val="28"/>
          <w:szCs w:val="28"/>
        </w:rPr>
        <w:t>BE</w:t>
      </w:r>
      <w:r w:rsidRPr="00C77E77">
        <w:rPr>
          <w:rFonts w:ascii="Times New Roman" w:eastAsia="標楷體" w:hAnsi="Times New Roman" w:cs="Times New Roman"/>
          <w:color w:val="000000"/>
          <w:sz w:val="28"/>
          <w:szCs w:val="28"/>
        </w:rPr>
        <w:t>）的法規都沒有要求，所以基本上沒有新藥的需求。</w:t>
      </w:r>
    </w:p>
    <w:p w:rsidR="00085941" w:rsidRPr="00C77E77" w:rsidRDefault="00085941" w:rsidP="0001327A">
      <w:pPr>
        <w:pStyle w:val="ab"/>
        <w:numPr>
          <w:ilvl w:val="0"/>
          <w:numId w:val="48"/>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永信藥廠實施在地化深根的策略，過去在馬來西亞蓋藥廠，將產品輸出整個東南亞，目前也計畫併購印尼藥廠，就方向與策略上而言，某種程度算是成功。因此，政府可提出相關政策來鼓勵藥廠往這個方向來努力。</w:t>
      </w:r>
    </w:p>
    <w:p w:rsidR="00085941" w:rsidRPr="00C77E77" w:rsidRDefault="00085941" w:rsidP="0001327A">
      <w:pPr>
        <w:pStyle w:val="ab"/>
        <w:numPr>
          <w:ilvl w:val="0"/>
          <w:numId w:val="48"/>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如何提升製造廠業的國際競爭力，整併中小型規模的藥廠，建議政府應該關注。未來的市場若不是整併別人，就是被別人整併。未來會有幾家大藥廠在國際上競爭，是值得思考的。</w:t>
      </w:r>
    </w:p>
    <w:p w:rsidR="00085941" w:rsidRPr="00C77E77" w:rsidRDefault="00085941" w:rsidP="0001327A">
      <w:pPr>
        <w:pStyle w:val="ab"/>
        <w:numPr>
          <w:ilvl w:val="0"/>
          <w:numId w:val="47"/>
        </w:numPr>
        <w:adjustRightInd w:val="0"/>
        <w:snapToGrid w:val="0"/>
        <w:spacing w:beforeLines="50" w:before="180" w:afterLines="50" w:after="180" w:line="500" w:lineRule="exact"/>
        <w:ind w:leftChars="0" w:left="0" w:firstLine="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梁啟全先生</w:t>
      </w:r>
    </w:p>
    <w:p w:rsidR="00085941" w:rsidRPr="00C77E77" w:rsidRDefault="00085941" w:rsidP="0001327A">
      <w:pPr>
        <w:pStyle w:val="ab"/>
        <w:numPr>
          <w:ilvl w:val="0"/>
          <w:numId w:val="54"/>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臺灣在疫苗產業上，上端研發是臺灣的強項，但缺乏市場與製造，我們應該善用研發利基，此部分建議由國家帶頭來推動。因為臺灣有人才、技術、資金等優勢，應該善用這些資源。</w:t>
      </w:r>
    </w:p>
    <w:p w:rsidR="00085941" w:rsidRPr="00C77E77" w:rsidRDefault="00085941" w:rsidP="0001327A">
      <w:pPr>
        <w:pStyle w:val="ab"/>
        <w:numPr>
          <w:ilvl w:val="0"/>
          <w:numId w:val="54"/>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themeColor="text1"/>
          <w:sz w:val="28"/>
          <w:szCs w:val="28"/>
        </w:rPr>
        <w:t>卜蜂集團</w:t>
      </w:r>
      <w:r w:rsidRPr="00C77E77">
        <w:rPr>
          <w:rFonts w:ascii="Times New Roman" w:eastAsia="標楷體" w:hAnsi="Times New Roman" w:cs="Times New Roman"/>
          <w:color w:val="000000"/>
          <w:sz w:val="28"/>
          <w:szCs w:val="28"/>
        </w:rPr>
        <w:t>在泰國市場佔有率約</w:t>
      </w:r>
      <w:r w:rsidRPr="00C77E77">
        <w:rPr>
          <w:rFonts w:ascii="Times New Roman" w:eastAsia="標楷體" w:hAnsi="Times New Roman" w:cs="Times New Roman"/>
          <w:color w:val="000000"/>
          <w:sz w:val="28"/>
          <w:szCs w:val="28"/>
        </w:rPr>
        <w:t>40</w:t>
      </w:r>
      <w:r w:rsidRPr="00C77E77">
        <w:rPr>
          <w:rFonts w:ascii="Times New Roman" w:eastAsia="標楷體" w:hAnsi="Times New Roman" w:cs="Times New Roman"/>
          <w:color w:val="000000"/>
          <w:sz w:val="28"/>
          <w:szCs w:val="28"/>
        </w:rPr>
        <w:t>％，在國內則約</w:t>
      </w:r>
      <w:r w:rsidRPr="00C77E77">
        <w:rPr>
          <w:rFonts w:ascii="Times New Roman" w:eastAsia="標楷體" w:hAnsi="Times New Roman" w:cs="Times New Roman"/>
          <w:color w:val="000000"/>
          <w:sz w:val="28"/>
          <w:szCs w:val="28"/>
        </w:rPr>
        <w:t>20</w:t>
      </w:r>
      <w:r w:rsidRPr="00C77E77">
        <w:rPr>
          <w:rFonts w:ascii="Times New Roman" w:eastAsia="標楷體" w:hAnsi="Times New Roman" w:cs="Times New Roman"/>
          <w:color w:val="000000"/>
          <w:sz w:val="28"/>
          <w:szCs w:val="28"/>
        </w:rPr>
        <w:t>％。農業生產都是一條龍，行銷方式也與一般產業不同。但關鍵還是在於保持技術領先。</w:t>
      </w:r>
    </w:p>
    <w:p w:rsidR="00085941" w:rsidRPr="00C77E77" w:rsidRDefault="00085941" w:rsidP="0001327A">
      <w:pPr>
        <w:pStyle w:val="ab"/>
        <w:numPr>
          <w:ilvl w:val="0"/>
          <w:numId w:val="47"/>
        </w:numPr>
        <w:adjustRightInd w:val="0"/>
        <w:snapToGrid w:val="0"/>
        <w:spacing w:beforeLines="50" w:before="180" w:afterLines="50" w:after="180" w:line="500" w:lineRule="exact"/>
        <w:ind w:leftChars="0" w:left="0" w:firstLine="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謝華寧先生</w:t>
      </w:r>
    </w:p>
    <w:p w:rsidR="00085941" w:rsidRPr="00C77E77" w:rsidRDefault="00085941" w:rsidP="0001327A">
      <w:pPr>
        <w:pStyle w:val="ab"/>
        <w:numPr>
          <w:ilvl w:val="0"/>
          <w:numId w:val="55"/>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易特聯合科技股份有限公司主要是生產呼吸器產品。在拓展東南亞市場方面，以泰國為例，人口有八千多萬，但每年銷售量大約僅有</w:t>
      </w:r>
      <w:r w:rsidRPr="00C77E77">
        <w:rPr>
          <w:rFonts w:ascii="Times New Roman" w:eastAsia="標楷體" w:hAnsi="Times New Roman" w:cs="Times New Roman"/>
          <w:color w:val="000000"/>
          <w:sz w:val="28"/>
          <w:szCs w:val="28"/>
        </w:rPr>
        <w:t>1</w:t>
      </w:r>
      <w:r w:rsidRPr="00C77E77">
        <w:rPr>
          <w:rFonts w:ascii="Times New Roman" w:eastAsia="標楷體" w:hAnsi="Times New Roman" w:cs="Times New Roman"/>
          <w:color w:val="000000"/>
          <w:sz w:val="28"/>
          <w:szCs w:val="28"/>
        </w:rPr>
        <w:t>千多</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，市場規模不是很大。</w:t>
      </w:r>
    </w:p>
    <w:p w:rsidR="00085941" w:rsidRPr="00C77E77" w:rsidRDefault="00085941" w:rsidP="0001327A">
      <w:pPr>
        <w:pStyle w:val="ab"/>
        <w:numPr>
          <w:ilvl w:val="0"/>
          <w:numId w:val="55"/>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如果可以透過更多的溝通，例如政府提供各方面的支持，包括法規面、當地的溝通協調，資訊蒐集。過去的作法是不斷的參加展覽，但不代表可以找到需要的客戶。這兩年在泰國有所突破，然而在其他國家未必可以很順利。所以這是當前面臨較大的困局。</w:t>
      </w:r>
    </w:p>
    <w:p w:rsidR="00085941" w:rsidRPr="00C77E77" w:rsidRDefault="00085941" w:rsidP="0001327A">
      <w:pPr>
        <w:pStyle w:val="ab"/>
        <w:numPr>
          <w:ilvl w:val="0"/>
          <w:numId w:val="55"/>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印度的醫療器材產業是一個極端的市場。大致上可分區兩個部分，在金字塔市場端是歐美大品牌，而低價的醫療器材產品則是屬於中國大陸。</w:t>
      </w:r>
    </w:p>
    <w:p w:rsidR="00085941" w:rsidRPr="00C77E77" w:rsidRDefault="00085941" w:rsidP="0001327A">
      <w:pPr>
        <w:pStyle w:val="ab"/>
        <w:numPr>
          <w:ilvl w:val="0"/>
          <w:numId w:val="47"/>
        </w:numPr>
        <w:adjustRightInd w:val="0"/>
        <w:snapToGrid w:val="0"/>
        <w:spacing w:beforeLines="50" w:before="180" w:afterLines="50" w:after="180" w:line="500" w:lineRule="exact"/>
        <w:ind w:leftChars="0" w:left="0" w:firstLine="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劉威宏先生</w:t>
      </w:r>
    </w:p>
    <w:p w:rsidR="00085941" w:rsidRPr="00C77E77" w:rsidRDefault="00085941" w:rsidP="0001327A">
      <w:pPr>
        <w:pStyle w:val="ab"/>
        <w:numPr>
          <w:ilvl w:val="0"/>
          <w:numId w:val="49"/>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2016</w:t>
      </w:r>
      <w:r w:rsidRPr="00C77E77">
        <w:rPr>
          <w:rFonts w:ascii="Times New Roman" w:eastAsia="標楷體" w:hAnsi="Times New Roman" w:cs="Times New Roman"/>
          <w:color w:val="000000"/>
          <w:sz w:val="28"/>
          <w:szCs w:val="28"/>
        </w:rPr>
        <w:t>年</w:t>
      </w:r>
      <w:r w:rsidRPr="00C77E77">
        <w:rPr>
          <w:rFonts w:ascii="Times New Roman" w:eastAsia="標楷體" w:hAnsi="Times New Roman" w:cs="Times New Roman"/>
          <w:color w:val="000000"/>
          <w:sz w:val="28"/>
          <w:szCs w:val="28"/>
        </w:rPr>
        <w:t>11</w:t>
      </w:r>
      <w:r w:rsidRPr="00C77E77">
        <w:rPr>
          <w:rFonts w:ascii="Times New Roman" w:eastAsia="標楷體" w:hAnsi="Times New Roman" w:cs="Times New Roman"/>
          <w:color w:val="000000"/>
          <w:sz w:val="28"/>
          <w:szCs w:val="28"/>
        </w:rPr>
        <w:t>月在歐洲舉辦全球最大醫療器材展覽，可以看到其他國家的展館。</w:t>
      </w:r>
      <w:r w:rsidRPr="00C77E77">
        <w:rPr>
          <w:rFonts w:ascii="Times New Roman" w:eastAsia="標楷體" w:hAnsi="Times New Roman" w:cs="Times New Roman"/>
          <w:color w:val="000000" w:themeColor="text1"/>
          <w:sz w:val="28"/>
          <w:szCs w:val="28"/>
        </w:rPr>
        <w:t>易特聯合科技股份有限公司</w:t>
      </w:r>
      <w:r w:rsidRPr="00C77E77">
        <w:rPr>
          <w:rFonts w:ascii="Times New Roman" w:eastAsia="標楷體" w:hAnsi="Times New Roman" w:cs="Times New Roman"/>
          <w:color w:val="000000"/>
          <w:sz w:val="28"/>
          <w:szCs w:val="28"/>
        </w:rPr>
        <w:t>與外貿協會合作展覽，在形象上逐年進步，但整體上與其他國家展館略顯薄弱，希望未來政府可提供必要的資源。</w:t>
      </w:r>
    </w:p>
    <w:p w:rsidR="00085941" w:rsidRPr="00C77E77" w:rsidRDefault="00085941" w:rsidP="0001327A">
      <w:pPr>
        <w:pStyle w:val="ab"/>
        <w:numPr>
          <w:ilvl w:val="0"/>
          <w:numId w:val="49"/>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東南亞國家目前有消費便利化的趨勢，除了供給高階市場，也有低階的市場。本公司主要客戶端為中階市場，相對而言會受到擠壓，這部分是需要有所突破。</w:t>
      </w:r>
    </w:p>
    <w:p w:rsidR="00085941" w:rsidRPr="00C77E77" w:rsidRDefault="00085941" w:rsidP="0001327A">
      <w:pPr>
        <w:pStyle w:val="ab"/>
        <w:numPr>
          <w:ilvl w:val="0"/>
          <w:numId w:val="49"/>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lastRenderedPageBreak/>
        <w:t>在醫療器材文件認證部分，在沒有設立辦事處的東協國家會遭遇困境，建議政府提供相關協助。</w:t>
      </w:r>
    </w:p>
    <w:p w:rsidR="00085941" w:rsidRPr="00C77E77" w:rsidRDefault="00085941" w:rsidP="0001327A">
      <w:pPr>
        <w:pStyle w:val="ab"/>
        <w:numPr>
          <w:ilvl w:val="0"/>
          <w:numId w:val="47"/>
        </w:numPr>
        <w:adjustRightInd w:val="0"/>
        <w:snapToGrid w:val="0"/>
        <w:spacing w:beforeLines="50" w:before="180" w:afterLines="50" w:after="180" w:line="500" w:lineRule="exact"/>
        <w:ind w:leftChars="0" w:left="0" w:firstLine="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馬超彥先生</w:t>
      </w:r>
    </w:p>
    <w:p w:rsidR="00085941" w:rsidRPr="00C77E77" w:rsidRDefault="00085941" w:rsidP="0001327A">
      <w:pPr>
        <w:pStyle w:val="ab"/>
        <w:numPr>
          <w:ilvl w:val="0"/>
          <w:numId w:val="50"/>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面對印度以及東南亞市場，臺灣的生技產業在國際市場上是比較具有優勢。過去臺灣比重偏重應用科學，例如國際上開放哪些項目，立刻做成產品。但值得注意的是，原料會將成為國際最重要的競爭，因此臺灣在生技產業發展上，未來應該關注開發原料，會比本業更有商機。</w:t>
      </w:r>
    </w:p>
    <w:p w:rsidR="00085941" w:rsidRPr="00C77E77" w:rsidRDefault="00085941" w:rsidP="0001327A">
      <w:pPr>
        <w:pStyle w:val="ab"/>
        <w:numPr>
          <w:ilvl w:val="0"/>
          <w:numId w:val="50"/>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在技術合作如何共同開發原料，例如在農業上可以進行國際合作、技術移轉，取得原料及合作機會。雖然在價格、產量、市場上無法與其國家他競爭，但可以在原料上多多關注。</w:t>
      </w:r>
    </w:p>
    <w:p w:rsidR="00085941" w:rsidRPr="00C77E77" w:rsidRDefault="00085941" w:rsidP="0001327A">
      <w:pPr>
        <w:pStyle w:val="ab"/>
        <w:numPr>
          <w:ilvl w:val="0"/>
          <w:numId w:val="50"/>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任何產業要強化，資源整合很重要。例如強化原料的供應鏈，建立自己的資料庫，若有廠商需要原料，自然就可以提供。</w:t>
      </w:r>
    </w:p>
    <w:p w:rsidR="00085941" w:rsidRPr="00C77E77" w:rsidRDefault="00085941" w:rsidP="0001327A">
      <w:pPr>
        <w:pStyle w:val="ab"/>
        <w:numPr>
          <w:ilvl w:val="0"/>
          <w:numId w:val="50"/>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物流整合對</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灣在東南亞的發展是很重要，</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灣的地理位置很重要，我們可以把</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灣跟馬來西亞連結起來，把所有產業透過物流供應鏈，推廣到東協國家去。其中很重要的冷鏈物流也值得投入資源發展。</w:t>
      </w:r>
    </w:p>
    <w:p w:rsidR="00085941" w:rsidRPr="00C77E77" w:rsidRDefault="00085941" w:rsidP="0001327A">
      <w:pPr>
        <w:pStyle w:val="ab"/>
        <w:numPr>
          <w:ilvl w:val="0"/>
          <w:numId w:val="47"/>
        </w:numPr>
        <w:adjustRightInd w:val="0"/>
        <w:snapToGrid w:val="0"/>
        <w:spacing w:beforeLines="50" w:before="180" w:afterLines="50" w:after="180" w:line="500" w:lineRule="exact"/>
        <w:ind w:leftChars="0" w:left="0" w:firstLine="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陳柏安先生</w:t>
      </w:r>
    </w:p>
    <w:p w:rsidR="00085941" w:rsidRPr="00C77E77" w:rsidRDefault="00085941" w:rsidP="0001327A">
      <w:pPr>
        <w:pStyle w:val="ab"/>
        <w:numPr>
          <w:ilvl w:val="0"/>
          <w:numId w:val="51"/>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越南是共產國家，可能會遭遇與中國大陸一樣的土地問題。例如越南土地屬於國有化，臺灣在取得土地上會有困難。如果一般跟人民租地期限是</w:t>
      </w:r>
      <w:r w:rsidRPr="00C77E77">
        <w:rPr>
          <w:rFonts w:ascii="Times New Roman" w:eastAsia="標楷體" w:hAnsi="Times New Roman" w:cs="Times New Roman"/>
          <w:color w:val="000000"/>
          <w:sz w:val="28"/>
          <w:szCs w:val="28"/>
        </w:rPr>
        <w:t>10</w:t>
      </w:r>
      <w:r w:rsidRPr="00C77E77">
        <w:rPr>
          <w:rFonts w:ascii="Times New Roman" w:eastAsia="標楷體" w:hAnsi="Times New Roman" w:cs="Times New Roman"/>
          <w:color w:val="000000"/>
          <w:sz w:val="28"/>
          <w:szCs w:val="28"/>
        </w:rPr>
        <w:t>年，會造成企業發展的限制。然而，日本政府為了取得越南土地，花費數十億經費，協助在當地建設高鐵設施，值得學習。</w:t>
      </w:r>
    </w:p>
    <w:p w:rsidR="00085941" w:rsidRPr="00C77E77" w:rsidRDefault="00085941" w:rsidP="0001327A">
      <w:pPr>
        <w:pStyle w:val="ab"/>
        <w:numPr>
          <w:ilvl w:val="0"/>
          <w:numId w:val="51"/>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在原料部分，例如傳統農業上的茶葉原料問題，因為臺灣本身沒有生產茶葉原料，大部分是進口國外的原料，這中間就會遭遇法規上許多問題。因此，原料經營的市場以及土地政府要如何協助，則必須視每個產業有不一樣的發展。</w:t>
      </w:r>
    </w:p>
    <w:p w:rsidR="00085941" w:rsidRPr="00C77E77" w:rsidRDefault="00085941" w:rsidP="0001327A">
      <w:pPr>
        <w:pStyle w:val="ab"/>
        <w:numPr>
          <w:ilvl w:val="0"/>
          <w:numId w:val="51"/>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lastRenderedPageBreak/>
        <w:t>在技術合作上，農委會各單位也會有不同看法，例如農委會國際處希望與國際合作，但企劃處可能認為要以臺灣為重心。因此開放與不開放，需要智庫再來協助評估。</w:t>
      </w:r>
    </w:p>
    <w:p w:rsidR="00085941" w:rsidRPr="00C77E77" w:rsidRDefault="00FD0D5A" w:rsidP="0001327A">
      <w:pPr>
        <w:pStyle w:val="ab"/>
        <w:numPr>
          <w:ilvl w:val="0"/>
          <w:numId w:val="51"/>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臺</w:t>
      </w:r>
      <w:r w:rsidR="00085941" w:rsidRPr="00C77E77">
        <w:rPr>
          <w:rFonts w:ascii="Times New Roman" w:eastAsia="標楷體" w:hAnsi="Times New Roman" w:cs="Times New Roman"/>
          <w:color w:val="000000"/>
          <w:sz w:val="28"/>
          <w:szCs w:val="28"/>
        </w:rPr>
        <w:t>商在東協國家經營一段時間，會比較清楚當地的狀況與商機。但對於農業會有不一樣的想法，例如思考臺灣可以提供哪些技術上的協助，或是開放的程度？還有當地的輸出輸入的相關法規問題，都需要政府跟對方協商。</w:t>
      </w:r>
    </w:p>
    <w:p w:rsidR="00085941" w:rsidRPr="00C77E77" w:rsidRDefault="00085941" w:rsidP="0001327A">
      <w:pPr>
        <w:pStyle w:val="ab"/>
        <w:numPr>
          <w:ilvl w:val="0"/>
          <w:numId w:val="51"/>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南向政策，必須釐清視東南亞市場為生產基地，原料供應、或是行銷市場，這些對</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灣的利益在哪裡？</w:t>
      </w:r>
    </w:p>
    <w:p w:rsidR="00085941" w:rsidRPr="00C77E77" w:rsidRDefault="00085941" w:rsidP="0001327A">
      <w:pPr>
        <w:pStyle w:val="ab"/>
        <w:numPr>
          <w:ilvl w:val="0"/>
          <w:numId w:val="47"/>
        </w:numPr>
        <w:adjustRightInd w:val="0"/>
        <w:snapToGrid w:val="0"/>
        <w:spacing w:beforeLines="50" w:before="180" w:afterLines="50" w:after="180" w:line="500" w:lineRule="exact"/>
        <w:ind w:leftChars="0" w:left="0" w:firstLine="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張志仁先生</w:t>
      </w:r>
    </w:p>
    <w:p w:rsidR="00085941" w:rsidRPr="00C77E77" w:rsidRDefault="00085941" w:rsidP="0001327A">
      <w:pPr>
        <w:pStyle w:val="ab"/>
        <w:numPr>
          <w:ilvl w:val="0"/>
          <w:numId w:val="52"/>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針對政府目前推動「新南向政策」之新農業政策，農委會也正在起步階段。在新南向國家合作中，臺灣目前與澳洲、印度、越南、泰國、菲律賓、緬甸、印尼都有簽署農業合作備忘錄。</w:t>
      </w:r>
      <w:r w:rsidRPr="00C77E77">
        <w:rPr>
          <w:rFonts w:ascii="Times New Roman" w:eastAsia="標楷體" w:hAnsi="Times New Roman" w:cs="Times New Roman"/>
          <w:color w:val="000000"/>
          <w:sz w:val="28"/>
          <w:szCs w:val="28"/>
        </w:rPr>
        <w:t>2016</w:t>
      </w:r>
      <w:r w:rsidRPr="00C77E77">
        <w:rPr>
          <w:rFonts w:ascii="Times New Roman" w:eastAsia="標楷體" w:hAnsi="Times New Roman" w:cs="Times New Roman"/>
          <w:color w:val="000000"/>
          <w:sz w:val="28"/>
          <w:szCs w:val="28"/>
        </w:rPr>
        <w:t>年度與印尼、印度簽署合作備忘錄，合作項目仍在討論階段。</w:t>
      </w:r>
    </w:p>
    <w:p w:rsidR="00085941" w:rsidRPr="00C77E77" w:rsidRDefault="00085941" w:rsidP="0001327A">
      <w:pPr>
        <w:pStyle w:val="ab"/>
        <w:numPr>
          <w:ilvl w:val="0"/>
          <w:numId w:val="52"/>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農委會國際處將新南向政策分成兩個部分，例如，國際合作科比較偏重技術合作，重點在與臺灣簽署合作備忘錄的國家，強化雙邊的合作，在此架構下討論農業合作與交流事項。另一方面，則是國際行銷科主要是負責開拓中國大陸以外的新南向市場，把臺灣的產業輸出新南向國家。</w:t>
      </w:r>
    </w:p>
    <w:p w:rsidR="00085941" w:rsidRPr="00C77E77" w:rsidRDefault="00085941" w:rsidP="0001327A">
      <w:pPr>
        <w:pStyle w:val="ab"/>
        <w:numPr>
          <w:ilvl w:val="0"/>
          <w:numId w:val="52"/>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政府積極與馬來西亞、汶萊兩個國家簽署合作備忘錄。建置兩國協商的平</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，固定每年舉辦會議，藉由雙邊會議瞭解當地農業技術或資材的需求。</w:t>
      </w:r>
    </w:p>
    <w:p w:rsidR="00085941" w:rsidRPr="00C77E77" w:rsidRDefault="00085941" w:rsidP="0001327A">
      <w:pPr>
        <w:pStyle w:val="ab"/>
        <w:numPr>
          <w:ilvl w:val="0"/>
          <w:numId w:val="52"/>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不同國家有不同的需求，目前農委會也組成新南向工作小組，針對不同事項進行分組，每個月進行進度的盤點，將會邀請農糧署、漁業署等相關產業單位，盤點新南向國家需要合作的產業項目，或可以推動的農業技術。</w:t>
      </w:r>
    </w:p>
    <w:p w:rsidR="00085941" w:rsidRPr="00C77E77" w:rsidRDefault="00085941" w:rsidP="0001327A">
      <w:pPr>
        <w:pStyle w:val="ab"/>
        <w:numPr>
          <w:ilvl w:val="0"/>
          <w:numId w:val="52"/>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lastRenderedPageBreak/>
        <w:t>政府非常樂意與東協國家進行農業合作，有些國家例如越南、印尼、印度、馬來西亞來</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灣參訪，針對農業合作提出的需求，希望我國可以赴當地投資。但現階段而言，可以過去投資的</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商大部分都已經過去了，所以</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灣業者則比較重視輸出產品，但卻面臨當地人民的消費能力與市場大小。</w:t>
      </w:r>
    </w:p>
    <w:p w:rsidR="00085941" w:rsidRPr="00C77E77" w:rsidRDefault="00085941" w:rsidP="0001327A">
      <w:pPr>
        <w:pStyle w:val="ab"/>
        <w:numPr>
          <w:ilvl w:val="0"/>
          <w:numId w:val="52"/>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因為</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灣農地有限，也希望有海外基地可以做農業生產，但投資的法規與農業生產仍有許多不明確因素，以及對</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商投資的保障，也是必須瞭解。因此，目前雙邊需求似乎有所差異，這部分仍未取得一個平衡點。</w:t>
      </w:r>
    </w:p>
    <w:p w:rsidR="00085941" w:rsidRPr="00C77E77" w:rsidRDefault="00085941" w:rsidP="0001327A">
      <w:pPr>
        <w:pStyle w:val="ab"/>
        <w:numPr>
          <w:ilvl w:val="0"/>
          <w:numId w:val="47"/>
        </w:numPr>
        <w:adjustRightInd w:val="0"/>
        <w:snapToGrid w:val="0"/>
        <w:spacing w:beforeLines="50" w:before="180" w:afterLines="50" w:after="180" w:line="500" w:lineRule="exact"/>
        <w:ind w:leftChars="0" w:left="0" w:firstLine="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鄒玫君女士</w:t>
      </w:r>
    </w:p>
    <w:p w:rsidR="00085941" w:rsidRPr="00C77E77" w:rsidRDefault="00085941" w:rsidP="0001327A">
      <w:pPr>
        <w:pStyle w:val="ab"/>
        <w:numPr>
          <w:ilvl w:val="0"/>
          <w:numId w:val="53"/>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食藥署在藥政管理的範圍內一直很重視國際合作，跟南向較有相關則是參加</w:t>
      </w:r>
      <w:r w:rsidRPr="00C77E77">
        <w:rPr>
          <w:rFonts w:ascii="Times New Roman" w:eastAsia="標楷體" w:hAnsi="Times New Roman" w:cs="Times New Roman"/>
          <w:color w:val="000000"/>
          <w:sz w:val="28"/>
          <w:szCs w:val="28"/>
        </w:rPr>
        <w:t>APEC</w:t>
      </w:r>
      <w:r w:rsidRPr="00C77E77">
        <w:rPr>
          <w:rFonts w:ascii="Times New Roman" w:eastAsia="標楷體" w:hAnsi="Times New Roman" w:cs="Times New Roman"/>
          <w:color w:val="000000"/>
          <w:sz w:val="28"/>
          <w:szCs w:val="28"/>
        </w:rPr>
        <w:t>，我國在</w:t>
      </w:r>
      <w:r w:rsidRPr="00C77E77">
        <w:rPr>
          <w:rFonts w:ascii="Times New Roman" w:eastAsia="標楷體" w:hAnsi="Times New Roman" w:cs="Times New Roman"/>
          <w:color w:val="000000"/>
          <w:sz w:val="28"/>
          <w:szCs w:val="28"/>
        </w:rPr>
        <w:t>APEC</w:t>
      </w:r>
      <w:r w:rsidRPr="00C77E77">
        <w:rPr>
          <w:rFonts w:ascii="Times New Roman" w:eastAsia="標楷體" w:hAnsi="Times New Roman" w:cs="Times New Roman"/>
          <w:color w:val="000000"/>
          <w:sz w:val="28"/>
          <w:szCs w:val="28"/>
        </w:rPr>
        <w:t>都有主導過藥品與醫療器材議題。包括藥品優良查驗登記規範，另外比較特別是體外診斷醫療器材，臺灣更是主導單位，很多法規也是由臺灣起草，然後認定。</w:t>
      </w:r>
    </w:p>
    <w:p w:rsidR="00085941" w:rsidRPr="00C77E77" w:rsidRDefault="00085941" w:rsidP="0001327A">
      <w:pPr>
        <w:pStyle w:val="ab"/>
        <w:numPr>
          <w:ilvl w:val="0"/>
          <w:numId w:val="53"/>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加入</w:t>
      </w:r>
      <w:r w:rsidRPr="00C77E77">
        <w:rPr>
          <w:rFonts w:ascii="Times New Roman" w:eastAsia="標楷體" w:hAnsi="Times New Roman" w:cs="Times New Roman"/>
          <w:color w:val="000000"/>
          <w:sz w:val="28"/>
          <w:szCs w:val="28"/>
        </w:rPr>
        <w:t xml:space="preserve">PIC/S </w:t>
      </w:r>
      <w:r w:rsidRPr="00C77E77">
        <w:rPr>
          <w:rFonts w:ascii="Times New Roman" w:eastAsia="標楷體" w:hAnsi="Times New Roman" w:cs="Times New Roman"/>
          <w:color w:val="000000"/>
          <w:sz w:val="28"/>
          <w:szCs w:val="28"/>
        </w:rPr>
        <w:t>會員國是</w:t>
      </w:r>
      <w:r w:rsidRPr="00C77E77">
        <w:rPr>
          <w:rFonts w:ascii="Times New Roman" w:eastAsia="標楷體" w:hAnsi="Times New Roman" w:cs="Times New Roman"/>
          <w:color w:val="000000"/>
          <w:sz w:val="28"/>
          <w:szCs w:val="28"/>
        </w:rPr>
        <w:t>GMP</w:t>
      </w:r>
      <w:r w:rsidRPr="00C77E77">
        <w:rPr>
          <w:rFonts w:ascii="Times New Roman" w:eastAsia="標楷體" w:hAnsi="Times New Roman" w:cs="Times New Roman"/>
          <w:color w:val="000000"/>
          <w:sz w:val="28"/>
          <w:szCs w:val="28"/>
        </w:rPr>
        <w:t>稽查國際的組織，實質效果為東協</w:t>
      </w:r>
      <w:r w:rsidRPr="00C77E77">
        <w:rPr>
          <w:rFonts w:ascii="Times New Roman" w:eastAsia="標楷體" w:hAnsi="Times New Roman" w:cs="Times New Roman"/>
          <w:color w:val="000000"/>
          <w:sz w:val="28"/>
          <w:szCs w:val="28"/>
        </w:rPr>
        <w:t>10</w:t>
      </w:r>
      <w:r w:rsidRPr="00C77E77">
        <w:rPr>
          <w:rFonts w:ascii="Times New Roman" w:eastAsia="標楷體" w:hAnsi="Times New Roman" w:cs="Times New Roman"/>
          <w:color w:val="000000"/>
          <w:sz w:val="28"/>
          <w:szCs w:val="28"/>
        </w:rPr>
        <w:t>國，還有其他國家都直接採認臺灣</w:t>
      </w:r>
      <w:r w:rsidRPr="00C77E77">
        <w:rPr>
          <w:rFonts w:ascii="Times New Roman" w:eastAsia="標楷體" w:hAnsi="Times New Roman" w:cs="Times New Roman"/>
          <w:color w:val="000000"/>
          <w:sz w:val="28"/>
          <w:szCs w:val="28"/>
        </w:rPr>
        <w:t>GMP</w:t>
      </w:r>
      <w:r w:rsidRPr="00C77E77">
        <w:rPr>
          <w:rFonts w:ascii="Times New Roman" w:eastAsia="標楷體" w:hAnsi="Times New Roman" w:cs="Times New Roman"/>
          <w:color w:val="000000"/>
          <w:sz w:val="28"/>
          <w:szCs w:val="28"/>
        </w:rPr>
        <w:t>稽查的結果，這是非常大的突破。換句話說，如果產業界計畫在東協國家將產品上市，因為臺灣加入了</w:t>
      </w:r>
      <w:r w:rsidRPr="00C77E77">
        <w:rPr>
          <w:rFonts w:ascii="Times New Roman" w:eastAsia="標楷體" w:hAnsi="Times New Roman" w:cs="Times New Roman"/>
          <w:color w:val="000000"/>
          <w:sz w:val="28"/>
          <w:szCs w:val="28"/>
        </w:rPr>
        <w:t>PIC/S</w:t>
      </w:r>
      <w:r w:rsidRPr="00C77E77">
        <w:rPr>
          <w:rFonts w:ascii="Times New Roman" w:eastAsia="標楷體" w:hAnsi="Times New Roman" w:cs="Times New Roman"/>
          <w:color w:val="000000"/>
          <w:sz w:val="28"/>
          <w:szCs w:val="28"/>
        </w:rPr>
        <w:t>平</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，就可以免除查廠部分。</w:t>
      </w:r>
    </w:p>
    <w:p w:rsidR="00085941" w:rsidRPr="00C77E77" w:rsidRDefault="00085941" w:rsidP="0001327A">
      <w:pPr>
        <w:pStyle w:val="ab"/>
        <w:numPr>
          <w:ilvl w:val="0"/>
          <w:numId w:val="53"/>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在雙邊部分，臺灣最近與菲律賓簽訂一份</w:t>
      </w:r>
      <w:r w:rsidRPr="00C77E77">
        <w:rPr>
          <w:rFonts w:ascii="Times New Roman" w:eastAsia="標楷體" w:hAnsi="Times New Roman" w:cs="Times New Roman"/>
          <w:color w:val="000000"/>
          <w:sz w:val="28"/>
          <w:szCs w:val="28"/>
        </w:rPr>
        <w:t>MOU</w:t>
      </w:r>
      <w:r w:rsidRPr="00C77E77">
        <w:rPr>
          <w:rFonts w:ascii="Times New Roman" w:eastAsia="標楷體" w:hAnsi="Times New Roman" w:cs="Times New Roman"/>
          <w:color w:val="000000"/>
          <w:sz w:val="28"/>
          <w:szCs w:val="28"/>
        </w:rPr>
        <w:t>協議，包括資訊、人員訓練、臨床試驗以及疫苗合作開發等交流，這些是</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菲較為具體的合作項目，其他尚再討論，包括</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馬、</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越、</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緬都有一些議題正在進行中。未來包括藥政法規的交流、資訊交換、訊息通報。另一方面，除了查廠之外，還有實驗室的互認結果，都是將來的目標，甚至檢驗技術的交流，都是值得加強的層面。</w:t>
      </w:r>
    </w:p>
    <w:p w:rsidR="00085941" w:rsidRPr="00C77E77" w:rsidRDefault="00085941" w:rsidP="0001327A">
      <w:pPr>
        <w:pStyle w:val="ab"/>
        <w:numPr>
          <w:ilvl w:val="0"/>
          <w:numId w:val="53"/>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過去兩年，衛福部也有舉辦醫療器材與藥品的國際研討會，也有邀請南向的國家參與，促進交流，</w:t>
      </w:r>
      <w:r w:rsidRPr="00C77E77">
        <w:rPr>
          <w:rFonts w:ascii="Times New Roman" w:eastAsia="標楷體" w:hAnsi="Times New Roman" w:cs="Times New Roman"/>
          <w:color w:val="000000"/>
          <w:sz w:val="28"/>
          <w:szCs w:val="28"/>
        </w:rPr>
        <w:t>10</w:t>
      </w:r>
      <w:r w:rsidRPr="00C77E77">
        <w:rPr>
          <w:rFonts w:ascii="Times New Roman" w:eastAsia="標楷體" w:hAnsi="Times New Roman" w:cs="Times New Roman"/>
          <w:color w:val="000000"/>
          <w:sz w:val="28"/>
          <w:szCs w:val="28"/>
        </w:rPr>
        <w:t>月份將舉辦全球健康論壇，亦會邀請</w:t>
      </w:r>
      <w:r w:rsidRPr="00C77E77">
        <w:rPr>
          <w:rFonts w:ascii="Times New Roman" w:eastAsia="標楷體" w:hAnsi="Times New Roman" w:cs="Times New Roman"/>
          <w:color w:val="000000"/>
          <w:sz w:val="28"/>
          <w:szCs w:val="28"/>
        </w:rPr>
        <w:t>APEC</w:t>
      </w:r>
      <w:r w:rsidRPr="00C77E77">
        <w:rPr>
          <w:rFonts w:ascii="Times New Roman" w:eastAsia="標楷體" w:hAnsi="Times New Roman" w:cs="Times New Roman"/>
          <w:color w:val="000000"/>
          <w:sz w:val="28"/>
          <w:szCs w:val="28"/>
        </w:rPr>
        <w:lastRenderedPageBreak/>
        <w:t>國家。並特別辦理南向的論壇，將會實質的討論到幾項議題，包括如何透過國際合作消弭貿易障礙，這對產業界會幫助很大。</w:t>
      </w:r>
    </w:p>
    <w:p w:rsidR="00085941" w:rsidRPr="00C77E77" w:rsidRDefault="00085941" w:rsidP="0001327A">
      <w:pPr>
        <w:pStyle w:val="ab"/>
        <w:numPr>
          <w:ilvl w:val="0"/>
          <w:numId w:val="53"/>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衛福部為因應南向政策，將陸續辦理醫療器材與藥品研討會，並加強邀請南向國家的政府官員，以及業者共同交流。</w:t>
      </w:r>
    </w:p>
    <w:p w:rsidR="00085941" w:rsidRPr="00C77E77" w:rsidRDefault="00085941" w:rsidP="0001327A">
      <w:pPr>
        <w:pStyle w:val="ab"/>
        <w:numPr>
          <w:ilvl w:val="0"/>
          <w:numId w:val="53"/>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食品藥物管理局的官方網站，已成立藥物新南向政策專區，提供相關資訊，例如簽訂</w:t>
      </w:r>
      <w:r w:rsidRPr="00C77E77">
        <w:rPr>
          <w:rFonts w:ascii="Times New Roman" w:eastAsia="標楷體" w:hAnsi="Times New Roman" w:cs="Times New Roman"/>
          <w:color w:val="000000"/>
          <w:sz w:val="28"/>
          <w:szCs w:val="28"/>
        </w:rPr>
        <w:t>MOU</w:t>
      </w:r>
      <w:r w:rsidRPr="00C77E77">
        <w:rPr>
          <w:rFonts w:ascii="Times New Roman" w:eastAsia="標楷體" w:hAnsi="Times New Roman" w:cs="Times New Roman"/>
          <w:color w:val="000000"/>
          <w:sz w:val="28"/>
          <w:szCs w:val="28"/>
        </w:rPr>
        <w:t>，研討會、及藥政管理等資訊，以便大眾參考。</w:t>
      </w:r>
    </w:p>
    <w:p w:rsidR="00085941" w:rsidRPr="00C77E77" w:rsidRDefault="00085941" w:rsidP="0001327A">
      <w:pPr>
        <w:pStyle w:val="ab"/>
        <w:numPr>
          <w:ilvl w:val="0"/>
          <w:numId w:val="53"/>
        </w:numPr>
        <w:autoSpaceDE w:val="0"/>
        <w:autoSpaceDN w:val="0"/>
        <w:adjustRightIn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行政院生技產業策略諮議委員會</w:t>
      </w:r>
      <w:r w:rsidR="00C262D1" w:rsidRPr="00C77E77">
        <w:rPr>
          <w:rFonts w:ascii="Times New Roman" w:eastAsia="標楷體" w:hAnsi="Times New Roman" w:cs="Times New Roman"/>
          <w:color w:val="000000"/>
          <w:sz w:val="28"/>
          <w:szCs w:val="28"/>
        </w:rPr>
        <w:t>（</w:t>
      </w:r>
      <w:r w:rsidR="00C262D1" w:rsidRPr="00C77E77">
        <w:rPr>
          <w:rFonts w:ascii="Times New Roman" w:eastAsia="標楷體" w:hAnsi="Times New Roman" w:cs="Times New Roman"/>
          <w:color w:val="000000"/>
          <w:sz w:val="28"/>
          <w:szCs w:val="28"/>
        </w:rPr>
        <w:t>BTC</w:t>
      </w:r>
      <w:r w:rsidR="00C262D1" w:rsidRPr="00C77E77">
        <w:rPr>
          <w:rFonts w:ascii="Times New Roman" w:eastAsia="標楷體" w:hAnsi="Times New Roman" w:cs="Times New Roman"/>
          <w:color w:val="000000"/>
          <w:sz w:val="28"/>
          <w:szCs w:val="28"/>
        </w:rPr>
        <w:t>）</w:t>
      </w:r>
      <w:r w:rsidRPr="00C77E77">
        <w:rPr>
          <w:rFonts w:ascii="Times New Roman" w:eastAsia="標楷體" w:hAnsi="Times New Roman" w:cs="Times New Roman"/>
          <w:color w:val="000000"/>
          <w:sz w:val="28"/>
          <w:szCs w:val="28"/>
        </w:rPr>
        <w:t>會議主要的功能為生技產業發展的整合，整合政府所有各部會的資源，最近政府有所謂六大方案，指出人才要開放、法規要鬆綁、智財要保護、國際要接軌、選題要有未來性，以及生醫大數據要建構六項。其中有一項是資源整合，是全方位在看生技產業如何發展，也有具體的目標，藥品是由工業局主導，醫療器材示由技術處做報告，其實兩個都是非常重要的單位，也都非常重視業者的意見。</w:t>
      </w:r>
    </w:p>
    <w:p w:rsidR="00085941" w:rsidRPr="00C77E77" w:rsidRDefault="00085941" w:rsidP="0001327A">
      <w:pPr>
        <w:pStyle w:val="ab"/>
        <w:numPr>
          <w:ilvl w:val="0"/>
          <w:numId w:val="53"/>
        </w:numPr>
        <w:autoSpaceDE w:val="0"/>
        <w:autoSpaceDN w:val="0"/>
        <w:adjustRightInd w:val="0"/>
        <w:snapToGrid w:val="0"/>
        <w:spacing w:before="50" w:afterLines="50" w:after="180" w:line="500" w:lineRule="exact"/>
        <w:ind w:leftChars="0" w:left="560" w:hangingChars="200" w:hanging="56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政府如何促成分工整合，是否由政府當領頭羊，或是市場自由競爭，衛福部主要提供法規上的協助。最近有跨部會的合作，誠如剛剛提到學名藥的國際化，輔導產業進軍國際，衛福部可以協助外銷的法規障礙，經濟部協助市場行銷和採購，然並非拿到許可證就可以很順利發展。</w:t>
      </w:r>
    </w:p>
    <w:p w:rsidR="003F68D2" w:rsidRPr="00C77E77" w:rsidRDefault="00085941" w:rsidP="00085941">
      <w:pPr>
        <w:widowControl/>
        <w:spacing w:before="50" w:afterLines="50" w:after="180" w:line="500" w:lineRule="exact"/>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br w:type="page"/>
      </w:r>
    </w:p>
    <w:p w:rsidR="003F68D2" w:rsidRPr="00C77E77" w:rsidRDefault="003F68D2">
      <w:pPr>
        <w:widowControl/>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lastRenderedPageBreak/>
        <w:br w:type="page"/>
      </w:r>
    </w:p>
    <w:p w:rsidR="00EC7305" w:rsidRPr="00C77E77" w:rsidRDefault="00EC7305" w:rsidP="002576FE">
      <w:pPr>
        <w:pStyle w:val="1"/>
        <w:rPr>
          <w:rFonts w:ascii="Times New Roman" w:eastAsia="標楷體" w:hAnsi="Times New Roman" w:cs="Times New Roman"/>
          <w:sz w:val="36"/>
          <w:szCs w:val="28"/>
        </w:rPr>
      </w:pPr>
      <w:bookmarkStart w:id="180" w:name="_Toc470676335"/>
      <w:r w:rsidRPr="00C77E77">
        <w:rPr>
          <w:rFonts w:ascii="Times New Roman" w:eastAsia="標楷體" w:hAnsi="Times New Roman" w:cs="Times New Roman"/>
          <w:sz w:val="36"/>
          <w:szCs w:val="28"/>
        </w:rPr>
        <w:lastRenderedPageBreak/>
        <w:t>附錄</w:t>
      </w:r>
      <w:r w:rsidR="0039441E" w:rsidRPr="00C77E77">
        <w:rPr>
          <w:rFonts w:ascii="Times New Roman" w:eastAsia="標楷體" w:hAnsi="Times New Roman" w:cs="Times New Roman"/>
          <w:sz w:val="36"/>
          <w:szCs w:val="28"/>
        </w:rPr>
        <w:t>八</w:t>
      </w:r>
      <w:r w:rsidRPr="00C77E77">
        <w:rPr>
          <w:rFonts w:ascii="Times New Roman" w:eastAsia="標楷體" w:hAnsi="Times New Roman" w:cs="Times New Roman"/>
          <w:sz w:val="36"/>
          <w:szCs w:val="28"/>
        </w:rPr>
        <w:t>：「新南向產業合作：印度專題」座談會紀錄摘要</w:t>
      </w:r>
      <w:bookmarkEnd w:id="180"/>
    </w:p>
    <w:p w:rsidR="00EC7305" w:rsidRPr="00C77E77" w:rsidRDefault="00EC7305" w:rsidP="0001327A">
      <w:pPr>
        <w:pStyle w:val="ab"/>
        <w:numPr>
          <w:ilvl w:val="0"/>
          <w:numId w:val="64"/>
        </w:numPr>
        <w:tabs>
          <w:tab w:val="left" w:pos="567"/>
        </w:tabs>
        <w:adjustRightInd w:val="0"/>
        <w:snapToGrid w:val="0"/>
        <w:spacing w:line="360" w:lineRule="exact"/>
        <w:ind w:leftChars="0" w:left="426" w:hanging="426"/>
        <w:rPr>
          <w:rFonts w:ascii="Times New Roman" w:eastAsia="標楷體" w:hAnsi="Times New Roman" w:cs="Times New Roman"/>
          <w:sz w:val="28"/>
          <w:szCs w:val="28"/>
        </w:rPr>
      </w:pPr>
      <w:r w:rsidRPr="00C77E77">
        <w:rPr>
          <w:rFonts w:ascii="Times New Roman" w:eastAsia="標楷體" w:hAnsi="Times New Roman" w:cs="Times New Roman"/>
          <w:b/>
          <w:sz w:val="28"/>
          <w:szCs w:val="28"/>
        </w:rPr>
        <w:t>主辦單位：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灣經濟研究院</w:t>
      </w:r>
    </w:p>
    <w:p w:rsidR="00EC7305" w:rsidRPr="00C77E77" w:rsidRDefault="00EC7305" w:rsidP="0001327A">
      <w:pPr>
        <w:pStyle w:val="ab"/>
        <w:numPr>
          <w:ilvl w:val="0"/>
          <w:numId w:val="64"/>
        </w:numPr>
        <w:tabs>
          <w:tab w:val="left" w:pos="567"/>
        </w:tabs>
        <w:adjustRightInd w:val="0"/>
        <w:snapToGrid w:val="0"/>
        <w:spacing w:line="360" w:lineRule="exact"/>
        <w:ind w:leftChars="0" w:left="426" w:hanging="426"/>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時</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間：</w:t>
      </w:r>
      <w:r w:rsidRPr="00C77E77">
        <w:rPr>
          <w:rFonts w:ascii="Times New Roman" w:eastAsia="標楷體" w:hAnsi="Times New Roman" w:cs="Times New Roman"/>
          <w:sz w:val="28"/>
          <w:szCs w:val="28"/>
        </w:rPr>
        <w:t>105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24</w:t>
      </w:r>
      <w:r w:rsidRPr="00C77E77">
        <w:rPr>
          <w:rFonts w:ascii="Times New Roman" w:eastAsia="標楷體" w:hAnsi="Times New Roman" w:cs="Times New Roman"/>
          <w:sz w:val="28"/>
          <w:szCs w:val="28"/>
        </w:rPr>
        <w:t>日（週一）下午二時至四時</w:t>
      </w:r>
    </w:p>
    <w:p w:rsidR="00EC7305" w:rsidRPr="00C77E77" w:rsidRDefault="00EC7305" w:rsidP="0001327A">
      <w:pPr>
        <w:pStyle w:val="ab"/>
        <w:numPr>
          <w:ilvl w:val="0"/>
          <w:numId w:val="64"/>
        </w:numPr>
        <w:adjustRightInd w:val="0"/>
        <w:snapToGrid w:val="0"/>
        <w:spacing w:line="360" w:lineRule="exact"/>
        <w:ind w:leftChars="0" w:left="567" w:hanging="567"/>
        <w:rPr>
          <w:rFonts w:ascii="Times New Roman" w:eastAsia="標楷體" w:hAnsi="Times New Roman" w:cs="Times New Roman"/>
          <w:sz w:val="28"/>
          <w:szCs w:val="28"/>
        </w:rPr>
      </w:pPr>
      <w:r w:rsidRPr="00C77E77">
        <w:rPr>
          <w:rFonts w:ascii="Times New Roman" w:eastAsia="標楷體" w:hAnsi="Times New Roman" w:cs="Times New Roman"/>
          <w:b/>
          <w:sz w:val="28"/>
          <w:szCs w:val="28"/>
        </w:rPr>
        <w:t>地</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點：</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經院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泥第三會議室（德惠街</w:t>
      </w:r>
      <w:r w:rsidRPr="00C77E77">
        <w:rPr>
          <w:rFonts w:ascii="Times New Roman" w:eastAsia="標楷體" w:hAnsi="Times New Roman" w:cs="Times New Roman"/>
          <w:color w:val="000000" w:themeColor="text1"/>
          <w:sz w:val="28"/>
          <w:szCs w:val="28"/>
        </w:rPr>
        <w:t>16-5</w:t>
      </w:r>
      <w:r w:rsidRPr="00C77E77">
        <w:rPr>
          <w:rFonts w:ascii="Times New Roman" w:eastAsia="標楷體" w:hAnsi="Times New Roman" w:cs="Times New Roman"/>
          <w:sz w:val="28"/>
          <w:szCs w:val="28"/>
        </w:rPr>
        <w:t>號</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樓）</w:t>
      </w:r>
    </w:p>
    <w:p w:rsidR="00EC7305" w:rsidRPr="00C77E77" w:rsidRDefault="00EC7305" w:rsidP="0001327A">
      <w:pPr>
        <w:pStyle w:val="ab"/>
        <w:numPr>
          <w:ilvl w:val="0"/>
          <w:numId w:val="64"/>
        </w:numPr>
        <w:adjustRightInd w:val="0"/>
        <w:snapToGrid w:val="0"/>
        <w:spacing w:line="360" w:lineRule="exact"/>
        <w:ind w:leftChars="0" w:left="567" w:hanging="567"/>
        <w:rPr>
          <w:rFonts w:ascii="Times New Roman" w:eastAsia="標楷體" w:hAnsi="Times New Roman" w:cs="Times New Roman"/>
          <w:sz w:val="28"/>
          <w:szCs w:val="28"/>
        </w:rPr>
      </w:pPr>
      <w:r w:rsidRPr="00C77E77">
        <w:rPr>
          <w:rFonts w:ascii="Times New Roman" w:eastAsia="標楷體" w:hAnsi="Times New Roman" w:cs="Times New Roman"/>
          <w:b/>
          <w:sz w:val="28"/>
          <w:szCs w:val="28"/>
        </w:rPr>
        <w:t>主</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持</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人：</w:t>
      </w:r>
      <w:r w:rsidRPr="00C77E77">
        <w:rPr>
          <w:rFonts w:ascii="Times New Roman" w:eastAsia="標楷體" w:hAnsi="Times New Roman" w:cs="Times New Roman"/>
          <w:sz w:val="28"/>
          <w:szCs w:val="28"/>
        </w:rPr>
        <w:t>方天賜（國立清華大學助理教授）</w:t>
      </w:r>
    </w:p>
    <w:p w:rsidR="00EC7305" w:rsidRPr="00C77E77" w:rsidRDefault="00EC7305" w:rsidP="0001327A">
      <w:pPr>
        <w:pStyle w:val="ab"/>
        <w:numPr>
          <w:ilvl w:val="0"/>
          <w:numId w:val="64"/>
        </w:numPr>
        <w:adjustRightInd w:val="0"/>
        <w:snapToGrid w:val="0"/>
        <w:spacing w:line="360" w:lineRule="exact"/>
        <w:ind w:leftChars="0" w:left="567" w:hanging="567"/>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宗</w:t>
      </w:r>
      <w:r w:rsidRPr="00C77E77">
        <w:rPr>
          <w:rFonts w:ascii="Times New Roman" w:eastAsia="標楷體" w:hAnsi="Times New Roman" w:cs="Times New Roman"/>
          <w:b/>
          <w:sz w:val="28"/>
          <w:szCs w:val="28"/>
        </w:rPr>
        <w:t xml:space="preserve">    </w:t>
      </w:r>
      <w:r w:rsidRPr="00C77E77">
        <w:rPr>
          <w:rFonts w:ascii="Times New Roman" w:eastAsia="標楷體" w:hAnsi="Times New Roman" w:cs="Times New Roman"/>
          <w:b/>
          <w:sz w:val="28"/>
          <w:szCs w:val="28"/>
        </w:rPr>
        <w:t>旨：</w:t>
      </w:r>
    </w:p>
    <w:p w:rsidR="00EC7305" w:rsidRPr="00C77E77" w:rsidRDefault="00EC7305" w:rsidP="00EC7305">
      <w:pPr>
        <w:tabs>
          <w:tab w:val="left" w:pos="567"/>
        </w:tabs>
        <w:adjustRightInd w:val="0"/>
        <w:snapToGrid w:val="0"/>
        <w:spacing w:line="360" w:lineRule="exact"/>
        <w:ind w:leftChars="236" w:left="566" w:firstLineChars="55" w:firstLine="154"/>
        <w:jc w:val="both"/>
        <w:rPr>
          <w:rFonts w:ascii="Times New Roman" w:eastAsia="標楷體" w:hAnsi="Times New Roman" w:cs="Times New Roman"/>
          <w:color w:val="000000" w:themeColor="text1"/>
          <w:spacing w:val="14"/>
          <w:sz w:val="28"/>
          <w:szCs w:val="28"/>
        </w:rPr>
      </w:pPr>
      <w:r w:rsidRPr="00C77E77">
        <w:rPr>
          <w:rFonts w:ascii="Times New Roman" w:eastAsia="標楷體" w:hAnsi="Times New Roman" w:cs="Times New Roman"/>
          <w:color w:val="000000" w:themeColor="text1"/>
          <w:sz w:val="28"/>
          <w:szCs w:val="28"/>
        </w:rPr>
        <w:tab/>
        <w:t xml:space="preserve"> </w:t>
      </w:r>
      <w:r w:rsidRPr="00C77E77">
        <w:rPr>
          <w:rFonts w:ascii="Times New Roman" w:eastAsia="標楷體" w:hAnsi="Times New Roman" w:cs="Times New Roman"/>
          <w:color w:val="000000" w:themeColor="text1"/>
          <w:sz w:val="28"/>
          <w:szCs w:val="28"/>
        </w:rPr>
        <w:t>臺灣經濟研究院辦理國家發展委員會委託之「</w:t>
      </w:r>
      <w:r w:rsidRPr="00C77E77">
        <w:rPr>
          <w:rFonts w:ascii="Times New Roman" w:eastAsia="標楷體" w:hAnsi="Times New Roman" w:cs="Times New Roman"/>
          <w:color w:val="000000" w:themeColor="text1"/>
          <w:sz w:val="28"/>
          <w:szCs w:val="28"/>
        </w:rPr>
        <w:t>105</w:t>
      </w:r>
      <w:r w:rsidRPr="00C77E77">
        <w:rPr>
          <w:rFonts w:ascii="Times New Roman" w:eastAsia="標楷體" w:hAnsi="Times New Roman" w:cs="Times New Roman"/>
          <w:color w:val="000000" w:themeColor="text1"/>
          <w:sz w:val="28"/>
          <w:szCs w:val="28"/>
        </w:rPr>
        <w:t>年度東南亞及南亞經貿情勢暨策略規劃」研究案，擬召開三場座談會議邀請相關業者與會。探討我國「十大系統輸出」（包括綠色運輸、智慧物流、智慧校園、</w:t>
      </w:r>
      <w:r w:rsidRPr="00C77E77">
        <w:rPr>
          <w:rFonts w:ascii="Times New Roman" w:eastAsia="標楷體" w:hAnsi="Times New Roman" w:cs="Times New Roman"/>
          <w:color w:val="000000" w:themeColor="text1"/>
          <w:sz w:val="28"/>
          <w:szCs w:val="28"/>
        </w:rPr>
        <w:t>LED</w:t>
      </w:r>
      <w:r w:rsidRPr="00C77E77">
        <w:rPr>
          <w:rFonts w:ascii="Times New Roman" w:eastAsia="標楷體" w:hAnsi="Times New Roman" w:cs="Times New Roman"/>
          <w:color w:val="000000" w:themeColor="text1"/>
          <w:sz w:val="28"/>
          <w:szCs w:val="28"/>
        </w:rPr>
        <w:t>照明、電子收費、智慧健康、電子化政府、太陽能、雲端系統以及石化）、新農業及電子商務等十二項產業拓展東協及印度市場之現況，以及該等產業在政府「新南向政策」下與東協和印度雙向合作之機會與挑戰。</w:t>
      </w:r>
    </w:p>
    <w:p w:rsidR="00EC7305" w:rsidRPr="00C77E77" w:rsidRDefault="00EC7305" w:rsidP="0001327A">
      <w:pPr>
        <w:pStyle w:val="ab"/>
        <w:numPr>
          <w:ilvl w:val="0"/>
          <w:numId w:val="64"/>
        </w:numPr>
        <w:adjustRightInd w:val="0"/>
        <w:snapToGrid w:val="0"/>
        <w:spacing w:line="360" w:lineRule="exact"/>
        <w:ind w:leftChars="0" w:left="567" w:hanging="567"/>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討論題綱：</w:t>
      </w:r>
    </w:p>
    <w:p w:rsidR="00EC7305" w:rsidRPr="00C77E77" w:rsidRDefault="00EC7305" w:rsidP="0001327A">
      <w:pPr>
        <w:numPr>
          <w:ilvl w:val="0"/>
          <w:numId w:val="66"/>
        </w:numPr>
        <w:tabs>
          <w:tab w:val="left" w:pos="709"/>
          <w:tab w:val="left" w:pos="851"/>
        </w:tabs>
        <w:adjustRightInd w:val="0"/>
        <w:snapToGrid w:val="0"/>
        <w:spacing w:line="36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我國新農業、電子商務、智慧物流、智慧城市等產業在印度的發展現況與市場潛力為何？面對何種困難與挑戰？</w:t>
      </w:r>
    </w:p>
    <w:p w:rsidR="00EC7305" w:rsidRPr="00C77E77" w:rsidRDefault="00EC7305" w:rsidP="0001327A">
      <w:pPr>
        <w:numPr>
          <w:ilvl w:val="0"/>
          <w:numId w:val="66"/>
        </w:numPr>
        <w:tabs>
          <w:tab w:val="left" w:pos="709"/>
        </w:tabs>
        <w:adjustRightInd w:val="0"/>
        <w:snapToGrid w:val="0"/>
        <w:spacing w:line="360" w:lineRule="exact"/>
        <w:ind w:left="993" w:hanging="284"/>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我國新農業、電子商務、智慧物流、智慧城市等產業如何在佈局印度的過程中達到「雙向合作」？同時確保在當地的發展以及在臺灣本土的根基？</w:t>
      </w:r>
      <w:r w:rsidRPr="00C77E77">
        <w:rPr>
          <w:rFonts w:ascii="Times New Roman" w:eastAsia="標楷體" w:hAnsi="Times New Roman" w:cs="Times New Roman"/>
          <w:b/>
          <w:sz w:val="28"/>
          <w:szCs w:val="28"/>
        </w:rPr>
        <w:t xml:space="preserve"> </w:t>
      </w:r>
    </w:p>
    <w:p w:rsidR="00EC7305" w:rsidRPr="00C77E77" w:rsidRDefault="00EC7305" w:rsidP="0001327A">
      <w:pPr>
        <w:numPr>
          <w:ilvl w:val="0"/>
          <w:numId w:val="66"/>
        </w:numPr>
        <w:tabs>
          <w:tab w:val="left" w:pos="709"/>
        </w:tabs>
        <w:adjustRightInd w:val="0"/>
        <w:snapToGrid w:val="0"/>
        <w:spacing w:line="36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希望「新南向政策」如何協助我國新農業、電子商務、智慧物流、智慧城市等產業在印度的發展？</w:t>
      </w:r>
    </w:p>
    <w:p w:rsidR="00EC7305" w:rsidRPr="00C77E77" w:rsidRDefault="00EC7305" w:rsidP="0001327A">
      <w:pPr>
        <w:numPr>
          <w:ilvl w:val="0"/>
          <w:numId w:val="66"/>
        </w:numPr>
        <w:tabs>
          <w:tab w:val="left" w:pos="709"/>
        </w:tabs>
        <w:adjustRightInd w:val="0"/>
        <w:snapToGrid w:val="0"/>
        <w:spacing w:line="360" w:lineRule="exact"/>
        <w:ind w:left="993"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其他促進臺、印經貿交流及產業合作之建議？</w:t>
      </w:r>
    </w:p>
    <w:p w:rsidR="00EC7305" w:rsidRPr="00C77E77" w:rsidRDefault="00EC7305" w:rsidP="0001327A">
      <w:pPr>
        <w:pStyle w:val="ab"/>
        <w:numPr>
          <w:ilvl w:val="0"/>
          <w:numId w:val="64"/>
        </w:numPr>
        <w:adjustRightInd w:val="0"/>
        <w:snapToGrid w:val="0"/>
        <w:spacing w:line="360" w:lineRule="exact"/>
        <w:ind w:leftChars="0" w:left="567" w:hanging="567"/>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與談人</w:t>
      </w:r>
      <w:r w:rsidRPr="00C77E77">
        <w:rPr>
          <w:rFonts w:ascii="Times New Roman" w:eastAsia="標楷體" w:hAnsi="Times New Roman" w:cs="Times New Roman"/>
          <w:sz w:val="28"/>
          <w:szCs w:val="28"/>
        </w:rPr>
        <w:t>（依姓名筆劃順序排列）</w:t>
      </w:r>
    </w:p>
    <w:p w:rsidR="00EC7305" w:rsidRPr="00C77E77" w:rsidRDefault="00EC7305" w:rsidP="0001327A">
      <w:pPr>
        <w:pStyle w:val="ab"/>
        <w:numPr>
          <w:ilvl w:val="0"/>
          <w:numId w:val="67"/>
        </w:numPr>
        <w:adjustRightInd w:val="0"/>
        <w:snapToGrid w:val="0"/>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何明豐先生（資策會國際處顧問印度專案負責人）</w:t>
      </w:r>
    </w:p>
    <w:p w:rsidR="00EC7305" w:rsidRPr="00C77E77" w:rsidRDefault="00EC7305" w:rsidP="0001327A">
      <w:pPr>
        <w:pStyle w:val="ab"/>
        <w:numPr>
          <w:ilvl w:val="0"/>
          <w:numId w:val="67"/>
        </w:numPr>
        <w:adjustRightInd w:val="0"/>
        <w:snapToGrid w:val="0"/>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李宜桓女士（</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北市電腦公會主任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印交流辦公室主任）</w:t>
      </w:r>
    </w:p>
    <w:p w:rsidR="00EC7305" w:rsidRPr="00C77E77" w:rsidRDefault="00EC7305" w:rsidP="0001327A">
      <w:pPr>
        <w:pStyle w:val="ab"/>
        <w:numPr>
          <w:ilvl w:val="0"/>
          <w:numId w:val="67"/>
        </w:numPr>
        <w:adjustRightInd w:val="0"/>
        <w:snapToGrid w:val="0"/>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李思嫺女士（雲科大通識中心兼任助理教授）</w:t>
      </w:r>
    </w:p>
    <w:p w:rsidR="00EC7305" w:rsidRPr="00C77E77" w:rsidRDefault="00EC7305" w:rsidP="0001327A">
      <w:pPr>
        <w:pStyle w:val="ab"/>
        <w:numPr>
          <w:ilvl w:val="0"/>
          <w:numId w:val="67"/>
        </w:numPr>
        <w:adjustRightInd w:val="0"/>
        <w:snapToGrid w:val="0"/>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林以君先生（聯合報記者印度專題負責人）</w:t>
      </w:r>
    </w:p>
    <w:p w:rsidR="00EC7305" w:rsidRPr="00C77E77" w:rsidRDefault="00EC7305" w:rsidP="0001327A">
      <w:pPr>
        <w:pStyle w:val="ab"/>
        <w:numPr>
          <w:ilvl w:val="0"/>
          <w:numId w:val="67"/>
        </w:numPr>
        <w:adjustRightInd w:val="0"/>
        <w:snapToGrid w:val="0"/>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馬尼克先生（</w:t>
      </w:r>
      <w:r w:rsidRPr="00C77E77">
        <w:rPr>
          <w:rFonts w:ascii="Times New Roman" w:eastAsia="標楷體" w:hAnsi="Times New Roman" w:cs="Times New Roman"/>
          <w:color w:val="000000" w:themeColor="text1"/>
          <w:sz w:val="28"/>
          <w:szCs w:val="28"/>
        </w:rPr>
        <w:t>Manik Kumar</w:t>
      </w:r>
      <w:r w:rsidRPr="00C77E77">
        <w:rPr>
          <w:rFonts w:ascii="Times New Roman" w:eastAsia="標楷體" w:hAnsi="Times New Roman" w:cs="Times New Roman"/>
          <w:color w:val="000000" w:themeColor="text1"/>
          <w:sz w:val="28"/>
          <w:szCs w:val="28"/>
        </w:rPr>
        <w:t>，迅宏科技股份有限公司銷售總監）</w:t>
      </w:r>
    </w:p>
    <w:p w:rsidR="00EC7305" w:rsidRPr="00C77E77" w:rsidRDefault="00EC7305" w:rsidP="0001327A">
      <w:pPr>
        <w:pStyle w:val="ab"/>
        <w:numPr>
          <w:ilvl w:val="0"/>
          <w:numId w:val="67"/>
        </w:numPr>
        <w:adjustRightInd w:val="0"/>
        <w:snapToGrid w:val="0"/>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張煜霖先生（經濟部投資業務處簡任秘書）</w:t>
      </w:r>
    </w:p>
    <w:p w:rsidR="00EC7305" w:rsidRPr="00C77E77" w:rsidRDefault="00EC7305" w:rsidP="0001327A">
      <w:pPr>
        <w:pStyle w:val="ab"/>
        <w:numPr>
          <w:ilvl w:val="0"/>
          <w:numId w:val="67"/>
        </w:numPr>
        <w:adjustRightInd w:val="0"/>
        <w:snapToGrid w:val="0"/>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陳華昇先生（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經院新興市場發展研究中心研究員）</w:t>
      </w:r>
    </w:p>
    <w:p w:rsidR="00EC7305" w:rsidRPr="00C77E77" w:rsidRDefault="00EC7305" w:rsidP="0001327A">
      <w:pPr>
        <w:pStyle w:val="ab"/>
        <w:numPr>
          <w:ilvl w:val="0"/>
          <w:numId w:val="67"/>
        </w:numPr>
        <w:adjustRightInd w:val="0"/>
        <w:snapToGrid w:val="0"/>
        <w:ind w:leftChars="0"/>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簡宏佳先生（迅宏科技經理</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大陸區銷售總監）</w:t>
      </w:r>
    </w:p>
    <w:p w:rsidR="00EC7305" w:rsidRPr="00C77E77" w:rsidRDefault="00EC7305" w:rsidP="0001327A">
      <w:pPr>
        <w:pStyle w:val="ab"/>
        <w:numPr>
          <w:ilvl w:val="0"/>
          <w:numId w:val="64"/>
        </w:numPr>
        <w:adjustRightInd w:val="0"/>
        <w:snapToGrid w:val="0"/>
        <w:ind w:leftChars="0" w:left="567" w:hanging="567"/>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會議紀錄摘要</w:t>
      </w:r>
    </w:p>
    <w:p w:rsidR="00EC7305" w:rsidRPr="00C77E77" w:rsidRDefault="00617DB6" w:rsidP="00EC7305">
      <w:pPr>
        <w:adjustRightInd w:val="0"/>
        <w:snapToGrid w:val="0"/>
        <w:spacing w:beforeLines="50" w:before="180" w:afterLines="50" w:after="1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一、</w:t>
      </w:r>
      <w:r w:rsidR="00EC7305" w:rsidRPr="00C77E77">
        <w:rPr>
          <w:rFonts w:ascii="Times New Roman" w:eastAsia="標楷體" w:hAnsi="Times New Roman" w:cs="Times New Roman"/>
          <w:color w:val="000000" w:themeColor="text1"/>
          <w:sz w:val="28"/>
          <w:szCs w:val="28"/>
        </w:rPr>
        <w:t>何明豐先生</w:t>
      </w:r>
    </w:p>
    <w:p w:rsidR="00EC7305" w:rsidRPr="00C77E77" w:rsidRDefault="00FD0D5A" w:rsidP="0001327A">
      <w:pPr>
        <w:pStyle w:val="ab"/>
        <w:numPr>
          <w:ilvl w:val="0"/>
          <w:numId w:val="57"/>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臺</w:t>
      </w:r>
      <w:r w:rsidR="00EC7305" w:rsidRPr="00C77E77">
        <w:rPr>
          <w:rFonts w:ascii="Times New Roman" w:eastAsia="標楷體" w:hAnsi="Times New Roman" w:cs="Times New Roman"/>
          <w:color w:val="000000" w:themeColor="text1"/>
          <w:sz w:val="28"/>
          <w:szCs w:val="28"/>
        </w:rPr>
        <w:t>北市的</w:t>
      </w:r>
      <w:r w:rsidR="00EC7305" w:rsidRPr="00C77E77">
        <w:rPr>
          <w:rFonts w:ascii="Times New Roman" w:eastAsia="標楷體" w:hAnsi="Times New Roman" w:cs="Times New Roman"/>
          <w:color w:val="000000" w:themeColor="text1"/>
          <w:sz w:val="28"/>
          <w:szCs w:val="28"/>
        </w:rPr>
        <w:t>Wifi</w:t>
      </w:r>
      <w:r w:rsidR="00EC7305" w:rsidRPr="00C77E77">
        <w:rPr>
          <w:rFonts w:ascii="Times New Roman" w:eastAsia="標楷體" w:hAnsi="Times New Roman" w:cs="Times New Roman"/>
          <w:color w:val="000000" w:themeColor="text1"/>
          <w:sz w:val="28"/>
          <w:szCs w:val="28"/>
        </w:rPr>
        <w:t>營運順暢，但是要應用到印度並不容易，印度為了節省經費，採取很多</w:t>
      </w:r>
      <w:r w:rsidR="00EC7305" w:rsidRPr="00C77E77">
        <w:rPr>
          <w:rFonts w:ascii="Times New Roman" w:eastAsia="標楷體" w:hAnsi="Times New Roman" w:cs="Times New Roman"/>
          <w:color w:val="000000" w:themeColor="text1"/>
          <w:sz w:val="28"/>
          <w:szCs w:val="28"/>
        </w:rPr>
        <w:t>PPP</w:t>
      </w:r>
      <w:r w:rsidR="00EC7305" w:rsidRPr="00C77E77">
        <w:rPr>
          <w:rFonts w:ascii="Times New Roman" w:eastAsia="標楷體" w:hAnsi="Times New Roman" w:cs="Times New Roman"/>
          <w:color w:val="000000" w:themeColor="text1"/>
          <w:sz w:val="28"/>
          <w:szCs w:val="28"/>
        </w:rPr>
        <w:t>模式（</w:t>
      </w:r>
      <w:r w:rsidR="00EC7305" w:rsidRPr="00C77E77">
        <w:rPr>
          <w:rFonts w:ascii="Times New Roman" w:eastAsia="標楷體" w:hAnsi="Times New Roman" w:cs="Times New Roman"/>
          <w:color w:val="000000" w:themeColor="text1"/>
          <w:sz w:val="28"/>
          <w:szCs w:val="28"/>
        </w:rPr>
        <w:t>Public—Private—Partnership</w:t>
      </w:r>
      <w:r w:rsidR="00EC7305" w:rsidRPr="00C77E77">
        <w:rPr>
          <w:rFonts w:ascii="Times New Roman" w:eastAsia="標楷體" w:hAnsi="Times New Roman" w:cs="Times New Roman"/>
          <w:color w:val="000000" w:themeColor="text1"/>
          <w:sz w:val="28"/>
          <w:szCs w:val="28"/>
        </w:rPr>
        <w:t>，公共私營合</w:t>
      </w:r>
      <w:r w:rsidR="00EC7305" w:rsidRPr="00C77E77">
        <w:rPr>
          <w:rFonts w:ascii="Times New Roman" w:eastAsia="標楷體" w:hAnsi="Times New Roman" w:cs="Times New Roman"/>
          <w:color w:val="000000" w:themeColor="text1"/>
          <w:sz w:val="28"/>
          <w:szCs w:val="28"/>
        </w:rPr>
        <w:lastRenderedPageBreak/>
        <w:t>作制），由政府與私人組織合作建設城市基礎設施。例如民眾在公共汽車上面能夠使用</w:t>
      </w:r>
      <w:r w:rsidR="00EC7305" w:rsidRPr="00C77E77">
        <w:rPr>
          <w:rFonts w:ascii="Times New Roman" w:eastAsia="標楷體" w:hAnsi="Times New Roman" w:cs="Times New Roman"/>
          <w:color w:val="000000" w:themeColor="text1"/>
          <w:sz w:val="28"/>
          <w:szCs w:val="28"/>
        </w:rPr>
        <w:t>Wifi</w:t>
      </w:r>
      <w:r w:rsidR="00EC7305" w:rsidRPr="00C77E77">
        <w:rPr>
          <w:rFonts w:ascii="Times New Roman" w:eastAsia="標楷體" w:hAnsi="Times New Roman" w:cs="Times New Roman"/>
          <w:color w:val="000000" w:themeColor="text1"/>
          <w:sz w:val="28"/>
          <w:szCs w:val="28"/>
        </w:rPr>
        <w:t>，但是在使用前會播放一段營運商的廣告。</w:t>
      </w:r>
    </w:p>
    <w:p w:rsidR="00EC7305" w:rsidRPr="00C77E77" w:rsidRDefault="00EC7305" w:rsidP="0001327A">
      <w:pPr>
        <w:pStyle w:val="ab"/>
        <w:numPr>
          <w:ilvl w:val="0"/>
          <w:numId w:val="57"/>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印度是民主國家，不能限制人民的移動，推動智慧程式有助於政府用資通訊做好城市管理。</w:t>
      </w:r>
    </w:p>
    <w:p w:rsidR="00EC7305" w:rsidRPr="00C77E77" w:rsidRDefault="00EC7305" w:rsidP="0001327A">
      <w:pPr>
        <w:pStyle w:val="ab"/>
        <w:numPr>
          <w:ilvl w:val="0"/>
          <w:numId w:val="57"/>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印度的電子商務滿普及的，因為馬路跟交通太差了，所以民眾不想出門，他們也不在乎交期很長。所以喜歡用</w:t>
      </w:r>
      <w:r w:rsidRPr="00C77E77">
        <w:rPr>
          <w:rFonts w:ascii="Times New Roman" w:eastAsia="標楷體" w:hAnsi="Times New Roman" w:cs="Times New Roman"/>
          <w:color w:val="000000" w:themeColor="text1"/>
          <w:sz w:val="28"/>
          <w:szCs w:val="28"/>
        </w:rPr>
        <w:t>APP</w:t>
      </w:r>
      <w:r w:rsidRPr="00C77E77">
        <w:rPr>
          <w:rFonts w:ascii="Times New Roman" w:eastAsia="標楷體" w:hAnsi="Times New Roman" w:cs="Times New Roman"/>
          <w:color w:val="000000" w:themeColor="text1"/>
          <w:sz w:val="28"/>
          <w:szCs w:val="28"/>
        </w:rPr>
        <w:t>訂購</w:t>
      </w:r>
      <w:r w:rsidRPr="00C77E77">
        <w:rPr>
          <w:rFonts w:ascii="Times New Roman" w:eastAsia="標楷體" w:hAnsi="Times New Roman" w:cs="Times New Roman"/>
          <w:color w:val="000000" w:themeColor="text1"/>
          <w:sz w:val="28"/>
          <w:szCs w:val="28"/>
        </w:rPr>
        <w:t>Pizza</w:t>
      </w:r>
      <w:r w:rsidRPr="00C77E77">
        <w:rPr>
          <w:rFonts w:ascii="Times New Roman" w:eastAsia="標楷體" w:hAnsi="Times New Roman" w:cs="Times New Roman"/>
          <w:color w:val="000000" w:themeColor="text1"/>
          <w:sz w:val="28"/>
          <w:szCs w:val="28"/>
        </w:rPr>
        <w:t>、藥品、海鮮、</w:t>
      </w:r>
      <w:r w:rsidRPr="00C77E77">
        <w:rPr>
          <w:rFonts w:ascii="Times New Roman" w:eastAsia="標楷體" w:hAnsi="Times New Roman" w:cs="Times New Roman"/>
          <w:color w:val="000000" w:themeColor="text1"/>
          <w:sz w:val="28"/>
          <w:szCs w:val="28"/>
        </w:rPr>
        <w:t>3C</w:t>
      </w:r>
      <w:r w:rsidRPr="00C77E77">
        <w:rPr>
          <w:rFonts w:ascii="Times New Roman" w:eastAsia="標楷體" w:hAnsi="Times New Roman" w:cs="Times New Roman"/>
          <w:color w:val="000000" w:themeColor="text1"/>
          <w:sz w:val="28"/>
          <w:szCs w:val="28"/>
        </w:rPr>
        <w:t>產品、火車票、機票</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等，然後再貨到付款。</w:t>
      </w:r>
    </w:p>
    <w:p w:rsidR="00EC7305" w:rsidRPr="00C77E77" w:rsidRDefault="00EC7305" w:rsidP="0001327A">
      <w:pPr>
        <w:pStyle w:val="ab"/>
        <w:numPr>
          <w:ilvl w:val="0"/>
          <w:numId w:val="57"/>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企業想要到印度發展需採取「破壞式的創新」，用比較低的價格，來滿足部分的需求。</w:t>
      </w:r>
    </w:p>
    <w:p w:rsidR="00EC7305" w:rsidRPr="00C77E77" w:rsidRDefault="00617DB6" w:rsidP="00EC7305">
      <w:pPr>
        <w:adjustRightInd w:val="0"/>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二、</w:t>
      </w:r>
      <w:r w:rsidR="00EC7305" w:rsidRPr="00C77E77">
        <w:rPr>
          <w:rFonts w:ascii="Times New Roman" w:eastAsia="標楷體" w:hAnsi="Times New Roman" w:cs="Times New Roman"/>
          <w:sz w:val="28"/>
          <w:szCs w:val="28"/>
        </w:rPr>
        <w:t>李宜桓女士</w:t>
      </w:r>
    </w:p>
    <w:p w:rsidR="00EC7305" w:rsidRPr="00C77E77" w:rsidRDefault="00EC7305" w:rsidP="0001327A">
      <w:pPr>
        <w:pStyle w:val="ab"/>
        <w:numPr>
          <w:ilvl w:val="0"/>
          <w:numId w:val="58"/>
        </w:numPr>
        <w:adjustRightInd w:val="0"/>
        <w:snapToGrid w:val="0"/>
        <w:spacing w:beforeLines="50" w:before="180" w:afterLines="50" w:after="180"/>
        <w:ind w:leftChars="0" w:left="851" w:hanging="851"/>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印度電子商務確實很發達，因為城市越來越發達、交通更形擁擠，民眾等待的時間拉長，所以都在滑手機。</w:t>
      </w:r>
    </w:p>
    <w:p w:rsidR="00EC7305" w:rsidRPr="00C77E77" w:rsidRDefault="00EC7305" w:rsidP="0001327A">
      <w:pPr>
        <w:pStyle w:val="ab"/>
        <w:numPr>
          <w:ilvl w:val="0"/>
          <w:numId w:val="58"/>
        </w:numPr>
        <w:adjustRightInd w:val="0"/>
        <w:snapToGrid w:val="0"/>
        <w:spacing w:beforeLines="50" w:before="180" w:afterLines="50" w:after="180"/>
        <w:ind w:leftChars="0" w:left="851" w:hanging="851"/>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電子商務是一個必須要認真看待的龐大機會，除了一線城市以外，二線、三線城市的發展也非常快速，即使在農村也開始成長，未來還有發揮的空間。</w:t>
      </w:r>
    </w:p>
    <w:p w:rsidR="00EC7305" w:rsidRPr="00C77E77" w:rsidRDefault="00EC7305" w:rsidP="0001327A">
      <w:pPr>
        <w:pStyle w:val="ab"/>
        <w:numPr>
          <w:ilvl w:val="0"/>
          <w:numId w:val="58"/>
        </w:numPr>
        <w:adjustRightInd w:val="0"/>
        <w:snapToGrid w:val="0"/>
        <w:spacing w:beforeLines="50" w:before="180" w:afterLines="50" w:after="180"/>
        <w:ind w:leftChars="0" w:left="851" w:hanging="851"/>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印度的物流也成長迅速，預估在</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年會達到</w:t>
      </w:r>
      <w:r w:rsidRPr="00C77E77">
        <w:rPr>
          <w:rFonts w:ascii="Times New Roman" w:eastAsia="標楷體" w:hAnsi="Times New Roman" w:cs="Times New Roman"/>
          <w:sz w:val="28"/>
          <w:szCs w:val="28"/>
        </w:rPr>
        <w:t>300</w:t>
      </w:r>
      <w:r w:rsidRPr="00C77E77">
        <w:rPr>
          <w:rFonts w:ascii="Times New Roman" w:eastAsia="標楷體" w:hAnsi="Times New Roman" w:cs="Times New Roman"/>
          <w:sz w:val="28"/>
          <w:szCs w:val="28"/>
        </w:rPr>
        <w:t>億產值，不過稅務、報關</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等問題比較複雜。換句話說，印度不是一個可以</w:t>
      </w:r>
      <w:r w:rsidRPr="00C77E77">
        <w:rPr>
          <w:rFonts w:ascii="Times New Roman" w:eastAsia="標楷體" w:hAnsi="Times New Roman" w:cs="Times New Roman"/>
          <w:sz w:val="28"/>
          <w:szCs w:val="28"/>
        </w:rPr>
        <w:t>hit and run</w:t>
      </w:r>
      <w:r w:rsidRPr="00C77E77">
        <w:rPr>
          <w:rFonts w:ascii="Times New Roman" w:eastAsia="標楷體" w:hAnsi="Times New Roman" w:cs="Times New Roman"/>
          <w:sz w:val="28"/>
          <w:szCs w:val="28"/>
        </w:rPr>
        <w:t>的國家，需要花時間長期投資。</w:t>
      </w:r>
    </w:p>
    <w:p w:rsidR="00EC7305" w:rsidRPr="00C77E77" w:rsidRDefault="00EC7305" w:rsidP="0001327A">
      <w:pPr>
        <w:pStyle w:val="ab"/>
        <w:numPr>
          <w:ilvl w:val="0"/>
          <w:numId w:val="58"/>
        </w:numPr>
        <w:adjustRightInd w:val="0"/>
        <w:snapToGrid w:val="0"/>
        <w:spacing w:beforeLines="50" w:before="180" w:afterLines="50" w:after="180"/>
        <w:ind w:leftChars="0" w:left="851" w:hanging="851"/>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電商、物流一定要找</w:t>
      </w:r>
      <w:r w:rsidRPr="00C77E77">
        <w:rPr>
          <w:rFonts w:ascii="Times New Roman" w:eastAsia="標楷體" w:hAnsi="Times New Roman" w:cs="Times New Roman"/>
          <w:sz w:val="28"/>
          <w:szCs w:val="28"/>
        </w:rPr>
        <w:t>local partner</w:t>
      </w:r>
      <w:r w:rsidRPr="00C77E77">
        <w:rPr>
          <w:rFonts w:ascii="Times New Roman" w:eastAsia="標楷體" w:hAnsi="Times New Roman" w:cs="Times New Roman"/>
          <w:sz w:val="28"/>
          <w:szCs w:val="28"/>
        </w:rPr>
        <w:t>合作，才有辦法妥善配送。像</w:t>
      </w:r>
      <w:r w:rsidRPr="00C77E77">
        <w:rPr>
          <w:rFonts w:ascii="Times New Roman" w:eastAsia="標楷體" w:hAnsi="Times New Roman" w:cs="Times New Roman"/>
          <w:sz w:val="28"/>
          <w:szCs w:val="28"/>
        </w:rPr>
        <w:t>Amazon</w:t>
      </w:r>
      <w:r w:rsidRPr="00C77E77">
        <w:rPr>
          <w:rFonts w:ascii="Times New Roman" w:eastAsia="標楷體" w:hAnsi="Times New Roman" w:cs="Times New Roman"/>
          <w:sz w:val="28"/>
          <w:szCs w:val="28"/>
        </w:rPr>
        <w:t>進去的時候也是跟當地郵局結合。此外，電商也要處理稅的問題。</w:t>
      </w:r>
    </w:p>
    <w:p w:rsidR="00EC7305" w:rsidRPr="00C77E77" w:rsidRDefault="00EC7305" w:rsidP="0001327A">
      <w:pPr>
        <w:pStyle w:val="ab"/>
        <w:numPr>
          <w:ilvl w:val="0"/>
          <w:numId w:val="58"/>
        </w:numPr>
        <w:adjustRightInd w:val="0"/>
        <w:snapToGrid w:val="0"/>
        <w:spacing w:beforeLines="50" w:before="180" w:afterLines="50" w:after="180"/>
        <w:ind w:leftChars="0" w:left="851" w:hanging="851"/>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印度有</w:t>
      </w:r>
      <w:r w:rsidRPr="00C77E77">
        <w:rPr>
          <w:rFonts w:ascii="Times New Roman" w:eastAsia="標楷體" w:hAnsi="Times New Roman" w:cs="Times New Roman"/>
          <w:sz w:val="28"/>
          <w:szCs w:val="28"/>
        </w:rPr>
        <w:t>58</w:t>
      </w:r>
      <w:r w:rsidRPr="00C77E77">
        <w:rPr>
          <w:rFonts w:ascii="Times New Roman" w:eastAsia="標楷體" w:hAnsi="Times New Roman" w:cs="Times New Roman"/>
          <w:sz w:val="28"/>
          <w:szCs w:val="28"/>
        </w:rPr>
        <w:t>％以上的農民人口，但是近年來氣候變遷的關係，加上農民對於新科技的接受度仍不高，所以農產量一直降低。</w:t>
      </w:r>
    </w:p>
    <w:p w:rsidR="00EC7305" w:rsidRPr="00C77E77" w:rsidRDefault="00EC7305" w:rsidP="0001327A">
      <w:pPr>
        <w:pStyle w:val="ab"/>
        <w:numPr>
          <w:ilvl w:val="0"/>
          <w:numId w:val="58"/>
        </w:numPr>
        <w:adjustRightInd w:val="0"/>
        <w:snapToGrid w:val="0"/>
        <w:spacing w:beforeLines="50" w:before="180" w:afterLines="50" w:after="180"/>
        <w:ind w:leftChars="0" w:left="851" w:hanging="851"/>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印度的都市人對於食品安全的意識有所提升。由於印度的農藥殘留很多，現在有越來越多人開始注重自然有機的食物，例如在陽</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自己種植物。</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灣可以就節水技術、有機栽種等方面尋求合作。</w:t>
      </w:r>
    </w:p>
    <w:p w:rsidR="00EC7305" w:rsidRPr="00C77E77" w:rsidRDefault="00FD0D5A" w:rsidP="0001327A">
      <w:pPr>
        <w:pStyle w:val="ab"/>
        <w:numPr>
          <w:ilvl w:val="0"/>
          <w:numId w:val="58"/>
        </w:numPr>
        <w:adjustRightInd w:val="0"/>
        <w:snapToGrid w:val="0"/>
        <w:spacing w:beforeLines="50" w:before="180" w:afterLines="50" w:after="180"/>
        <w:ind w:leftChars="0" w:left="851" w:hanging="851"/>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EC7305" w:rsidRPr="00C77E77">
        <w:rPr>
          <w:rFonts w:ascii="Times New Roman" w:eastAsia="標楷體" w:hAnsi="Times New Roman" w:cs="Times New Roman"/>
          <w:sz w:val="28"/>
          <w:szCs w:val="28"/>
        </w:rPr>
        <w:t>灣要想在印度推展技術，絕對不能搶走當地人的工作，應該要朝提昇素質的方向走。</w:t>
      </w:r>
    </w:p>
    <w:p w:rsidR="00EC7305" w:rsidRPr="00C77E77" w:rsidRDefault="00617DB6" w:rsidP="00EC7305">
      <w:pPr>
        <w:adjustRightInd w:val="0"/>
        <w:snapToGrid w:val="0"/>
        <w:spacing w:beforeLines="50" w:before="180" w:afterLines="50" w:after="1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三、</w:t>
      </w:r>
      <w:r w:rsidR="00EC7305" w:rsidRPr="00C77E77">
        <w:rPr>
          <w:rFonts w:ascii="Times New Roman" w:eastAsia="標楷體" w:hAnsi="Times New Roman" w:cs="Times New Roman"/>
          <w:color w:val="000000" w:themeColor="text1"/>
          <w:sz w:val="28"/>
          <w:szCs w:val="28"/>
        </w:rPr>
        <w:t>李思嫺女士</w:t>
      </w:r>
    </w:p>
    <w:p w:rsidR="00EC7305" w:rsidRPr="00C77E77" w:rsidRDefault="00EC7305" w:rsidP="0001327A">
      <w:pPr>
        <w:pStyle w:val="ab"/>
        <w:numPr>
          <w:ilvl w:val="0"/>
          <w:numId w:val="59"/>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印度有</w:t>
      </w:r>
      <w:r w:rsidRPr="00C77E77">
        <w:rPr>
          <w:rFonts w:ascii="Times New Roman" w:eastAsia="標楷體" w:hAnsi="Times New Roman" w:cs="Times New Roman"/>
          <w:color w:val="000000" w:themeColor="text1"/>
          <w:sz w:val="28"/>
          <w:szCs w:val="28"/>
        </w:rPr>
        <w:t>29</w:t>
      </w:r>
      <w:r w:rsidRPr="00C77E77">
        <w:rPr>
          <w:rFonts w:ascii="Times New Roman" w:eastAsia="標楷體" w:hAnsi="Times New Roman" w:cs="Times New Roman"/>
          <w:color w:val="000000" w:themeColor="text1"/>
          <w:sz w:val="28"/>
          <w:szCs w:val="28"/>
        </w:rPr>
        <w:t>個邦，不過像是</w:t>
      </w:r>
      <w:r w:rsidRPr="00C77E77">
        <w:rPr>
          <w:rFonts w:ascii="Times New Roman" w:eastAsia="標楷體" w:hAnsi="Times New Roman" w:cs="Times New Roman"/>
          <w:color w:val="000000" w:themeColor="text1"/>
          <w:sz w:val="28"/>
          <w:szCs w:val="28"/>
        </w:rPr>
        <w:t>30</w:t>
      </w:r>
      <w:r w:rsidRPr="00C77E77">
        <w:rPr>
          <w:rFonts w:ascii="Times New Roman" w:eastAsia="標楷體" w:hAnsi="Times New Roman" w:cs="Times New Roman"/>
          <w:color w:val="000000" w:themeColor="text1"/>
          <w:sz w:val="28"/>
          <w:szCs w:val="28"/>
        </w:rPr>
        <w:t>個國家，很難用一個清晰的概念去描述整體國家。</w:t>
      </w:r>
    </w:p>
    <w:p w:rsidR="00EC7305" w:rsidRPr="00C77E77" w:rsidRDefault="00EC7305" w:rsidP="0001327A">
      <w:pPr>
        <w:pStyle w:val="ab"/>
        <w:numPr>
          <w:ilvl w:val="0"/>
          <w:numId w:val="59"/>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要從聚焦、建立一個</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灣品牌做起，才能打入印度內需市場。</w:t>
      </w:r>
    </w:p>
    <w:p w:rsidR="00EC7305" w:rsidRPr="00C77E77" w:rsidRDefault="00FD0D5A" w:rsidP="0001327A">
      <w:pPr>
        <w:pStyle w:val="ab"/>
        <w:numPr>
          <w:ilvl w:val="0"/>
          <w:numId w:val="59"/>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t>臺</w:t>
      </w:r>
      <w:r w:rsidR="00EC7305" w:rsidRPr="00C77E77">
        <w:rPr>
          <w:rFonts w:ascii="Times New Roman" w:eastAsia="標楷體" w:hAnsi="Times New Roman" w:cs="Times New Roman"/>
          <w:color w:val="000000" w:themeColor="text1"/>
          <w:sz w:val="28"/>
          <w:szCs w:val="28"/>
        </w:rPr>
        <w:t>灣的有機農業會是一個利基，因為印度現在積極投入各種有機產品的推廣，包括茶、酥油</w:t>
      </w:r>
      <w:r w:rsidR="00EC7305" w:rsidRPr="00C77E77">
        <w:rPr>
          <w:rFonts w:ascii="Times New Roman" w:eastAsia="標楷體" w:hAnsi="Times New Roman" w:cs="Times New Roman"/>
          <w:color w:val="000000" w:themeColor="text1"/>
          <w:sz w:val="28"/>
          <w:szCs w:val="28"/>
        </w:rPr>
        <w:t>…..</w:t>
      </w:r>
      <w:r w:rsidR="00EC7305" w:rsidRPr="00C77E77">
        <w:rPr>
          <w:rFonts w:ascii="Times New Roman" w:eastAsia="標楷體" w:hAnsi="Times New Roman" w:cs="Times New Roman"/>
          <w:color w:val="000000" w:themeColor="text1"/>
          <w:sz w:val="28"/>
          <w:szCs w:val="28"/>
        </w:rPr>
        <w:t>等等，但是傳統種植出來的作物農藥殘留都太多了。相對的，</w:t>
      </w:r>
      <w:r w:rsidRPr="00C77E77">
        <w:rPr>
          <w:rFonts w:ascii="Times New Roman" w:eastAsia="標楷體" w:hAnsi="Times New Roman" w:cs="Times New Roman"/>
          <w:color w:val="000000" w:themeColor="text1"/>
          <w:sz w:val="28"/>
          <w:szCs w:val="28"/>
        </w:rPr>
        <w:t>臺</w:t>
      </w:r>
      <w:r w:rsidR="00EC7305" w:rsidRPr="00C77E77">
        <w:rPr>
          <w:rFonts w:ascii="Times New Roman" w:eastAsia="標楷體" w:hAnsi="Times New Roman" w:cs="Times New Roman"/>
          <w:color w:val="000000" w:themeColor="text1"/>
          <w:sz w:val="28"/>
          <w:szCs w:val="28"/>
        </w:rPr>
        <w:t>灣的有機農產品都是零檢出，相當有競爭優勢。如果再進一步搭上跟小農購買的風潮，還可以減少中、大盤商的層層剝削，增加對民眾的吸引力。</w:t>
      </w:r>
    </w:p>
    <w:p w:rsidR="00EC7305" w:rsidRPr="00C77E77" w:rsidRDefault="00EC7305" w:rsidP="0001327A">
      <w:pPr>
        <w:pStyle w:val="ab"/>
        <w:numPr>
          <w:ilvl w:val="0"/>
          <w:numId w:val="59"/>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因為外國企業都要用入股的方式才能在印度投資，沒辦法直接投資，所以選擇合作的對象就很重要。例如，</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灣新農業可以跟當地的信實集團合作，組織一個具有各方面專家的小團隊，挑選一個地點進行第一手的調查跟瞭解，然後再慢慢利用新農業來形塑</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灣的鮮明形象。</w:t>
      </w:r>
    </w:p>
    <w:p w:rsidR="00EC7305" w:rsidRPr="00C77E77" w:rsidRDefault="00617DB6" w:rsidP="00EC7305">
      <w:pPr>
        <w:adjustRightInd w:val="0"/>
        <w:snapToGrid w:val="0"/>
        <w:spacing w:beforeLines="50" w:before="180" w:afterLines="50" w:after="1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四、</w:t>
      </w:r>
      <w:r w:rsidR="00EC7305" w:rsidRPr="00C77E77">
        <w:rPr>
          <w:rFonts w:ascii="Times New Roman" w:eastAsia="標楷體" w:hAnsi="Times New Roman" w:cs="Times New Roman"/>
          <w:color w:val="000000" w:themeColor="text1"/>
          <w:sz w:val="28"/>
          <w:szCs w:val="28"/>
        </w:rPr>
        <w:t>林以君先生</w:t>
      </w:r>
    </w:p>
    <w:p w:rsidR="00EC7305" w:rsidRPr="00C77E77" w:rsidRDefault="00FD0D5A" w:rsidP="0001327A">
      <w:pPr>
        <w:pStyle w:val="ab"/>
        <w:numPr>
          <w:ilvl w:val="0"/>
          <w:numId w:val="60"/>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臺</w:t>
      </w:r>
      <w:r w:rsidR="00EC7305" w:rsidRPr="00C77E77">
        <w:rPr>
          <w:rFonts w:ascii="Times New Roman" w:eastAsia="標楷體" w:hAnsi="Times New Roman" w:cs="Times New Roman"/>
          <w:color w:val="000000" w:themeColor="text1"/>
          <w:sz w:val="28"/>
          <w:szCs w:val="28"/>
        </w:rPr>
        <w:t>灣跟印度之間的貿易比例一直都很低，自</w:t>
      </w:r>
      <w:r w:rsidR="00EC7305" w:rsidRPr="00C77E77">
        <w:rPr>
          <w:rFonts w:ascii="Times New Roman" w:eastAsia="標楷體" w:hAnsi="Times New Roman" w:cs="Times New Roman"/>
          <w:color w:val="000000" w:themeColor="text1"/>
          <w:sz w:val="28"/>
          <w:szCs w:val="28"/>
        </w:rPr>
        <w:t>2004</w:t>
      </w:r>
      <w:r w:rsidR="00EC7305" w:rsidRPr="00C77E77">
        <w:rPr>
          <w:rFonts w:ascii="Times New Roman" w:eastAsia="標楷體" w:hAnsi="Times New Roman" w:cs="Times New Roman"/>
          <w:color w:val="000000" w:themeColor="text1"/>
          <w:sz w:val="28"/>
          <w:szCs w:val="28"/>
        </w:rPr>
        <w:t>～</w:t>
      </w:r>
      <w:r w:rsidR="00EC7305" w:rsidRPr="00C77E77">
        <w:rPr>
          <w:rFonts w:ascii="Times New Roman" w:eastAsia="標楷體" w:hAnsi="Times New Roman" w:cs="Times New Roman"/>
          <w:color w:val="000000" w:themeColor="text1"/>
          <w:sz w:val="28"/>
          <w:szCs w:val="28"/>
        </w:rPr>
        <w:t>2014</w:t>
      </w:r>
      <w:r w:rsidR="00EC7305" w:rsidRPr="00C77E77">
        <w:rPr>
          <w:rFonts w:ascii="Times New Roman" w:eastAsia="標楷體" w:hAnsi="Times New Roman" w:cs="Times New Roman"/>
          <w:color w:val="000000" w:themeColor="text1"/>
          <w:sz w:val="28"/>
          <w:szCs w:val="28"/>
        </w:rPr>
        <w:t>年間平均只佔貿易量的</w:t>
      </w:r>
      <w:r w:rsidR="00EC7305" w:rsidRPr="00C77E77">
        <w:rPr>
          <w:rFonts w:ascii="Times New Roman" w:eastAsia="標楷體" w:hAnsi="Times New Roman" w:cs="Times New Roman"/>
          <w:color w:val="000000" w:themeColor="text1"/>
          <w:sz w:val="28"/>
          <w:szCs w:val="28"/>
        </w:rPr>
        <w:t>1.025</w:t>
      </w:r>
      <w:r w:rsidR="00EC7305" w:rsidRPr="00C77E77">
        <w:rPr>
          <w:rFonts w:ascii="Times New Roman" w:eastAsia="標楷體" w:hAnsi="Times New Roman" w:cs="Times New Roman"/>
          <w:color w:val="000000" w:themeColor="text1"/>
          <w:sz w:val="28"/>
          <w:szCs w:val="28"/>
        </w:rPr>
        <w:t>％。為什麼</w:t>
      </w:r>
      <w:r w:rsidRPr="00C77E77">
        <w:rPr>
          <w:rFonts w:ascii="Times New Roman" w:eastAsia="標楷體" w:hAnsi="Times New Roman" w:cs="Times New Roman"/>
          <w:color w:val="000000" w:themeColor="text1"/>
          <w:sz w:val="28"/>
          <w:szCs w:val="28"/>
        </w:rPr>
        <w:t>臺</w:t>
      </w:r>
      <w:r w:rsidR="00EC7305" w:rsidRPr="00C77E77">
        <w:rPr>
          <w:rFonts w:ascii="Times New Roman" w:eastAsia="標楷體" w:hAnsi="Times New Roman" w:cs="Times New Roman"/>
          <w:color w:val="000000" w:themeColor="text1"/>
          <w:sz w:val="28"/>
          <w:szCs w:val="28"/>
        </w:rPr>
        <w:t>灣人做不到印度人的生意？這是文化差異的問題。不管政府</w:t>
      </w:r>
      <w:r w:rsidR="0032721D" w:rsidRPr="00C77E77">
        <w:rPr>
          <w:rFonts w:ascii="Times New Roman" w:eastAsia="標楷體" w:hAnsi="Times New Roman" w:cs="Times New Roman"/>
          <w:color w:val="000000" w:themeColor="text1"/>
          <w:sz w:val="28"/>
          <w:szCs w:val="28"/>
        </w:rPr>
        <w:t>想推什麼產業，都該從文化理解做起。我們對於階級、宗教、種姓</w:t>
      </w:r>
      <w:r w:rsidR="00EC7305" w:rsidRPr="00C77E77">
        <w:rPr>
          <w:rFonts w:ascii="Times New Roman" w:eastAsia="標楷體" w:hAnsi="Times New Roman" w:cs="Times New Roman"/>
          <w:color w:val="000000" w:themeColor="text1"/>
          <w:sz w:val="28"/>
          <w:szCs w:val="28"/>
        </w:rPr>
        <w:t>的瞭解，可以串起不同面向可能遇到的問題。</w:t>
      </w:r>
    </w:p>
    <w:p w:rsidR="00EC7305" w:rsidRPr="00C77E77" w:rsidRDefault="00EC7305" w:rsidP="0001327A">
      <w:pPr>
        <w:pStyle w:val="ab"/>
        <w:numPr>
          <w:ilvl w:val="0"/>
          <w:numId w:val="60"/>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舉例來說，空服員跟乘客之間的</w:t>
      </w:r>
      <w:r w:rsidR="0032721D" w:rsidRPr="00C77E77">
        <w:rPr>
          <w:rFonts w:ascii="Times New Roman" w:eastAsia="標楷體" w:hAnsi="Times New Roman" w:cs="Times New Roman"/>
          <w:color w:val="000000" w:themeColor="text1"/>
          <w:sz w:val="28"/>
          <w:szCs w:val="28"/>
        </w:rPr>
        <w:t>種姓</w:t>
      </w:r>
      <w:r w:rsidRPr="00C77E77">
        <w:rPr>
          <w:rFonts w:ascii="Times New Roman" w:eastAsia="標楷體" w:hAnsi="Times New Roman" w:cs="Times New Roman"/>
          <w:color w:val="000000" w:themeColor="text1"/>
          <w:sz w:val="28"/>
          <w:szCs w:val="28"/>
        </w:rPr>
        <w:t>高低，會影響雙方的互動跟服務表現。又如，有多少人知道印度士兵在</w:t>
      </w:r>
      <w:r w:rsidR="00AF36A0" w:rsidRPr="00C77E77">
        <w:rPr>
          <w:rFonts w:ascii="Times New Roman" w:eastAsia="標楷體" w:hAnsi="Times New Roman" w:cs="Times New Roman"/>
          <w:color w:val="000000" w:themeColor="text1"/>
          <w:sz w:val="28"/>
          <w:szCs w:val="28"/>
        </w:rPr>
        <w:t>種姓</w:t>
      </w:r>
      <w:r w:rsidRPr="00C77E77">
        <w:rPr>
          <w:rFonts w:ascii="Times New Roman" w:eastAsia="標楷體" w:hAnsi="Times New Roman" w:cs="Times New Roman"/>
          <w:color w:val="000000" w:themeColor="text1"/>
          <w:sz w:val="28"/>
          <w:szCs w:val="28"/>
        </w:rPr>
        <w:t>制度裡面的排名高居第二？。還有，像電影金盞花大酒店的劇情，印度人非常重視家庭，送給所有家庭成員不同的禮物，是一門重要的學問。</w:t>
      </w:r>
    </w:p>
    <w:p w:rsidR="00EC7305" w:rsidRPr="00C77E77" w:rsidRDefault="00EC7305" w:rsidP="0001327A">
      <w:pPr>
        <w:pStyle w:val="ab"/>
        <w:numPr>
          <w:ilvl w:val="0"/>
          <w:numId w:val="60"/>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日本在深入對於其它國家的文化瞭解這方面，做的比</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灣好很多。我之前去一間位於緬甸的日本餐廳，裡面就免費發送日本海外振興機構印製的小冊子，向日本人介紹所有緬甸當地有關食衣住行育樂的各種資訊。</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灣也非常需要這種生活性的資訊蒐集。</w:t>
      </w:r>
    </w:p>
    <w:p w:rsidR="00EC7305" w:rsidRPr="00C77E77" w:rsidRDefault="00EC7305" w:rsidP="0001327A">
      <w:pPr>
        <w:pStyle w:val="ab"/>
        <w:numPr>
          <w:ilvl w:val="0"/>
          <w:numId w:val="60"/>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大眾的觀點跟想法是很重要的，遠東機械的模式就是一種長期蹲點的培養。兩個建議：蹲低身段、文化理解。</w:t>
      </w:r>
    </w:p>
    <w:p w:rsidR="00EC7305" w:rsidRPr="00C77E77" w:rsidRDefault="00617DB6" w:rsidP="00EC7305">
      <w:pPr>
        <w:adjustRightInd w:val="0"/>
        <w:snapToGrid w:val="0"/>
        <w:spacing w:beforeLines="50" w:before="180" w:afterLines="50" w:after="1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五、</w:t>
      </w:r>
      <w:r w:rsidR="00EC7305" w:rsidRPr="00C77E77">
        <w:rPr>
          <w:rFonts w:ascii="Times New Roman" w:eastAsia="標楷體" w:hAnsi="Times New Roman" w:cs="Times New Roman"/>
          <w:color w:val="000000" w:themeColor="text1"/>
          <w:sz w:val="28"/>
          <w:szCs w:val="28"/>
        </w:rPr>
        <w:t>馬尼克先生</w:t>
      </w:r>
    </w:p>
    <w:p w:rsidR="00EC7305" w:rsidRPr="00C77E77" w:rsidRDefault="00EC7305" w:rsidP="0001327A">
      <w:pPr>
        <w:pStyle w:val="ab"/>
        <w:numPr>
          <w:ilvl w:val="0"/>
          <w:numId w:val="61"/>
        </w:numPr>
        <w:adjustRightInd w:val="0"/>
        <w:snapToGrid w:val="0"/>
        <w:spacing w:beforeLines="50" w:before="180" w:afterLines="50" w:after="18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印度政府的</w:t>
      </w:r>
      <w:r w:rsidRPr="00C77E77">
        <w:rPr>
          <w:rFonts w:ascii="Times New Roman" w:eastAsia="標楷體" w:hAnsi="Times New Roman" w:cs="Times New Roman"/>
          <w:color w:val="000000" w:themeColor="text1"/>
          <w:sz w:val="28"/>
          <w:szCs w:val="28"/>
        </w:rPr>
        <w:t>Invest India</w:t>
      </w:r>
      <w:r w:rsidRPr="00C77E77">
        <w:rPr>
          <w:rFonts w:ascii="Times New Roman" w:eastAsia="標楷體" w:hAnsi="Times New Roman" w:cs="Times New Roman"/>
          <w:color w:val="000000" w:themeColor="text1"/>
          <w:sz w:val="28"/>
          <w:szCs w:val="28"/>
        </w:rPr>
        <w:t>（</w:t>
      </w:r>
      <w:hyperlink r:id="rId170" w:history="1">
        <w:r w:rsidRPr="00C77E77">
          <w:rPr>
            <w:rStyle w:val="aa"/>
            <w:rFonts w:ascii="Times New Roman" w:eastAsia="標楷體" w:hAnsi="Times New Roman" w:cs="Times New Roman"/>
            <w:sz w:val="28"/>
            <w:szCs w:val="28"/>
            <w:u w:val="none"/>
          </w:rPr>
          <w:t>http://www.investindia.gov.in/</w:t>
        </w:r>
      </w:hyperlink>
      <w:r w:rsidRPr="00C77E77">
        <w:rPr>
          <w:rFonts w:ascii="Times New Roman" w:eastAsia="標楷體" w:hAnsi="Times New Roman" w:cs="Times New Roman"/>
          <w:color w:val="000000" w:themeColor="text1"/>
          <w:sz w:val="28"/>
          <w:szCs w:val="28"/>
        </w:rPr>
        <w:t>）是一個很好的網站，上面有各種投資相關資訊，包括政府政策、外國投資情況等，歡迎多加利用。</w:t>
      </w:r>
    </w:p>
    <w:p w:rsidR="00EC7305" w:rsidRPr="00C77E77" w:rsidRDefault="00EC7305" w:rsidP="0001327A">
      <w:pPr>
        <w:pStyle w:val="ab"/>
        <w:numPr>
          <w:ilvl w:val="0"/>
          <w:numId w:val="61"/>
        </w:numPr>
        <w:adjustRightInd w:val="0"/>
        <w:snapToGrid w:val="0"/>
        <w:spacing w:beforeLines="50" w:before="180" w:afterLines="50" w:after="18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這幾年印度人幾乎人手一支</w:t>
      </w:r>
      <w:r w:rsidRPr="00C77E77">
        <w:rPr>
          <w:rFonts w:ascii="Times New Roman" w:eastAsia="標楷體" w:hAnsi="Times New Roman" w:cs="Times New Roman"/>
          <w:color w:val="000000" w:themeColor="text1"/>
          <w:sz w:val="28"/>
          <w:szCs w:val="28"/>
        </w:rPr>
        <w:t>smart phone</w:t>
      </w:r>
      <w:r w:rsidRPr="00C77E77">
        <w:rPr>
          <w:rFonts w:ascii="Times New Roman" w:eastAsia="標楷體" w:hAnsi="Times New Roman" w:cs="Times New Roman"/>
          <w:color w:val="000000" w:themeColor="text1"/>
          <w:sz w:val="28"/>
          <w:szCs w:val="28"/>
        </w:rPr>
        <w:t>，使消費模式改變很多，電子商務的商機相當龐大。尤其每年</w:t>
      </w:r>
      <w:r w:rsidRPr="00C77E77">
        <w:rPr>
          <w:rFonts w:ascii="Times New Roman" w:eastAsia="標楷體" w:hAnsi="Times New Roman" w:cs="Times New Roman"/>
          <w:color w:val="000000" w:themeColor="text1"/>
          <w:sz w:val="28"/>
          <w:szCs w:val="28"/>
        </w:rPr>
        <w:t>9</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12</w:t>
      </w:r>
      <w:r w:rsidRPr="00C77E77">
        <w:rPr>
          <w:rFonts w:ascii="Times New Roman" w:eastAsia="標楷體" w:hAnsi="Times New Roman" w:cs="Times New Roman"/>
          <w:color w:val="000000" w:themeColor="text1"/>
          <w:sz w:val="28"/>
          <w:szCs w:val="28"/>
        </w:rPr>
        <w:t>月印度燈節的時候，更是電商的黃金購物期。</w:t>
      </w:r>
    </w:p>
    <w:p w:rsidR="00EC7305" w:rsidRPr="00C77E77" w:rsidRDefault="00EC7305" w:rsidP="0001327A">
      <w:pPr>
        <w:pStyle w:val="ab"/>
        <w:numPr>
          <w:ilvl w:val="0"/>
          <w:numId w:val="61"/>
        </w:numPr>
        <w:adjustRightInd w:val="0"/>
        <w:snapToGrid w:val="0"/>
        <w:spacing w:beforeLines="50" w:before="180" w:afterLines="50" w:after="18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建議</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灣的</w:t>
      </w:r>
      <w:r w:rsidRPr="00C77E77">
        <w:rPr>
          <w:rFonts w:ascii="Times New Roman" w:eastAsia="標楷體" w:hAnsi="Times New Roman" w:cs="Times New Roman"/>
          <w:color w:val="000000" w:themeColor="text1"/>
          <w:sz w:val="28"/>
          <w:szCs w:val="28"/>
        </w:rPr>
        <w:t>PC Home</w:t>
      </w:r>
      <w:r w:rsidRPr="00C77E77">
        <w:rPr>
          <w:rFonts w:ascii="Times New Roman" w:eastAsia="標楷體" w:hAnsi="Times New Roman" w:cs="Times New Roman"/>
          <w:color w:val="000000" w:themeColor="text1"/>
          <w:sz w:val="28"/>
          <w:szCs w:val="28"/>
        </w:rPr>
        <w:t>等電子商務平</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，可以設計一個獨立對外的</w:t>
      </w:r>
      <w:r w:rsidRPr="00C77E77">
        <w:rPr>
          <w:rFonts w:ascii="Times New Roman" w:eastAsia="標楷體" w:hAnsi="Times New Roman" w:cs="Times New Roman"/>
          <w:color w:val="000000" w:themeColor="text1"/>
          <w:sz w:val="28"/>
          <w:szCs w:val="28"/>
        </w:rPr>
        <w:t>e commerce</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灣專區，讓外國人只要從那邊點下去，就可以買到各式</w:t>
      </w:r>
      <w:r w:rsidRPr="00C77E77">
        <w:rPr>
          <w:rFonts w:ascii="Times New Roman" w:eastAsia="標楷體" w:hAnsi="Times New Roman" w:cs="Times New Roman"/>
          <w:color w:val="000000" w:themeColor="text1"/>
          <w:sz w:val="28"/>
          <w:szCs w:val="28"/>
        </w:rPr>
        <w:lastRenderedPageBreak/>
        <w:t>各樣的</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灣產品，包括</w:t>
      </w:r>
      <w:r w:rsidRPr="00C77E77">
        <w:rPr>
          <w:rFonts w:ascii="Times New Roman" w:eastAsia="標楷體" w:hAnsi="Times New Roman" w:cs="Times New Roman"/>
          <w:color w:val="000000" w:themeColor="text1"/>
          <w:sz w:val="28"/>
          <w:szCs w:val="28"/>
        </w:rPr>
        <w:t>3C</w:t>
      </w:r>
      <w:r w:rsidRPr="00C77E77">
        <w:rPr>
          <w:rFonts w:ascii="Times New Roman" w:eastAsia="標楷體" w:hAnsi="Times New Roman" w:cs="Times New Roman"/>
          <w:color w:val="000000" w:themeColor="text1"/>
          <w:sz w:val="28"/>
          <w:szCs w:val="28"/>
        </w:rPr>
        <w:t>用品、紅茶、綠茶之類的。</w:t>
      </w:r>
    </w:p>
    <w:p w:rsidR="00EC7305" w:rsidRPr="00C77E77" w:rsidRDefault="00FD0D5A" w:rsidP="0001327A">
      <w:pPr>
        <w:pStyle w:val="ab"/>
        <w:numPr>
          <w:ilvl w:val="0"/>
          <w:numId w:val="61"/>
        </w:numPr>
        <w:adjustRightInd w:val="0"/>
        <w:snapToGrid w:val="0"/>
        <w:spacing w:beforeLines="50" w:before="180" w:afterLines="50" w:after="18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臺</w:t>
      </w:r>
      <w:r w:rsidR="00EC7305" w:rsidRPr="00C77E77">
        <w:rPr>
          <w:rFonts w:ascii="Times New Roman" w:eastAsia="標楷體" w:hAnsi="Times New Roman" w:cs="Times New Roman"/>
          <w:color w:val="000000" w:themeColor="text1"/>
          <w:sz w:val="28"/>
          <w:szCs w:val="28"/>
        </w:rPr>
        <w:t>灣商品的從內到外的包裝技術都很好，可以想想看怎麼到印度發展，例如外帶咖哩如果可以用封口機的話應該就不錯。另外</w:t>
      </w:r>
      <w:r w:rsidRPr="00C77E77">
        <w:rPr>
          <w:rFonts w:ascii="Times New Roman" w:eastAsia="標楷體" w:hAnsi="Times New Roman" w:cs="Times New Roman"/>
          <w:color w:val="000000" w:themeColor="text1"/>
          <w:sz w:val="28"/>
          <w:szCs w:val="28"/>
        </w:rPr>
        <w:t>臺</w:t>
      </w:r>
      <w:r w:rsidR="00EC7305" w:rsidRPr="00C77E77">
        <w:rPr>
          <w:rFonts w:ascii="Times New Roman" w:eastAsia="標楷體" w:hAnsi="Times New Roman" w:cs="Times New Roman"/>
          <w:color w:val="000000" w:themeColor="text1"/>
          <w:sz w:val="28"/>
          <w:szCs w:val="28"/>
        </w:rPr>
        <w:t>灣的展覽也不錯，應該發揮更大的效果。</w:t>
      </w:r>
    </w:p>
    <w:p w:rsidR="00EC7305" w:rsidRPr="00C77E77" w:rsidRDefault="00617DB6" w:rsidP="00EC7305">
      <w:pPr>
        <w:adjustRightInd w:val="0"/>
        <w:snapToGrid w:val="0"/>
        <w:spacing w:beforeLines="50" w:before="180" w:afterLines="50" w:after="1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六、</w:t>
      </w:r>
      <w:r w:rsidR="00EC7305" w:rsidRPr="00C77E77">
        <w:rPr>
          <w:rFonts w:ascii="Times New Roman" w:eastAsia="標楷體" w:hAnsi="Times New Roman" w:cs="Times New Roman"/>
          <w:color w:val="000000" w:themeColor="text1"/>
          <w:sz w:val="28"/>
          <w:szCs w:val="28"/>
        </w:rPr>
        <w:t>張煜霖先生</w:t>
      </w:r>
    </w:p>
    <w:p w:rsidR="00EC7305" w:rsidRPr="00C77E77" w:rsidRDefault="00EC7305" w:rsidP="0001327A">
      <w:pPr>
        <w:pStyle w:val="ab"/>
        <w:numPr>
          <w:ilvl w:val="0"/>
          <w:numId w:val="62"/>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9/28</w:t>
      </w:r>
      <w:r w:rsidRPr="00C77E77">
        <w:rPr>
          <w:rFonts w:ascii="Times New Roman" w:eastAsia="標楷體" w:hAnsi="Times New Roman" w:cs="Times New Roman"/>
          <w:color w:val="000000" w:themeColor="text1"/>
          <w:sz w:val="28"/>
          <w:szCs w:val="28"/>
        </w:rPr>
        <w:t>公布的「全球競爭力論壇」報告中指出印度的進步最為快速，但是相較於日本、韓國大量出版印刷、手寫影印各式刊物來服務本國廠商，</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的資訊介紹顯的很缺乏，即使是我國政府發佈的《海外市場經貿年報》、《投資環境簡介》等，頂多做到一年一版，並非即時資訊。同時我國也較偏重經貿資訊，並沒有生活面的介紹，我們有必要也做出一本有關生活資訊的刊物。</w:t>
      </w:r>
    </w:p>
    <w:p w:rsidR="00EC7305" w:rsidRPr="00C77E77" w:rsidRDefault="00EC7305" w:rsidP="0001327A">
      <w:pPr>
        <w:pStyle w:val="ab"/>
        <w:numPr>
          <w:ilvl w:val="0"/>
          <w:numId w:val="62"/>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印度的農業市場雖然很大，但是</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灣、印度兩地對於農業品質的認知差異很大，每年在兩國的雙邊諮商會議上，印度代表都會提出，為什麼印度的農產品一直無法通過</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灣農委會的標準。</w:t>
      </w:r>
    </w:p>
    <w:p w:rsidR="00EC7305" w:rsidRPr="00C77E77" w:rsidRDefault="00EC7305" w:rsidP="0001327A">
      <w:pPr>
        <w:pStyle w:val="ab"/>
        <w:numPr>
          <w:ilvl w:val="0"/>
          <w:numId w:val="62"/>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新農業是以生物跟工業循環為核心的農業科技應用，不過這點印度跟</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灣在定義上的距離很遙遠。印度的生產模式非常原始跟人工，以酪農業來說，印度沒有大型的養牛戶，而是每戶養</w:t>
      </w:r>
      <w:r w:rsidRPr="00C77E77">
        <w:rPr>
          <w:rFonts w:ascii="Times New Roman" w:eastAsia="標楷體" w:hAnsi="Times New Roman" w:cs="Times New Roman"/>
          <w:color w:val="000000" w:themeColor="text1"/>
          <w:sz w:val="28"/>
          <w:szCs w:val="28"/>
        </w:rPr>
        <w:t>3</w:t>
      </w:r>
      <w:r w:rsidRPr="00C77E77">
        <w:rPr>
          <w:rFonts w:ascii="Times New Roman" w:eastAsia="標楷體" w:hAnsi="Times New Roman" w:cs="Times New Roman"/>
          <w:color w:val="000000" w:themeColor="text1"/>
          <w:sz w:val="28"/>
          <w:szCs w:val="28"/>
        </w:rPr>
        <w:t>頭牛，把奶送給中間商，蒐集好了以後再拿到工廠消毒販售。</w:t>
      </w:r>
    </w:p>
    <w:p w:rsidR="00EC7305" w:rsidRPr="00C77E77" w:rsidRDefault="00EC7305" w:rsidP="0001327A">
      <w:pPr>
        <w:pStyle w:val="ab"/>
        <w:numPr>
          <w:ilvl w:val="0"/>
          <w:numId w:val="62"/>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印度的生產模式超乎</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灣的想像，是以人工來取代機器，只要管理得宜，讓每個作業員都能做好自己分內的工作，就算</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人只負責</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件事，只要都做好、做對，那麼生產效率其實不差。換句話說，印度的人口就是那麼多，比起機器設備還要花錢投資購買、保養維修，又常常遇到跳電等情況；採取人工其實是更便宜有效率的方式。</w:t>
      </w:r>
    </w:p>
    <w:p w:rsidR="00EC7305" w:rsidRPr="00C77E77" w:rsidRDefault="00EC7305" w:rsidP="0001327A">
      <w:pPr>
        <w:pStyle w:val="ab"/>
        <w:numPr>
          <w:ilvl w:val="0"/>
          <w:numId w:val="62"/>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就過去廠商投資的經驗來看，如果能夠獨資就獨資，如果要合資的話，也要掌握財務主導權，然後要選擇</w:t>
      </w:r>
      <w:r w:rsidR="00AF36A0" w:rsidRPr="00C77E77">
        <w:rPr>
          <w:rFonts w:ascii="Times New Roman" w:eastAsia="標楷體" w:hAnsi="Times New Roman" w:cs="Times New Roman"/>
          <w:color w:val="000000" w:themeColor="text1"/>
          <w:sz w:val="28"/>
          <w:szCs w:val="28"/>
        </w:rPr>
        <w:t>種姓</w:t>
      </w:r>
      <w:r w:rsidRPr="00C77E77">
        <w:rPr>
          <w:rFonts w:ascii="Times New Roman" w:eastAsia="標楷體" w:hAnsi="Times New Roman" w:cs="Times New Roman"/>
          <w:color w:val="000000" w:themeColor="text1"/>
          <w:sz w:val="28"/>
          <w:szCs w:val="28"/>
        </w:rPr>
        <w:t>跟宗教都適合的人去管理。另外也要善用當地的物流、電商人才。</w:t>
      </w:r>
    </w:p>
    <w:p w:rsidR="00EC7305" w:rsidRPr="00C77E77" w:rsidRDefault="00EC7305" w:rsidP="0001327A">
      <w:pPr>
        <w:pStyle w:val="ab"/>
        <w:numPr>
          <w:ilvl w:val="0"/>
          <w:numId w:val="62"/>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目前還沒有</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灣電商進入印度，因為法律規定</w:t>
      </w:r>
      <w:r w:rsidRPr="00C77E77">
        <w:rPr>
          <w:rFonts w:ascii="Times New Roman" w:eastAsia="標楷體" w:hAnsi="Times New Roman" w:cs="Times New Roman"/>
          <w:color w:val="000000" w:themeColor="text1"/>
          <w:sz w:val="28"/>
          <w:szCs w:val="28"/>
        </w:rPr>
        <w:t>B2C</w:t>
      </w:r>
      <w:r w:rsidRPr="00C77E77">
        <w:rPr>
          <w:rFonts w:ascii="Times New Roman" w:eastAsia="標楷體" w:hAnsi="Times New Roman" w:cs="Times New Roman"/>
          <w:color w:val="000000" w:themeColor="text1"/>
          <w:sz w:val="28"/>
          <w:szCs w:val="28"/>
        </w:rPr>
        <w:t>必須用合作的方式，所以</w:t>
      </w:r>
      <w:r w:rsidRPr="00C77E77">
        <w:rPr>
          <w:rFonts w:ascii="Times New Roman" w:eastAsia="標楷體" w:hAnsi="Times New Roman" w:cs="Times New Roman"/>
          <w:color w:val="000000" w:themeColor="text1"/>
          <w:sz w:val="28"/>
          <w:szCs w:val="28"/>
        </w:rPr>
        <w:t>B2B</w:t>
      </w:r>
      <w:r w:rsidRPr="00C77E77">
        <w:rPr>
          <w:rFonts w:ascii="Times New Roman" w:eastAsia="標楷體" w:hAnsi="Times New Roman" w:cs="Times New Roman"/>
          <w:color w:val="000000" w:themeColor="text1"/>
          <w:sz w:val="28"/>
          <w:szCs w:val="28"/>
        </w:rPr>
        <w:t>應是可以切入的角度。</w:t>
      </w:r>
      <w:r w:rsidRPr="00C77E77">
        <w:rPr>
          <w:rFonts w:ascii="Times New Roman" w:eastAsia="標楷體" w:hAnsi="Times New Roman" w:cs="Times New Roman"/>
          <w:color w:val="000000" w:themeColor="text1"/>
          <w:sz w:val="28"/>
          <w:szCs w:val="28"/>
        </w:rPr>
        <w:t>PC Home</w:t>
      </w:r>
      <w:r w:rsidRPr="00C77E77">
        <w:rPr>
          <w:rFonts w:ascii="Times New Roman" w:eastAsia="標楷體" w:hAnsi="Times New Roman" w:cs="Times New Roman"/>
          <w:color w:val="000000" w:themeColor="text1"/>
          <w:sz w:val="28"/>
          <w:szCs w:val="28"/>
        </w:rPr>
        <w:t>可以做一個印度的銷售介面，然後跟印度當地的郵局和信差合作配送。</w:t>
      </w:r>
    </w:p>
    <w:p w:rsidR="00EC7305" w:rsidRPr="00C77E77" w:rsidRDefault="00EC7305" w:rsidP="0001327A">
      <w:pPr>
        <w:pStyle w:val="ab"/>
        <w:numPr>
          <w:ilvl w:val="0"/>
          <w:numId w:val="62"/>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2014</w:t>
      </w:r>
      <w:r w:rsidRPr="00C77E77">
        <w:rPr>
          <w:rFonts w:ascii="Times New Roman" w:eastAsia="標楷體" w:hAnsi="Times New Roman" w:cs="Times New Roman"/>
          <w:color w:val="000000" w:themeColor="text1"/>
          <w:sz w:val="28"/>
          <w:szCs w:val="28"/>
        </w:rPr>
        <w:t>年聯強已取得印度當地</w:t>
      </w:r>
      <w:r w:rsidRPr="00C77E77">
        <w:rPr>
          <w:rFonts w:ascii="Times New Roman" w:eastAsia="標楷體" w:hAnsi="Times New Roman" w:cs="Times New Roman"/>
          <w:color w:val="000000" w:themeColor="text1"/>
          <w:sz w:val="28"/>
          <w:szCs w:val="28"/>
        </w:rPr>
        <w:t>IT</w:t>
      </w:r>
      <w:r w:rsidRPr="00C77E77">
        <w:rPr>
          <w:rFonts w:ascii="Times New Roman" w:eastAsia="標楷體" w:hAnsi="Times New Roman" w:cs="Times New Roman"/>
          <w:color w:val="000000" w:themeColor="text1"/>
          <w:sz w:val="28"/>
          <w:szCs w:val="28"/>
        </w:rPr>
        <w:t>通路商雷霆頓約三分之一的</w:t>
      </w:r>
      <w:r w:rsidR="00C43CEE" w:rsidRPr="00C77E77">
        <w:rPr>
          <w:rFonts w:ascii="Times New Roman" w:eastAsia="標楷體" w:hAnsi="Times New Roman" w:cs="Times New Roman"/>
          <w:color w:val="000000" w:themeColor="text1"/>
          <w:sz w:val="28"/>
          <w:szCs w:val="28"/>
        </w:rPr>
        <w:t>物流</w:t>
      </w:r>
      <w:r w:rsidRPr="00C77E77">
        <w:rPr>
          <w:rFonts w:ascii="Times New Roman" w:eastAsia="標楷體" w:hAnsi="Times New Roman" w:cs="Times New Roman"/>
          <w:color w:val="000000" w:themeColor="text1"/>
          <w:sz w:val="28"/>
          <w:szCs w:val="28"/>
        </w:rPr>
        <w:t>服務，是成功的案例。東立物流則是針對印度位居世界第六大汽車生產國這點，計畫汽車物流的整備。</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北三井也有興趣跟</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灣廠商合作進入。</w:t>
      </w:r>
    </w:p>
    <w:p w:rsidR="00EC7305" w:rsidRPr="00C77E77" w:rsidRDefault="00EC7305" w:rsidP="0001327A">
      <w:pPr>
        <w:pStyle w:val="ab"/>
        <w:numPr>
          <w:ilvl w:val="0"/>
          <w:numId w:val="62"/>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投資業務處最近的相關工作包括：第一，整理國際組織的風險評估資</w:t>
      </w:r>
      <w:r w:rsidRPr="00C77E77">
        <w:rPr>
          <w:rFonts w:ascii="Times New Roman" w:eastAsia="標楷體" w:hAnsi="Times New Roman" w:cs="Times New Roman"/>
          <w:color w:val="000000" w:themeColor="text1"/>
          <w:sz w:val="28"/>
          <w:szCs w:val="28"/>
        </w:rPr>
        <w:lastRenderedPageBreak/>
        <w:t>料，才剛出爐了《新南向國家投資安全報告》（</w:t>
      </w:r>
      <w:hyperlink r:id="rId171" w:history="1">
        <w:r w:rsidRPr="00C77E77">
          <w:rPr>
            <w:rStyle w:val="aa"/>
            <w:rFonts w:ascii="Times New Roman" w:eastAsia="標楷體" w:hAnsi="Times New Roman" w:cs="Times New Roman"/>
            <w:sz w:val="28"/>
            <w:szCs w:val="28"/>
            <w:u w:val="none"/>
          </w:rPr>
          <w:t>http://twbusiness.nat.gov.tw/page.do?id=340983813</w:t>
        </w:r>
      </w:hyperlink>
      <w:r w:rsidRPr="00C77E77">
        <w:rPr>
          <w:rFonts w:ascii="Times New Roman" w:eastAsia="標楷體" w:hAnsi="Times New Roman" w:cs="Times New Roman"/>
          <w:color w:val="000000" w:themeColor="text1"/>
          <w:sz w:val="28"/>
          <w:szCs w:val="28"/>
        </w:rPr>
        <w:t xml:space="preserve"> </w:t>
      </w:r>
      <w:r w:rsidR="001C0A49" w:rsidRPr="00C77E77">
        <w:rPr>
          <w:rFonts w:ascii="Times New Roman" w:eastAsia="標楷體" w:hAnsi="Times New Roman" w:cs="Times New Roman"/>
          <w:color w:val="000000" w:themeColor="text1"/>
          <w:sz w:val="28"/>
          <w:szCs w:val="28"/>
        </w:rPr>
        <w:t>）。第二，</w:t>
      </w:r>
      <w:r w:rsidR="001C0A49" w:rsidRPr="00C77E77">
        <w:rPr>
          <w:rFonts w:ascii="Times New Roman" w:eastAsia="標楷體" w:hAnsi="Times New Roman" w:cs="Times New Roman"/>
          <w:color w:val="000000" w:themeColor="text1"/>
          <w:sz w:val="28"/>
          <w:szCs w:val="28"/>
        </w:rPr>
        <w:t>2017</w:t>
      </w:r>
      <w:r w:rsidRPr="00C77E77">
        <w:rPr>
          <w:rFonts w:ascii="Times New Roman" w:eastAsia="標楷體" w:hAnsi="Times New Roman" w:cs="Times New Roman"/>
          <w:color w:val="000000" w:themeColor="text1"/>
          <w:sz w:val="28"/>
          <w:szCs w:val="28"/>
        </w:rPr>
        <w:t>年將在六個國家成立</w:t>
      </w:r>
      <w:r w:rsidRPr="00C77E77">
        <w:rPr>
          <w:rFonts w:ascii="Times New Roman" w:eastAsia="標楷體" w:hAnsi="Times New Roman" w:cs="Times New Roman"/>
          <w:color w:val="000000" w:themeColor="text1"/>
          <w:sz w:val="28"/>
          <w:szCs w:val="28"/>
        </w:rPr>
        <w:t>Taiwan desk</w:t>
      </w:r>
      <w:r w:rsidR="001C0A49" w:rsidRPr="00C77E77">
        <w:rPr>
          <w:rFonts w:ascii="Times New Roman" w:eastAsia="標楷體" w:hAnsi="Times New Roman" w:cs="Times New Roman"/>
          <w:color w:val="000000" w:themeColor="text1"/>
          <w:sz w:val="28"/>
          <w:szCs w:val="28"/>
        </w:rPr>
        <w:t>，這是仿效直屬於總統府的印尼投資委員會的作法，投資業務處</w:t>
      </w:r>
      <w:r w:rsidR="001C0A49" w:rsidRPr="00C77E77">
        <w:rPr>
          <w:rFonts w:ascii="Times New Roman" w:eastAsia="標楷體" w:hAnsi="Times New Roman" w:cs="Times New Roman"/>
          <w:color w:val="000000" w:themeColor="text1"/>
          <w:sz w:val="28"/>
          <w:szCs w:val="28"/>
        </w:rPr>
        <w:t>2017</w:t>
      </w:r>
      <w:r w:rsidRPr="00C77E77">
        <w:rPr>
          <w:rFonts w:ascii="Times New Roman" w:eastAsia="標楷體" w:hAnsi="Times New Roman" w:cs="Times New Roman"/>
          <w:color w:val="000000" w:themeColor="text1"/>
          <w:sz w:val="28"/>
          <w:szCs w:val="28"/>
        </w:rPr>
        <w:t>年會在</w:t>
      </w:r>
      <w:r w:rsidRPr="00C77E77">
        <w:rPr>
          <w:rFonts w:ascii="Times New Roman" w:eastAsia="標楷體" w:hAnsi="Times New Roman" w:cs="Times New Roman"/>
          <w:color w:val="000000" w:themeColor="text1"/>
          <w:sz w:val="28"/>
          <w:szCs w:val="28"/>
        </w:rPr>
        <w:t>6</w:t>
      </w:r>
      <w:r w:rsidRPr="00C77E77">
        <w:rPr>
          <w:rFonts w:ascii="Times New Roman" w:eastAsia="標楷體" w:hAnsi="Times New Roman" w:cs="Times New Roman"/>
          <w:color w:val="000000" w:themeColor="text1"/>
          <w:sz w:val="28"/>
          <w:szCs w:val="28"/>
        </w:rPr>
        <w:t>個重點國家（菲律賓、越南、印尼、馬來西亞、泰國、印度）各聘請</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個人，任務是服務</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商以及推銷</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灣，負責參加各種研討會、瞭解當地商情等。第三，在</w:t>
      </w:r>
      <w:r w:rsidRPr="00C77E77">
        <w:rPr>
          <w:rFonts w:ascii="Times New Roman" w:eastAsia="標楷體" w:hAnsi="Times New Roman" w:cs="Times New Roman"/>
          <w:color w:val="000000" w:themeColor="text1"/>
          <w:sz w:val="28"/>
          <w:szCs w:val="28"/>
        </w:rPr>
        <w:t>6</w:t>
      </w:r>
      <w:r w:rsidRPr="00C77E77">
        <w:rPr>
          <w:rFonts w:ascii="Times New Roman" w:eastAsia="標楷體" w:hAnsi="Times New Roman" w:cs="Times New Roman"/>
          <w:color w:val="000000" w:themeColor="text1"/>
          <w:sz w:val="28"/>
          <w:szCs w:val="28"/>
        </w:rPr>
        <w:t>個國家中各挑選</w:t>
      </w:r>
      <w:r w:rsidRPr="00C77E77">
        <w:rPr>
          <w:rFonts w:ascii="Times New Roman" w:eastAsia="標楷體" w:hAnsi="Times New Roman" w:cs="Times New Roman"/>
          <w:color w:val="000000" w:themeColor="text1"/>
          <w:sz w:val="28"/>
          <w:szCs w:val="28"/>
        </w:rPr>
        <w:t>1</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2</w:t>
      </w:r>
      <w:r w:rsidRPr="00C77E77">
        <w:rPr>
          <w:rFonts w:ascii="Times New Roman" w:eastAsia="標楷體" w:hAnsi="Times New Roman" w:cs="Times New Roman"/>
          <w:color w:val="000000" w:themeColor="text1"/>
          <w:sz w:val="28"/>
          <w:szCs w:val="28"/>
        </w:rPr>
        <w:t>個產業，畫出該地、該產業的發展地圖，包括有哪些大的</w:t>
      </w:r>
      <w:r w:rsidRPr="00C77E77">
        <w:rPr>
          <w:rFonts w:ascii="Times New Roman" w:eastAsia="標楷體" w:hAnsi="Times New Roman" w:cs="Times New Roman"/>
          <w:color w:val="000000" w:themeColor="text1"/>
          <w:sz w:val="28"/>
          <w:szCs w:val="28"/>
        </w:rPr>
        <w:t>players</w:t>
      </w:r>
      <w:r w:rsidRPr="00C77E77">
        <w:rPr>
          <w:rFonts w:ascii="Times New Roman" w:eastAsia="標楷體" w:hAnsi="Times New Roman" w:cs="Times New Roman"/>
          <w:color w:val="000000" w:themeColor="text1"/>
          <w:sz w:val="28"/>
          <w:szCs w:val="28"/>
        </w:rPr>
        <w:t>，讓廠商知道相關脈絡。第四，舉辦高階的訪問團，由政府帶隊訪問當地的重要組織以促進雙邊合作。</w:t>
      </w:r>
    </w:p>
    <w:p w:rsidR="00EC7305" w:rsidRPr="00C77E77" w:rsidRDefault="00617DB6" w:rsidP="00EC7305">
      <w:pPr>
        <w:adjustRightInd w:val="0"/>
        <w:snapToGrid w:val="0"/>
        <w:spacing w:beforeLines="50" w:before="180" w:afterLines="50" w:after="1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七、</w:t>
      </w:r>
      <w:r w:rsidR="00EC7305" w:rsidRPr="00C77E77">
        <w:rPr>
          <w:rFonts w:ascii="Times New Roman" w:eastAsia="標楷體" w:hAnsi="Times New Roman" w:cs="Times New Roman"/>
          <w:sz w:val="28"/>
          <w:szCs w:val="28"/>
        </w:rPr>
        <w:t>簡宏佳先生</w:t>
      </w:r>
    </w:p>
    <w:p w:rsidR="00EC7305" w:rsidRPr="00C77E77" w:rsidRDefault="00EC7305" w:rsidP="0001327A">
      <w:pPr>
        <w:pStyle w:val="ab"/>
        <w:numPr>
          <w:ilvl w:val="0"/>
          <w:numId w:val="63"/>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現在印度在</w:t>
      </w:r>
      <w:r w:rsidRPr="00C77E77">
        <w:rPr>
          <w:rFonts w:ascii="Times New Roman" w:eastAsia="標楷體" w:hAnsi="Times New Roman" w:cs="Times New Roman"/>
          <w:color w:val="000000" w:themeColor="text1"/>
          <w:sz w:val="28"/>
          <w:szCs w:val="28"/>
        </w:rPr>
        <w:t>33</w:t>
      </w:r>
      <w:r w:rsidRPr="00C77E77">
        <w:rPr>
          <w:rFonts w:ascii="Times New Roman" w:eastAsia="標楷體" w:hAnsi="Times New Roman" w:cs="Times New Roman"/>
          <w:color w:val="000000" w:themeColor="text1"/>
          <w:sz w:val="28"/>
          <w:szCs w:val="28"/>
        </w:rPr>
        <w:t>個城市推</w:t>
      </w:r>
      <w:r w:rsidRPr="00C77E77">
        <w:rPr>
          <w:rFonts w:ascii="Times New Roman" w:eastAsia="標楷體" w:hAnsi="Times New Roman" w:cs="Times New Roman"/>
          <w:color w:val="000000" w:themeColor="text1"/>
          <w:sz w:val="28"/>
          <w:szCs w:val="28"/>
        </w:rPr>
        <w:t>smart city</w:t>
      </w:r>
      <w:r w:rsidRPr="00C77E77">
        <w:rPr>
          <w:rFonts w:ascii="Times New Roman" w:eastAsia="標楷體" w:hAnsi="Times New Roman" w:cs="Times New Roman"/>
          <w:color w:val="000000" w:themeColor="text1"/>
          <w:sz w:val="28"/>
          <w:szCs w:val="28"/>
        </w:rPr>
        <w:t>，我們把裡面的發展項目篩選成最有發展潛力的</w:t>
      </w:r>
      <w:r w:rsidRPr="00C77E77">
        <w:rPr>
          <w:rFonts w:ascii="Times New Roman" w:eastAsia="標楷體" w:hAnsi="Times New Roman" w:cs="Times New Roman"/>
          <w:color w:val="000000" w:themeColor="text1"/>
          <w:sz w:val="28"/>
          <w:szCs w:val="28"/>
        </w:rPr>
        <w:t>5</w:t>
      </w:r>
      <w:r w:rsidRPr="00C77E77">
        <w:rPr>
          <w:rFonts w:ascii="Times New Roman" w:eastAsia="標楷體" w:hAnsi="Times New Roman" w:cs="Times New Roman"/>
          <w:color w:val="000000" w:themeColor="text1"/>
          <w:sz w:val="28"/>
          <w:szCs w:val="28"/>
        </w:rPr>
        <w:t>個產業，包括：智慧監控、智慧路燈、無線網路、國防安全、環保衛生。這</w:t>
      </w:r>
      <w:r w:rsidRPr="00C77E77">
        <w:rPr>
          <w:rFonts w:ascii="Times New Roman" w:eastAsia="標楷體" w:hAnsi="Times New Roman" w:cs="Times New Roman"/>
          <w:color w:val="000000" w:themeColor="text1"/>
          <w:sz w:val="28"/>
          <w:szCs w:val="28"/>
        </w:rPr>
        <w:t>5</w:t>
      </w:r>
      <w:r w:rsidRPr="00C77E77">
        <w:rPr>
          <w:rFonts w:ascii="Times New Roman" w:eastAsia="標楷體" w:hAnsi="Times New Roman" w:cs="Times New Roman"/>
          <w:color w:val="000000" w:themeColor="text1"/>
          <w:sz w:val="28"/>
          <w:szCs w:val="28"/>
        </w:rPr>
        <w:t>個產業不需要跟中國大陸推的基礎建設競爭，所以</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灣是非常有機會的。</w:t>
      </w:r>
    </w:p>
    <w:p w:rsidR="00EC7305" w:rsidRPr="00C77E77" w:rsidRDefault="00FD0D5A" w:rsidP="0001327A">
      <w:pPr>
        <w:pStyle w:val="ab"/>
        <w:numPr>
          <w:ilvl w:val="0"/>
          <w:numId w:val="63"/>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臺</w:t>
      </w:r>
      <w:r w:rsidR="00EC7305" w:rsidRPr="00C77E77">
        <w:rPr>
          <w:rFonts w:ascii="Times New Roman" w:eastAsia="標楷體" w:hAnsi="Times New Roman" w:cs="Times New Roman"/>
          <w:color w:val="000000" w:themeColor="text1"/>
          <w:sz w:val="28"/>
          <w:szCs w:val="28"/>
        </w:rPr>
        <w:t>灣過去對印度沒有盡全力經營，參訪數量太零星、腳步太慢，現在政府應該要把部分補助給中國大陸的資源，轉到印度或是新南向國家。鼓勵企業到印度設點，也鼓勵年輕人到當地常駐</w:t>
      </w:r>
    </w:p>
    <w:p w:rsidR="00EC7305" w:rsidRPr="00C77E77" w:rsidRDefault="00EC7305" w:rsidP="0001327A">
      <w:pPr>
        <w:pStyle w:val="ab"/>
        <w:numPr>
          <w:ilvl w:val="0"/>
          <w:numId w:val="63"/>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印度政府提出要在</w:t>
      </w:r>
      <w:r w:rsidRPr="00C77E77">
        <w:rPr>
          <w:rFonts w:ascii="Times New Roman" w:eastAsia="標楷體" w:hAnsi="Times New Roman" w:cs="Times New Roman"/>
          <w:color w:val="000000" w:themeColor="text1"/>
          <w:sz w:val="28"/>
          <w:szCs w:val="28"/>
        </w:rPr>
        <w:t>2020</w:t>
      </w:r>
      <w:r w:rsidRPr="00C77E77">
        <w:rPr>
          <w:rFonts w:ascii="Times New Roman" w:eastAsia="標楷體" w:hAnsi="Times New Roman" w:cs="Times New Roman"/>
          <w:color w:val="000000" w:themeColor="text1"/>
          <w:sz w:val="28"/>
          <w:szCs w:val="28"/>
        </w:rPr>
        <w:t>年達到零進口的目標，將來印度也一定會出現自己的聯發科，所以</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灣要找到對的人進行技術轉移、互相獲利。建議業者找到適當的合作對象，然後用權利金、技術轉移的方式，把產品適當轉售給客戶。</w:t>
      </w:r>
    </w:p>
    <w:p w:rsidR="00EC7305" w:rsidRPr="00C77E77" w:rsidRDefault="00EC7305" w:rsidP="0001327A">
      <w:pPr>
        <w:pStyle w:val="ab"/>
        <w:numPr>
          <w:ilvl w:val="0"/>
          <w:numId w:val="63"/>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針對印度讓人詬病的地方，如：通關時間太久、不夠可靠、關稅太高</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等問題，</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灣可以把對話層級拉高，跟印度談快速通關的方式。</w:t>
      </w:r>
    </w:p>
    <w:p w:rsidR="00EC7305" w:rsidRPr="00C77E77" w:rsidRDefault="00EC7305" w:rsidP="0001327A">
      <w:pPr>
        <w:pStyle w:val="ab"/>
        <w:numPr>
          <w:ilvl w:val="0"/>
          <w:numId w:val="63"/>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印度的軍用品還相當落後，很多都是跟以色列購買的。印度不可能跟中國大陸在國防安全產業方面有所合作，就算是一般民用的水壩，也不可能跟大陸合作。而</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灣因為不會造成威脅或不安，所以可以去談像是對講機、軍床等的外銷或技術轉移。另外，</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灣也應該每年都去參加國防安全展以增加瞭解。</w:t>
      </w:r>
    </w:p>
    <w:p w:rsidR="00EC7305" w:rsidRPr="00C77E77" w:rsidRDefault="00EC7305" w:rsidP="0001327A">
      <w:pPr>
        <w:pStyle w:val="ab"/>
        <w:numPr>
          <w:ilvl w:val="0"/>
          <w:numId w:val="63"/>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環保衛生產業方面將會是可長可遠的合作，</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灣可以協助印度改善生活水平、提升生活素質，例如：淨水系統、公共廁所、垃圾處理、自來水系統等。</w:t>
      </w:r>
    </w:p>
    <w:p w:rsidR="001E16C4" w:rsidRPr="00C77E77" w:rsidRDefault="00EC7305" w:rsidP="0001327A">
      <w:pPr>
        <w:pStyle w:val="ab"/>
        <w:numPr>
          <w:ilvl w:val="0"/>
          <w:numId w:val="63"/>
        </w:numPr>
        <w:adjustRightInd w:val="0"/>
        <w:snapToGrid w:val="0"/>
        <w:spacing w:beforeLines="50" w:before="180" w:after="50"/>
        <w:ind w:leftChars="0" w:left="851" w:hanging="851"/>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其它的生活方面的合作，例如</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灣的面膜跟珍珠奶茶可試著到印度發展，</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灣也可以多跟印度進口皮革。</w:t>
      </w:r>
    </w:p>
    <w:p w:rsidR="001E16C4" w:rsidRPr="00C77E77" w:rsidRDefault="001E16C4">
      <w:pPr>
        <w:widowControl/>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lastRenderedPageBreak/>
        <w:br w:type="page"/>
      </w:r>
    </w:p>
    <w:p w:rsidR="008A7007" w:rsidRPr="00C77E77" w:rsidRDefault="00A80488" w:rsidP="002576FE">
      <w:pPr>
        <w:pStyle w:val="1"/>
        <w:rPr>
          <w:rFonts w:ascii="Times New Roman" w:eastAsia="標楷體" w:hAnsi="Times New Roman" w:cs="Times New Roman"/>
          <w:sz w:val="36"/>
          <w:szCs w:val="36"/>
        </w:rPr>
      </w:pPr>
      <w:bookmarkStart w:id="181" w:name="_Toc470676336"/>
      <w:r w:rsidRPr="00C77E77">
        <w:rPr>
          <w:rFonts w:ascii="Times New Roman" w:eastAsia="標楷體" w:hAnsi="Times New Roman" w:cs="Times New Roman"/>
          <w:sz w:val="36"/>
          <w:szCs w:val="36"/>
        </w:rPr>
        <w:lastRenderedPageBreak/>
        <w:t>附錄九</w:t>
      </w:r>
      <w:r w:rsidR="008A7007" w:rsidRPr="00C77E77">
        <w:rPr>
          <w:rFonts w:ascii="Times New Roman" w:eastAsia="標楷體" w:hAnsi="Times New Roman" w:cs="Times New Roman"/>
          <w:sz w:val="36"/>
          <w:szCs w:val="36"/>
        </w:rPr>
        <w:t>：</w:t>
      </w:r>
      <w:r w:rsidR="002576FE" w:rsidRPr="00C77E77">
        <w:rPr>
          <w:rFonts w:ascii="Times New Roman" w:eastAsia="標楷體" w:hAnsi="Times New Roman" w:cs="Times New Roman"/>
          <w:sz w:val="36"/>
          <w:szCs w:val="36"/>
        </w:rPr>
        <w:t>出國報告書</w:t>
      </w:r>
      <w:r w:rsidR="002576FE" w:rsidRPr="00C77E77">
        <w:rPr>
          <w:rFonts w:ascii="Times New Roman" w:eastAsia="標楷體" w:hAnsi="Times New Roman" w:cs="Times New Roman"/>
          <w:sz w:val="36"/>
          <w:szCs w:val="36"/>
        </w:rPr>
        <w:t>─</w:t>
      </w:r>
      <w:r w:rsidR="002576FE" w:rsidRPr="00C77E77">
        <w:rPr>
          <w:rFonts w:ascii="Times New Roman" w:eastAsia="標楷體" w:hAnsi="Times New Roman" w:cs="Times New Roman"/>
          <w:sz w:val="36"/>
          <w:szCs w:val="36"/>
        </w:rPr>
        <w:t>印度</w:t>
      </w:r>
      <w:bookmarkEnd w:id="181"/>
    </w:p>
    <w:p w:rsidR="009664E4" w:rsidRPr="00C77E77" w:rsidRDefault="009664E4" w:rsidP="002576FE">
      <w:pPr>
        <w:rPr>
          <w:rFonts w:ascii="Times New Roman" w:eastAsia="標楷體" w:hAnsi="Times New Roman" w:cs="Times New Roman"/>
          <w:b/>
          <w:sz w:val="28"/>
          <w:szCs w:val="28"/>
        </w:rPr>
      </w:pPr>
      <w:bookmarkStart w:id="182" w:name="_Toc466324393"/>
      <w:r w:rsidRPr="00C77E77">
        <w:rPr>
          <w:rFonts w:ascii="Times New Roman" w:eastAsia="標楷體" w:hAnsi="Times New Roman" w:cs="Times New Roman"/>
          <w:b/>
          <w:sz w:val="28"/>
          <w:szCs w:val="28"/>
        </w:rPr>
        <w:t>壹、背景說明</w:t>
      </w:r>
      <w:bookmarkEnd w:id="182"/>
    </w:p>
    <w:p w:rsidR="009664E4" w:rsidRPr="00C77E77" w:rsidRDefault="009664E4" w:rsidP="009664E4">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bookmarkStart w:id="183" w:name="_Ref306280497"/>
      <w:bookmarkStart w:id="184" w:name="_Toc333397031"/>
      <w:bookmarkStart w:id="185" w:name="_Toc339357709"/>
      <w:r w:rsidRPr="00C77E77">
        <w:rPr>
          <w:rFonts w:ascii="Times New Roman" w:eastAsia="標楷體" w:hAnsi="Times New Roman" w:cs="Times New Roman"/>
          <w:sz w:val="28"/>
          <w:szCs w:val="28"/>
        </w:rPr>
        <w:t>為打破過往臺灣對外輸出關鍵零組件等「中間財」薄利化出口模式，經濟部在行政院「系統整合藍海出口」政策決議指導下，於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年成立「系統整合推動平臺」，挑選雲端系統、智慧物流、電子化政府、智慧校園、智慧健康、綠色運輸、電子收費、石化、太陽能、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照明等十大具有出口實績與潛力產業，加上新政府重點推動之電子商務及新農業，列為現階段我國主要「</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」產業南向發展方案。為提供政府制訂政策之建言，有必要拜會並瞭解我國於印尼投資設廠之相關業者對於南向政策之評估看法、佈局策略，及所面臨之困難。</w:t>
      </w:r>
    </w:p>
    <w:p w:rsidR="009664E4" w:rsidRPr="00C77E77" w:rsidRDefault="00FD0D5A" w:rsidP="009664E4">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灣經濟研究院新興市場發展研究中心承接國家發展委員會的「東南亞及南亞經濟合作策略計畫」，為深入瞭解</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十大系統輸出」、新農業及電子商務等十二項產業拓展東協及印度市場之現況和面臨的困難，故而前往印度訪問相關智庫與拜訪相關業者，希望能夠瞭解該十二項產業在政府「新南向政策」下與印度雙向合作之機會與挑戰，以及印度對於我國推動該十二項產業過程中可能的反應和行動，從而才能據以探討我國「</w:t>
      </w:r>
      <w:r w:rsidR="009664E4" w:rsidRPr="00C77E77">
        <w:rPr>
          <w:rFonts w:ascii="Times New Roman" w:eastAsia="標楷體" w:hAnsi="Times New Roman" w:cs="Times New Roman"/>
          <w:sz w:val="28"/>
          <w:szCs w:val="28"/>
        </w:rPr>
        <w:t>10+2</w:t>
      </w:r>
      <w:r w:rsidR="009664E4" w:rsidRPr="00C77E77">
        <w:rPr>
          <w:rFonts w:ascii="Times New Roman" w:eastAsia="標楷體" w:hAnsi="Times New Roman" w:cs="Times New Roman"/>
          <w:sz w:val="28"/>
          <w:szCs w:val="28"/>
        </w:rPr>
        <w:t>」產業南向發展方案之可行途徑。</w:t>
      </w:r>
    </w:p>
    <w:p w:rsidR="009664E4" w:rsidRPr="00C77E77" w:rsidRDefault="009664E4" w:rsidP="009664E4">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本次訪問接觸的人士包括</w:t>
      </w:r>
      <w:r w:rsidRPr="00C77E77">
        <w:rPr>
          <w:rStyle w:val="st"/>
          <w:rFonts w:ascii="Times New Roman" w:eastAsia="標楷體" w:hAnsi="Times New Roman" w:cs="Times New Roman"/>
          <w:sz w:val="28"/>
          <w:szCs w:val="28"/>
        </w:rPr>
        <w:t>國防研究與分析中心</w:t>
      </w:r>
      <w:r w:rsidR="00C262D1" w:rsidRPr="00C77E77">
        <w:rPr>
          <w:rStyle w:val="st"/>
          <w:rFonts w:ascii="Times New Roman" w:eastAsia="標楷體" w:hAnsi="Times New Roman" w:cs="Times New Roman"/>
          <w:sz w:val="28"/>
          <w:szCs w:val="28"/>
        </w:rPr>
        <w:t>（</w:t>
      </w:r>
      <w:r w:rsidRPr="00C77E77">
        <w:rPr>
          <w:rStyle w:val="st"/>
          <w:rFonts w:ascii="Times New Roman" w:eastAsia="標楷體" w:hAnsi="Times New Roman" w:cs="Times New Roman"/>
          <w:sz w:val="28"/>
          <w:szCs w:val="28"/>
        </w:rPr>
        <w:t xml:space="preserve">Institute for Defense Studies and Analyses, </w:t>
      </w:r>
      <w:r w:rsidRPr="00C77E77">
        <w:rPr>
          <w:rStyle w:val="aff2"/>
          <w:rFonts w:ascii="Times New Roman" w:eastAsia="標楷體" w:hAnsi="Times New Roman" w:cs="Times New Roman"/>
          <w:i w:val="0"/>
          <w:sz w:val="28"/>
          <w:szCs w:val="28"/>
        </w:rPr>
        <w:t>IDSA</w:t>
      </w:r>
      <w:r w:rsidR="00C262D1" w:rsidRPr="00C77E77">
        <w:rPr>
          <w:rStyle w:val="st"/>
          <w:rFonts w:ascii="Times New Roman" w:eastAsia="標楷體" w:hAnsi="Times New Roman" w:cs="Times New Roman"/>
          <w:sz w:val="28"/>
          <w:szCs w:val="28"/>
        </w:rPr>
        <w:t>）</w:t>
      </w:r>
      <w:r w:rsidRPr="00C77E77">
        <w:rPr>
          <w:rFonts w:ascii="Times New Roman" w:eastAsia="標楷體" w:hAnsi="Times New Roman" w:cs="Times New Roman"/>
          <w:color w:val="000000"/>
          <w:kern w:val="0"/>
          <w:sz w:val="28"/>
          <w:szCs w:val="28"/>
        </w:rPr>
        <w:t>研究員辛柏山</w:t>
      </w:r>
      <w:r w:rsidR="00C262D1" w:rsidRPr="00C77E77">
        <w:rPr>
          <w:rFonts w:ascii="Times New Roman" w:eastAsia="標楷體" w:hAnsi="Times New Roman" w:cs="Times New Roman"/>
          <w:color w:val="000000"/>
          <w:kern w:val="0"/>
          <w:sz w:val="28"/>
          <w:szCs w:val="28"/>
        </w:rPr>
        <w:t>（</w:t>
      </w:r>
      <w:r w:rsidR="00C262D1" w:rsidRPr="00C77E77">
        <w:rPr>
          <w:rFonts w:ascii="Times New Roman" w:eastAsia="標楷體" w:hAnsi="Times New Roman" w:cs="Times New Roman"/>
          <w:color w:val="000000"/>
          <w:kern w:val="0"/>
          <w:sz w:val="28"/>
          <w:szCs w:val="28"/>
        </w:rPr>
        <w:t>Prashant Singh</w:t>
      </w:r>
      <w:r w:rsidR="00C262D1"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、印度中國研究所</w:t>
      </w:r>
      <w:r w:rsidR="00C262D1" w:rsidRPr="00C77E77">
        <w:rPr>
          <w:rStyle w:val="st"/>
          <w:rFonts w:ascii="Times New Roman" w:eastAsia="標楷體" w:hAnsi="Times New Roman" w:cs="Times New Roman"/>
          <w:sz w:val="28"/>
          <w:szCs w:val="28"/>
        </w:rPr>
        <w:t>（</w:t>
      </w:r>
      <w:r w:rsidRPr="00C77E77">
        <w:rPr>
          <w:rStyle w:val="st"/>
          <w:rFonts w:ascii="Times New Roman" w:eastAsia="標楷體" w:hAnsi="Times New Roman" w:cs="Times New Roman"/>
          <w:sz w:val="28"/>
          <w:szCs w:val="28"/>
        </w:rPr>
        <w:t>Institute of Chinese Studies, ICS</w:t>
      </w:r>
      <w:r w:rsidR="00C262D1"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助理主任</w:t>
      </w:r>
      <w:r w:rsidRPr="00C77E77">
        <w:rPr>
          <w:rFonts w:ascii="Times New Roman" w:eastAsia="標楷體" w:hAnsi="Times New Roman" w:cs="Times New Roman"/>
          <w:sz w:val="28"/>
          <w:szCs w:val="28"/>
        </w:rPr>
        <w:t>鄭家賓</w:t>
      </w:r>
      <w:r w:rsidR="00C262D1" w:rsidRPr="00C77E77">
        <w:rPr>
          <w:rFonts w:ascii="Times New Roman" w:eastAsia="標楷體" w:hAnsi="Times New Roman" w:cs="Times New Roman"/>
          <w:sz w:val="28"/>
          <w:szCs w:val="28"/>
        </w:rPr>
        <w:t>（</w:t>
      </w:r>
      <w:r w:rsidR="00C262D1" w:rsidRPr="00C77E77">
        <w:rPr>
          <w:rFonts w:ascii="Times New Roman" w:eastAsia="標楷體" w:hAnsi="Times New Roman" w:cs="Times New Roman"/>
          <w:color w:val="000000"/>
          <w:kern w:val="0"/>
          <w:sz w:val="28"/>
          <w:szCs w:val="28"/>
        </w:rPr>
        <w:t>Jabin Jacob</w:t>
      </w:r>
      <w:r w:rsidR="00C262D1"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sz w:val="28"/>
          <w:szCs w:val="28"/>
        </w:rPr>
        <w:t>印度尼赫魯大學國際政治系</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Centre for International Politic</w:t>
      </w:r>
      <w:r w:rsidR="00C262D1" w:rsidRPr="00C77E77">
        <w:rPr>
          <w:rFonts w:ascii="Times New Roman" w:eastAsia="標楷體" w:hAnsi="Times New Roman" w:cs="Times New Roman"/>
          <w:sz w:val="28"/>
          <w:szCs w:val="28"/>
        </w:rPr>
        <w:t>s, Organization and Disarmament</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教授</w:t>
      </w:r>
      <w:r w:rsidRPr="00C77E77">
        <w:rPr>
          <w:rFonts w:ascii="Times New Roman" w:eastAsia="標楷體" w:hAnsi="Times New Roman" w:cs="Times New Roman"/>
          <w:sz w:val="28"/>
          <w:szCs w:val="28"/>
        </w:rPr>
        <w:t>Prof. Rajesh Rajagopalan</w:t>
      </w:r>
      <w:r w:rsidRPr="00C77E77">
        <w:rPr>
          <w:rFonts w:ascii="Times New Roman" w:eastAsia="標楷體" w:hAnsi="Times New Roman" w:cs="Times New Roman"/>
          <w:sz w:val="28"/>
          <w:szCs w:val="28"/>
        </w:rPr>
        <w:t>、</w:t>
      </w:r>
      <w:r w:rsidRPr="00C77E77">
        <w:rPr>
          <w:rFonts w:ascii="Times New Roman" w:eastAsia="標楷體" w:hAnsi="Times New Roman" w:cs="Times New Roman"/>
          <w:kern w:val="0"/>
          <w:sz w:val="28"/>
          <w:szCs w:val="28"/>
        </w:rPr>
        <w:t>晶元光電印度執行長林依達先生、德里</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商會</w:t>
      </w:r>
      <w:r w:rsidRPr="00C77E77">
        <w:rPr>
          <w:rFonts w:ascii="Times New Roman" w:eastAsia="標楷體" w:hAnsi="Times New Roman" w:cs="Times New Roman"/>
          <w:sz w:val="28"/>
          <w:szCs w:val="28"/>
        </w:rPr>
        <w:t>柯喬然會長、尼赫魯大學</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灣教育中心王潔予老師、尼赫魯大學東亞系</w:t>
      </w:r>
      <w:r w:rsidR="00C262D1" w:rsidRPr="00C77E77">
        <w:rPr>
          <w:rFonts w:ascii="Times New Roman" w:eastAsia="標楷體" w:hAnsi="Times New Roman" w:cs="Times New Roman"/>
          <w:sz w:val="28"/>
          <w:szCs w:val="28"/>
        </w:rPr>
        <w:t>（</w:t>
      </w:r>
      <w:r w:rsidR="00C262D1" w:rsidRPr="00C77E77">
        <w:rPr>
          <w:rFonts w:ascii="Times New Roman" w:eastAsia="標楷體" w:hAnsi="Times New Roman" w:cs="Times New Roman"/>
          <w:sz w:val="28"/>
          <w:szCs w:val="28"/>
        </w:rPr>
        <w:t>Centre for East Asian Studies</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副教授</w:t>
      </w:r>
      <w:r w:rsidR="00C262D1" w:rsidRPr="00C77E77">
        <w:rPr>
          <w:rFonts w:ascii="Times New Roman" w:eastAsia="標楷體" w:hAnsi="Times New Roman" w:cs="Times New Roman"/>
          <w:sz w:val="28"/>
          <w:szCs w:val="28"/>
        </w:rPr>
        <w:t>Raviprasad Narayanan</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那</w:t>
      </w:r>
      <w:r w:rsidRPr="00C77E77">
        <w:rPr>
          <w:rFonts w:ascii="Times New Roman" w:eastAsia="標楷體" w:hAnsi="Times New Roman" w:cs="Times New Roman"/>
          <w:sz w:val="28"/>
          <w:szCs w:val="28"/>
        </w:rPr>
        <w:lastRenderedPageBreak/>
        <w:t>瑞維</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商陳惠玲女士、駐印度代表處田中光大使、經濟組楊宏組長、科技組陳和賢組長、教育部陳奕達秘書、印度觀察家研究基金會</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color w:val="000000"/>
          <w:kern w:val="0"/>
          <w:sz w:val="28"/>
          <w:szCs w:val="28"/>
        </w:rPr>
        <w:t>Obser</w:t>
      </w:r>
      <w:r w:rsidR="00C262D1" w:rsidRPr="00C77E77">
        <w:rPr>
          <w:rFonts w:ascii="Times New Roman" w:eastAsia="標楷體" w:hAnsi="Times New Roman" w:cs="Times New Roman"/>
          <w:color w:val="000000"/>
          <w:kern w:val="0"/>
          <w:sz w:val="28"/>
          <w:szCs w:val="28"/>
        </w:rPr>
        <w:t>ver Research Foundation</w:t>
      </w:r>
      <w:r w:rsidR="00C262D1"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資深研究員</w:t>
      </w:r>
      <w:r w:rsidRPr="00C77E77">
        <w:rPr>
          <w:rFonts w:ascii="Times New Roman" w:eastAsia="標楷體" w:hAnsi="Times New Roman" w:cs="Times New Roman"/>
          <w:color w:val="000000"/>
          <w:kern w:val="0"/>
          <w:sz w:val="28"/>
          <w:szCs w:val="28"/>
        </w:rPr>
        <w:t>Dr. Rajeswari Pillai Rajagopalan </w:t>
      </w:r>
      <w:r w:rsidRPr="00C77E77">
        <w:rPr>
          <w:rFonts w:ascii="Times New Roman" w:eastAsia="標楷體" w:hAnsi="Times New Roman" w:cs="Times New Roman"/>
          <w:color w:val="000000"/>
          <w:kern w:val="0"/>
          <w:sz w:val="28"/>
          <w:szCs w:val="28"/>
        </w:rPr>
        <w:t>、中央社駐新德里特派員康世人先生、</w:t>
      </w:r>
      <w:r w:rsidRPr="00C77E77">
        <w:rPr>
          <w:rFonts w:ascii="Times New Roman" w:eastAsia="標楷體" w:hAnsi="Times New Roman" w:cs="Times New Roman"/>
          <w:sz w:val="28"/>
          <w:szCs w:val="28"/>
        </w:rPr>
        <w:t>印度國際經濟關係研究委員會</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Indian Council for Research on I</w:t>
      </w:r>
      <w:r w:rsidR="00C262D1" w:rsidRPr="00C77E77">
        <w:rPr>
          <w:rFonts w:ascii="Times New Roman" w:eastAsia="標楷體" w:hAnsi="Times New Roman" w:cs="Times New Roman"/>
          <w:sz w:val="28"/>
          <w:szCs w:val="28"/>
        </w:rPr>
        <w:t>nternational Economic Relations</w:t>
      </w:r>
      <w:r w:rsidR="00C262D1"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資深研究員</w:t>
      </w:r>
      <w:r w:rsidRPr="00C77E77">
        <w:rPr>
          <w:rFonts w:ascii="Times New Roman" w:eastAsia="標楷體" w:hAnsi="Times New Roman" w:cs="Times New Roman"/>
          <w:kern w:val="0"/>
          <w:sz w:val="28"/>
          <w:szCs w:val="28"/>
        </w:rPr>
        <w:t>Prof. Arpita Mukherjee</w:t>
      </w:r>
      <w:r w:rsidRPr="00C77E77">
        <w:rPr>
          <w:rFonts w:ascii="Times New Roman" w:eastAsia="標楷體" w:hAnsi="Times New Roman" w:cs="Times New Roman"/>
          <w:kern w:val="0"/>
          <w:sz w:val="28"/>
          <w:szCs w:val="28"/>
        </w:rPr>
        <w:t>等</w:t>
      </w:r>
      <w:r w:rsidRPr="00C77E77">
        <w:rPr>
          <w:rFonts w:ascii="Times New Roman" w:eastAsia="標楷體" w:hAnsi="Times New Roman" w:cs="Times New Roman"/>
          <w:sz w:val="28"/>
          <w:szCs w:val="28"/>
        </w:rPr>
        <w:t>產官學界代表，針對當前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印度雙邊關係與發展進行討論，俾利我國「</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」產業南向發展規劃妥慎行動方案，擬定相關可行策略，以加速相關雙邊合作進程。</w:t>
      </w:r>
    </w:p>
    <w:p w:rsidR="009664E4" w:rsidRPr="00C77E77" w:rsidRDefault="009664E4" w:rsidP="009664E4">
      <w:pPr>
        <w:widowControl/>
        <w:spacing w:beforeLines="50" w:before="180" w:afterLines="50" w:after="180" w:line="500" w:lineRule="exact"/>
        <w:jc w:val="center"/>
        <w:rPr>
          <w:rFonts w:ascii="Times New Roman" w:eastAsia="標楷體" w:hAnsi="Times New Roman" w:cs="Times New Roman"/>
          <w:b/>
          <w:sz w:val="28"/>
          <w:szCs w:val="28"/>
        </w:rPr>
      </w:pPr>
      <w:bookmarkStart w:id="186" w:name="_Toc463967964"/>
      <w:r w:rsidRPr="00C77E77">
        <w:rPr>
          <w:rFonts w:ascii="Times New Roman" w:eastAsia="標楷體" w:hAnsi="Times New Roman" w:cs="Times New Roman"/>
          <w:b/>
          <w:sz w:val="28"/>
          <w:szCs w:val="28"/>
        </w:rPr>
        <w:t>表</w:t>
      </w:r>
      <w:r w:rsidRPr="00C77E77">
        <w:rPr>
          <w:rFonts w:ascii="Times New Roman" w:eastAsia="標楷體" w:hAnsi="Times New Roman" w:cs="Times New Roman"/>
          <w:b/>
          <w:sz w:val="28"/>
          <w:szCs w:val="28"/>
        </w:rPr>
        <w:fldChar w:fldCharType="begin"/>
      </w:r>
      <w:r w:rsidRPr="00C77E77">
        <w:rPr>
          <w:rFonts w:ascii="Times New Roman" w:eastAsia="標楷體" w:hAnsi="Times New Roman" w:cs="Times New Roman"/>
          <w:b/>
          <w:sz w:val="28"/>
          <w:szCs w:val="28"/>
        </w:rPr>
        <w:instrText xml:space="preserve"> SEQ </w:instrText>
      </w:r>
      <w:r w:rsidRPr="00C77E77">
        <w:rPr>
          <w:rFonts w:ascii="Times New Roman" w:eastAsia="標楷體" w:hAnsi="Times New Roman" w:cs="Times New Roman"/>
          <w:b/>
          <w:sz w:val="28"/>
          <w:szCs w:val="28"/>
        </w:rPr>
        <w:instrText>表</w:instrText>
      </w:r>
      <w:r w:rsidRPr="00C77E77">
        <w:rPr>
          <w:rFonts w:ascii="Times New Roman" w:eastAsia="標楷體" w:hAnsi="Times New Roman" w:cs="Times New Roman"/>
          <w:b/>
          <w:sz w:val="28"/>
          <w:szCs w:val="28"/>
        </w:rPr>
        <w:instrText xml:space="preserve"> \* ARABIC </w:instrText>
      </w:r>
      <w:r w:rsidRPr="00C77E77">
        <w:rPr>
          <w:rFonts w:ascii="Times New Roman" w:eastAsia="標楷體" w:hAnsi="Times New Roman" w:cs="Times New Roman"/>
          <w:b/>
          <w:sz w:val="28"/>
          <w:szCs w:val="28"/>
        </w:rPr>
        <w:fldChar w:fldCharType="separate"/>
      </w:r>
      <w:r w:rsidR="00D45A64" w:rsidRPr="00C77E77">
        <w:rPr>
          <w:rFonts w:ascii="Times New Roman" w:eastAsia="標楷體" w:hAnsi="Times New Roman" w:cs="Times New Roman"/>
          <w:b/>
          <w:noProof/>
          <w:sz w:val="28"/>
          <w:szCs w:val="28"/>
        </w:rPr>
        <w:t>1</w:t>
      </w:r>
      <w:r w:rsidRPr="00C77E77">
        <w:rPr>
          <w:rFonts w:ascii="Times New Roman" w:eastAsia="標楷體" w:hAnsi="Times New Roman" w:cs="Times New Roman"/>
          <w:b/>
          <w:sz w:val="28"/>
          <w:szCs w:val="28"/>
        </w:rPr>
        <w:fldChar w:fldCharType="end"/>
      </w:r>
      <w:r w:rsidRPr="00C77E77">
        <w:rPr>
          <w:rFonts w:ascii="Times New Roman" w:eastAsia="標楷體" w:hAnsi="Times New Roman" w:cs="Times New Roman"/>
          <w:b/>
          <w:sz w:val="28"/>
          <w:szCs w:val="28"/>
        </w:rPr>
        <w:t>：訪問團成員名單</w:t>
      </w:r>
      <w:bookmarkEnd w:id="18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236"/>
        <w:gridCol w:w="2076"/>
      </w:tblGrid>
      <w:tr w:rsidR="009664E4" w:rsidRPr="00C77E77" w:rsidTr="009664E4">
        <w:trPr>
          <w:trHeight w:val="567"/>
          <w:jc w:val="center"/>
        </w:trPr>
        <w:tc>
          <w:tcPr>
            <w:tcW w:w="3114" w:type="dxa"/>
            <w:shd w:val="clear" w:color="auto" w:fill="auto"/>
          </w:tcPr>
          <w:bookmarkEnd w:id="183"/>
          <w:bookmarkEnd w:id="184"/>
          <w:bookmarkEnd w:id="185"/>
          <w:p w:rsidR="009664E4" w:rsidRPr="00C77E77" w:rsidRDefault="009664E4" w:rsidP="009664E4">
            <w:pPr>
              <w:snapToGrid w:val="0"/>
              <w:spacing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服務單位</w:t>
            </w:r>
          </w:p>
        </w:tc>
        <w:tc>
          <w:tcPr>
            <w:tcW w:w="1236" w:type="dxa"/>
            <w:shd w:val="clear" w:color="auto" w:fill="auto"/>
          </w:tcPr>
          <w:p w:rsidR="009664E4" w:rsidRPr="00C77E77" w:rsidRDefault="009664E4" w:rsidP="009664E4">
            <w:pPr>
              <w:snapToGrid w:val="0"/>
              <w:spacing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姓名</w:t>
            </w:r>
          </w:p>
        </w:tc>
        <w:tc>
          <w:tcPr>
            <w:tcW w:w="2076" w:type="dxa"/>
            <w:shd w:val="clear" w:color="auto" w:fill="auto"/>
          </w:tcPr>
          <w:p w:rsidR="009664E4" w:rsidRPr="00C77E77" w:rsidRDefault="009664E4" w:rsidP="009664E4">
            <w:pPr>
              <w:snapToGrid w:val="0"/>
              <w:spacing w:line="500" w:lineRule="exact"/>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職稱</w:t>
            </w:r>
          </w:p>
        </w:tc>
      </w:tr>
      <w:tr w:rsidR="009664E4" w:rsidRPr="00C77E77" w:rsidTr="009664E4">
        <w:trPr>
          <w:trHeight w:val="567"/>
          <w:jc w:val="center"/>
        </w:trPr>
        <w:tc>
          <w:tcPr>
            <w:tcW w:w="3114" w:type="dxa"/>
            <w:shd w:val="clear" w:color="auto" w:fill="auto"/>
          </w:tcPr>
          <w:p w:rsidR="009664E4" w:rsidRPr="00C77E77" w:rsidRDefault="00FD0D5A" w:rsidP="009664E4">
            <w:pPr>
              <w:snapToGrid w:val="0"/>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灣經濟研究院</w:t>
            </w:r>
          </w:p>
        </w:tc>
        <w:tc>
          <w:tcPr>
            <w:tcW w:w="1236" w:type="dxa"/>
            <w:shd w:val="clear" w:color="auto" w:fill="auto"/>
          </w:tcPr>
          <w:p w:rsidR="009664E4" w:rsidRPr="00C77E77" w:rsidRDefault="009664E4" w:rsidP="009664E4">
            <w:pPr>
              <w:snapToGrid w:val="0"/>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陳華昇</w:t>
            </w:r>
          </w:p>
        </w:tc>
        <w:tc>
          <w:tcPr>
            <w:tcW w:w="2076" w:type="dxa"/>
            <w:shd w:val="clear" w:color="auto" w:fill="auto"/>
          </w:tcPr>
          <w:p w:rsidR="009664E4" w:rsidRPr="00C77E77" w:rsidRDefault="009664E4" w:rsidP="009664E4">
            <w:pPr>
              <w:snapToGrid w:val="0"/>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研究員兼主任</w:t>
            </w:r>
          </w:p>
        </w:tc>
      </w:tr>
      <w:tr w:rsidR="009664E4" w:rsidRPr="00C77E77" w:rsidTr="009664E4">
        <w:trPr>
          <w:trHeight w:val="567"/>
          <w:jc w:val="center"/>
        </w:trPr>
        <w:tc>
          <w:tcPr>
            <w:tcW w:w="3114" w:type="dxa"/>
            <w:shd w:val="clear" w:color="auto" w:fill="auto"/>
          </w:tcPr>
          <w:p w:rsidR="009664E4" w:rsidRPr="00C77E77" w:rsidRDefault="009664E4" w:rsidP="009664E4">
            <w:pPr>
              <w:snapToGrid w:val="0"/>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國立清華大學通識中心</w:t>
            </w:r>
          </w:p>
        </w:tc>
        <w:tc>
          <w:tcPr>
            <w:tcW w:w="1236" w:type="dxa"/>
            <w:shd w:val="clear" w:color="auto" w:fill="auto"/>
          </w:tcPr>
          <w:p w:rsidR="009664E4" w:rsidRPr="00C77E77" w:rsidRDefault="009664E4" w:rsidP="009664E4">
            <w:pPr>
              <w:snapToGrid w:val="0"/>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方天賜</w:t>
            </w:r>
          </w:p>
        </w:tc>
        <w:tc>
          <w:tcPr>
            <w:tcW w:w="2076" w:type="dxa"/>
            <w:shd w:val="clear" w:color="auto" w:fill="auto"/>
          </w:tcPr>
          <w:p w:rsidR="009664E4" w:rsidRPr="00C77E77" w:rsidRDefault="009664E4" w:rsidP="009664E4">
            <w:pPr>
              <w:snapToGrid w:val="0"/>
              <w:spacing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助理教授</w:t>
            </w:r>
          </w:p>
        </w:tc>
      </w:tr>
    </w:tbl>
    <w:p w:rsidR="009664E4" w:rsidRPr="00C77E77" w:rsidRDefault="009664E4" w:rsidP="009664E4">
      <w:pPr>
        <w:snapToGrid w:val="0"/>
        <w:spacing w:line="500" w:lineRule="exact"/>
        <w:jc w:val="both"/>
        <w:rPr>
          <w:rFonts w:ascii="Times New Roman" w:eastAsia="標楷體" w:hAnsi="Times New Roman" w:cs="Times New Roman"/>
          <w:b/>
          <w:sz w:val="28"/>
          <w:szCs w:val="28"/>
        </w:rPr>
      </w:pPr>
    </w:p>
    <w:p w:rsidR="009664E4" w:rsidRPr="00C77E77" w:rsidRDefault="009664E4">
      <w:pPr>
        <w:widowControl/>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br w:type="page"/>
      </w:r>
    </w:p>
    <w:p w:rsidR="009664E4" w:rsidRPr="00C77E77" w:rsidRDefault="009664E4" w:rsidP="009664E4">
      <w:pPr>
        <w:snapToGrid w:val="0"/>
        <w:spacing w:beforeLines="50" w:before="180" w:afterLines="50" w:after="180" w:line="500" w:lineRule="exact"/>
        <w:jc w:val="center"/>
        <w:rPr>
          <w:rFonts w:ascii="Times New Roman" w:eastAsia="標楷體" w:hAnsi="Times New Roman" w:cs="Times New Roman"/>
          <w:b/>
          <w:sz w:val="28"/>
          <w:szCs w:val="28"/>
        </w:rPr>
      </w:pPr>
      <w:bookmarkStart w:id="187" w:name="_Toc463967965"/>
      <w:r w:rsidRPr="00C77E77">
        <w:rPr>
          <w:rFonts w:ascii="Times New Roman" w:eastAsia="標楷體" w:hAnsi="Times New Roman" w:cs="Times New Roman"/>
          <w:b/>
          <w:sz w:val="28"/>
          <w:szCs w:val="28"/>
        </w:rPr>
        <w:lastRenderedPageBreak/>
        <w:t>表</w:t>
      </w:r>
      <w:r w:rsidRPr="00C77E77">
        <w:rPr>
          <w:rFonts w:ascii="Times New Roman" w:eastAsia="標楷體" w:hAnsi="Times New Roman" w:cs="Times New Roman"/>
          <w:b/>
          <w:sz w:val="28"/>
          <w:szCs w:val="28"/>
        </w:rPr>
        <w:fldChar w:fldCharType="begin"/>
      </w:r>
      <w:r w:rsidRPr="00C77E77">
        <w:rPr>
          <w:rFonts w:ascii="Times New Roman" w:eastAsia="標楷體" w:hAnsi="Times New Roman" w:cs="Times New Roman"/>
          <w:b/>
          <w:sz w:val="28"/>
          <w:szCs w:val="28"/>
        </w:rPr>
        <w:instrText xml:space="preserve"> SEQ </w:instrText>
      </w:r>
      <w:r w:rsidRPr="00C77E77">
        <w:rPr>
          <w:rFonts w:ascii="Times New Roman" w:eastAsia="標楷體" w:hAnsi="Times New Roman" w:cs="Times New Roman"/>
          <w:b/>
          <w:sz w:val="28"/>
          <w:szCs w:val="28"/>
        </w:rPr>
        <w:instrText>表</w:instrText>
      </w:r>
      <w:r w:rsidRPr="00C77E77">
        <w:rPr>
          <w:rFonts w:ascii="Times New Roman" w:eastAsia="標楷體" w:hAnsi="Times New Roman" w:cs="Times New Roman"/>
          <w:b/>
          <w:sz w:val="28"/>
          <w:szCs w:val="28"/>
        </w:rPr>
        <w:instrText xml:space="preserve"> \* ARABIC </w:instrText>
      </w:r>
      <w:r w:rsidRPr="00C77E77">
        <w:rPr>
          <w:rFonts w:ascii="Times New Roman" w:eastAsia="標楷體" w:hAnsi="Times New Roman" w:cs="Times New Roman"/>
          <w:b/>
          <w:sz w:val="28"/>
          <w:szCs w:val="28"/>
        </w:rPr>
        <w:fldChar w:fldCharType="separate"/>
      </w:r>
      <w:r w:rsidR="00D45A64" w:rsidRPr="00C77E77">
        <w:rPr>
          <w:rFonts w:ascii="Times New Roman" w:eastAsia="標楷體" w:hAnsi="Times New Roman" w:cs="Times New Roman"/>
          <w:b/>
          <w:noProof/>
          <w:sz w:val="28"/>
          <w:szCs w:val="28"/>
        </w:rPr>
        <w:t>2</w:t>
      </w:r>
      <w:r w:rsidRPr="00C77E77">
        <w:rPr>
          <w:rFonts w:ascii="Times New Roman" w:eastAsia="標楷體" w:hAnsi="Times New Roman" w:cs="Times New Roman"/>
          <w:b/>
          <w:sz w:val="28"/>
          <w:szCs w:val="28"/>
        </w:rPr>
        <w:fldChar w:fldCharType="end"/>
      </w:r>
      <w:r w:rsidRPr="00C77E77">
        <w:rPr>
          <w:rFonts w:ascii="Times New Roman" w:eastAsia="標楷體" w:hAnsi="Times New Roman" w:cs="Times New Roman"/>
          <w:b/>
          <w:sz w:val="28"/>
          <w:szCs w:val="28"/>
        </w:rPr>
        <w:t>：訪團行程</w:t>
      </w:r>
      <w:bookmarkEnd w:id="187"/>
      <w:r w:rsidRPr="00C77E77">
        <w:rPr>
          <w:rFonts w:ascii="Times New Roman" w:eastAsia="標楷體" w:hAnsi="Times New Roman" w:cs="Times New Roman"/>
          <w:b/>
          <w:sz w:val="28"/>
          <w:szCs w:val="28"/>
        </w:rPr>
        <w:t>表</w:t>
      </w:r>
    </w:p>
    <w:tbl>
      <w:tblPr>
        <w:tblW w:w="9332" w:type="dxa"/>
        <w:tblInd w:w="19" w:type="dxa"/>
        <w:tblCellMar>
          <w:left w:w="28" w:type="dxa"/>
          <w:right w:w="28" w:type="dxa"/>
        </w:tblCellMar>
        <w:tblLook w:val="0000" w:firstRow="0" w:lastRow="0" w:firstColumn="0" w:lastColumn="0" w:noHBand="0" w:noVBand="0"/>
      </w:tblPr>
      <w:tblGrid>
        <w:gridCol w:w="1020"/>
        <w:gridCol w:w="1020"/>
        <w:gridCol w:w="7292"/>
      </w:tblGrid>
      <w:tr w:rsidR="009664E4" w:rsidRPr="00C77E77" w:rsidTr="009664E4">
        <w:trPr>
          <w:trHeight w:val="335"/>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bookmarkStart w:id="188" w:name="_Toc339357696"/>
            <w:r w:rsidRPr="00C77E77">
              <w:rPr>
                <w:rFonts w:ascii="Times New Roman" w:eastAsia="標楷體" w:hAnsi="Times New Roman" w:cs="Times New Roman"/>
                <w:color w:val="000000"/>
                <w:kern w:val="0"/>
                <w:sz w:val="28"/>
                <w:szCs w:val="28"/>
              </w:rPr>
              <w:t>9</w:t>
            </w:r>
            <w:r w:rsidRPr="00C77E77">
              <w:rPr>
                <w:rFonts w:ascii="Times New Roman" w:eastAsia="標楷體" w:hAnsi="Times New Roman" w:cs="Times New Roman"/>
                <w:color w:val="000000"/>
                <w:kern w:val="0"/>
                <w:sz w:val="28"/>
                <w:szCs w:val="28"/>
              </w:rPr>
              <w:t>月</w:t>
            </w:r>
            <w:r w:rsidRPr="00C77E77">
              <w:rPr>
                <w:rFonts w:ascii="Times New Roman" w:eastAsia="標楷體" w:hAnsi="Times New Roman" w:cs="Times New Roman"/>
                <w:color w:val="000000"/>
                <w:kern w:val="0"/>
                <w:sz w:val="28"/>
                <w:szCs w:val="28"/>
              </w:rPr>
              <w:t>1</w:t>
            </w:r>
            <w:r w:rsidRPr="00C77E77">
              <w:rPr>
                <w:rFonts w:ascii="Times New Roman" w:eastAsia="標楷體" w:hAnsi="Times New Roman" w:cs="Times New Roman"/>
                <w:color w:val="000000"/>
                <w:kern w:val="0"/>
                <w:sz w:val="28"/>
                <w:szCs w:val="28"/>
              </w:rPr>
              <w:t>日</w:t>
            </w:r>
          </w:p>
        </w:tc>
        <w:tc>
          <w:tcPr>
            <w:tcW w:w="1020" w:type="dxa"/>
            <w:tcBorders>
              <w:top w:val="single" w:sz="4" w:space="0" w:color="auto"/>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四</w:t>
            </w:r>
            <w:r w:rsidRPr="00C77E77">
              <w:rPr>
                <w:rFonts w:ascii="Times New Roman" w:eastAsia="標楷體" w:hAnsi="Times New Roman" w:cs="Times New Roman"/>
                <w:color w:val="000000"/>
                <w:kern w:val="0"/>
                <w:sz w:val="28"/>
                <w:szCs w:val="28"/>
              </w:rPr>
              <w:t>)</w:t>
            </w:r>
          </w:p>
        </w:tc>
        <w:tc>
          <w:tcPr>
            <w:tcW w:w="7292" w:type="dxa"/>
            <w:tcBorders>
              <w:top w:val="single" w:sz="4" w:space="0" w:color="auto"/>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07:55</w:t>
            </w:r>
            <w:r w:rsidRPr="00C77E77">
              <w:rPr>
                <w:rFonts w:ascii="Times New Roman" w:eastAsia="標楷體" w:hAnsi="Times New Roman" w:cs="Times New Roman"/>
                <w:color w:val="000000"/>
                <w:kern w:val="0"/>
                <w:sz w:val="28"/>
                <w:szCs w:val="28"/>
              </w:rPr>
              <w:t>搭乘華航由</w:t>
            </w:r>
            <w:r w:rsidR="00FD0D5A" w:rsidRPr="00C77E77">
              <w:rPr>
                <w:rFonts w:ascii="Times New Roman" w:eastAsia="標楷體" w:hAnsi="Times New Roman" w:cs="Times New Roman"/>
                <w:color w:val="000000"/>
                <w:kern w:val="0"/>
                <w:sz w:val="28"/>
                <w:szCs w:val="28"/>
              </w:rPr>
              <w:t>臺</w:t>
            </w:r>
            <w:r w:rsidRPr="00C77E77">
              <w:rPr>
                <w:rFonts w:ascii="Times New Roman" w:eastAsia="標楷體" w:hAnsi="Times New Roman" w:cs="Times New Roman"/>
                <w:color w:val="000000"/>
                <w:kern w:val="0"/>
                <w:sz w:val="28"/>
                <w:szCs w:val="28"/>
              </w:rPr>
              <w:t>北赴新德里</w:t>
            </w:r>
            <w:r w:rsidRPr="00C77E77">
              <w:rPr>
                <w:rFonts w:ascii="Times New Roman" w:eastAsia="標楷體" w:hAnsi="Times New Roman" w:cs="Times New Roman"/>
                <w:color w:val="000000"/>
                <w:kern w:val="0"/>
                <w:sz w:val="28"/>
                <w:szCs w:val="28"/>
              </w:rPr>
              <w:t xml:space="preserve"> </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11:35</w:t>
            </w:r>
            <w:r w:rsidRPr="00C77E77">
              <w:rPr>
                <w:rFonts w:ascii="Times New Roman" w:eastAsia="標楷體" w:hAnsi="Times New Roman" w:cs="Times New Roman"/>
                <w:color w:val="000000"/>
                <w:kern w:val="0"/>
                <w:sz w:val="28"/>
                <w:szCs w:val="28"/>
              </w:rPr>
              <w:t>抵新德里，代表處邱公使、韓參事接機，赴旅館</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14:00 </w:t>
            </w:r>
            <w:r w:rsidRPr="00C77E77">
              <w:rPr>
                <w:rFonts w:ascii="Times New Roman" w:eastAsia="標楷體" w:hAnsi="Times New Roman" w:cs="Times New Roman"/>
                <w:color w:val="000000"/>
                <w:kern w:val="0"/>
                <w:sz w:val="28"/>
                <w:szCs w:val="28"/>
              </w:rPr>
              <w:t>入住旅館</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15:00</w:t>
            </w:r>
            <w:r w:rsidRPr="00C77E77">
              <w:rPr>
                <w:rFonts w:ascii="Times New Roman" w:eastAsia="標楷體" w:hAnsi="Times New Roman" w:cs="Times New Roman"/>
                <w:color w:val="000000"/>
                <w:kern w:val="0"/>
                <w:sz w:val="28"/>
                <w:szCs w:val="28"/>
              </w:rPr>
              <w:t>會晤</w:t>
            </w:r>
            <w:r w:rsidRPr="00C77E77">
              <w:rPr>
                <w:rFonts w:ascii="Times New Roman" w:eastAsia="標楷體" w:hAnsi="Times New Roman" w:cs="Times New Roman"/>
                <w:color w:val="000000"/>
                <w:kern w:val="0"/>
                <w:sz w:val="28"/>
                <w:szCs w:val="28"/>
              </w:rPr>
              <w:t>IDSA</w:t>
            </w:r>
            <w:r w:rsidRPr="00C77E77">
              <w:rPr>
                <w:rFonts w:ascii="Times New Roman" w:eastAsia="標楷體" w:hAnsi="Times New Roman" w:cs="Times New Roman"/>
                <w:color w:val="000000"/>
                <w:kern w:val="0"/>
                <w:sz w:val="28"/>
                <w:szCs w:val="28"/>
              </w:rPr>
              <w:t>研究員辛柏山</w:t>
            </w:r>
            <w:r w:rsidRPr="00C77E77">
              <w:rPr>
                <w:rFonts w:ascii="Times New Roman" w:eastAsia="標楷體" w:hAnsi="Times New Roman" w:cs="Times New Roman"/>
                <w:color w:val="000000"/>
                <w:kern w:val="0"/>
                <w:sz w:val="28"/>
                <w:szCs w:val="28"/>
              </w:rPr>
              <w:t>(Prashant Singh)</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晚上</w:t>
            </w:r>
            <w:r w:rsidRPr="00C77E77">
              <w:rPr>
                <w:rFonts w:ascii="Times New Roman" w:eastAsia="標楷體" w:hAnsi="Times New Roman" w:cs="Times New Roman"/>
                <w:color w:val="000000"/>
                <w:kern w:val="0"/>
                <w:sz w:val="28"/>
                <w:szCs w:val="28"/>
              </w:rPr>
              <w:t xml:space="preserve"> </w:t>
            </w:r>
            <w:r w:rsidRPr="00C77E77">
              <w:rPr>
                <w:rFonts w:ascii="Times New Roman" w:eastAsia="標楷體" w:hAnsi="Times New Roman" w:cs="Times New Roman"/>
                <w:color w:val="000000"/>
                <w:kern w:val="0"/>
                <w:sz w:val="28"/>
                <w:szCs w:val="28"/>
              </w:rPr>
              <w:t>參觀當地市場</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smartTag w:uri="urn:schemas-microsoft-com:office:smarttags" w:element="chsdate">
              <w:smartTagPr>
                <w:attr w:name="IsROCDate" w:val="False"/>
                <w:attr w:name="IsLunarDate" w:val="False"/>
                <w:attr w:name="Day" w:val="2"/>
                <w:attr w:name="Month" w:val="9"/>
                <w:attr w:name="Year" w:val="2016"/>
              </w:smartTagPr>
              <w:r w:rsidRPr="00C77E77">
                <w:rPr>
                  <w:rFonts w:ascii="Times New Roman" w:eastAsia="標楷體" w:hAnsi="Times New Roman" w:cs="Times New Roman"/>
                  <w:color w:val="000000"/>
                  <w:kern w:val="0"/>
                  <w:sz w:val="28"/>
                  <w:szCs w:val="28"/>
                </w:rPr>
                <w:t>9</w:t>
              </w:r>
              <w:r w:rsidRPr="00C77E77">
                <w:rPr>
                  <w:rFonts w:ascii="Times New Roman" w:eastAsia="標楷體" w:hAnsi="Times New Roman" w:cs="Times New Roman"/>
                  <w:color w:val="000000"/>
                  <w:kern w:val="0"/>
                  <w:sz w:val="28"/>
                  <w:szCs w:val="28"/>
                </w:rPr>
                <w:t>月</w:t>
              </w:r>
              <w:r w:rsidRPr="00C77E77">
                <w:rPr>
                  <w:rFonts w:ascii="Times New Roman" w:eastAsia="標楷體" w:hAnsi="Times New Roman" w:cs="Times New Roman"/>
                  <w:color w:val="000000"/>
                  <w:kern w:val="0"/>
                  <w:sz w:val="28"/>
                  <w:szCs w:val="28"/>
                </w:rPr>
                <w:t>2</w:t>
              </w:r>
              <w:r w:rsidRPr="00C77E77">
                <w:rPr>
                  <w:rFonts w:ascii="Times New Roman" w:eastAsia="標楷體" w:hAnsi="Times New Roman" w:cs="Times New Roman"/>
                  <w:color w:val="000000"/>
                  <w:kern w:val="0"/>
                  <w:sz w:val="28"/>
                  <w:szCs w:val="28"/>
                </w:rPr>
                <w:t>日</w:t>
              </w:r>
            </w:smartTag>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五</w:t>
            </w:r>
            <w:r w:rsidRPr="00C77E77">
              <w:rPr>
                <w:rFonts w:ascii="Times New Roman" w:eastAsia="標楷體" w:hAnsi="Times New Roman" w:cs="Times New Roman"/>
                <w:color w:val="000000"/>
                <w:kern w:val="0"/>
                <w:sz w:val="28"/>
                <w:szCs w:val="28"/>
              </w:rPr>
              <w:t>)</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10:00</w:t>
            </w:r>
            <w:r w:rsidRPr="00C77E77">
              <w:rPr>
                <w:rFonts w:ascii="Times New Roman" w:eastAsia="標楷體" w:hAnsi="Times New Roman" w:cs="Times New Roman"/>
                <w:color w:val="000000"/>
                <w:kern w:val="0"/>
                <w:sz w:val="28"/>
                <w:szCs w:val="28"/>
              </w:rPr>
              <w:t>會晤中國研究中心助理主任鄭家賓</w:t>
            </w:r>
            <w:r w:rsidRPr="00C77E77">
              <w:rPr>
                <w:rFonts w:ascii="Times New Roman" w:eastAsia="標楷體" w:hAnsi="Times New Roman" w:cs="Times New Roman"/>
                <w:color w:val="000000"/>
                <w:kern w:val="0"/>
                <w:sz w:val="28"/>
                <w:szCs w:val="28"/>
              </w:rPr>
              <w:t>(Jabin Jacob)</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14:30</w:t>
            </w:r>
            <w:r w:rsidRPr="00C77E77">
              <w:rPr>
                <w:rFonts w:ascii="Times New Roman" w:eastAsia="標楷體" w:hAnsi="Times New Roman" w:cs="Times New Roman"/>
                <w:color w:val="000000"/>
                <w:kern w:val="0"/>
                <w:sz w:val="28"/>
                <w:szCs w:val="28"/>
              </w:rPr>
              <w:t>會晤晶元光電印度公司林依達執行長</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smartTag w:uri="urn:schemas-microsoft-com:office:smarttags" w:element="chsdate">
              <w:smartTagPr>
                <w:attr w:name="IsROCDate" w:val="False"/>
                <w:attr w:name="IsLunarDate" w:val="False"/>
                <w:attr w:name="Day" w:val="3"/>
                <w:attr w:name="Month" w:val="9"/>
                <w:attr w:name="Year" w:val="2016"/>
              </w:smartTagPr>
              <w:r w:rsidRPr="00C77E77">
                <w:rPr>
                  <w:rFonts w:ascii="Times New Roman" w:eastAsia="標楷體" w:hAnsi="Times New Roman" w:cs="Times New Roman"/>
                  <w:color w:val="000000"/>
                  <w:kern w:val="0"/>
                  <w:sz w:val="28"/>
                  <w:szCs w:val="28"/>
                </w:rPr>
                <w:t>9</w:t>
              </w:r>
              <w:r w:rsidRPr="00C77E77">
                <w:rPr>
                  <w:rFonts w:ascii="Times New Roman" w:eastAsia="標楷體" w:hAnsi="Times New Roman" w:cs="Times New Roman"/>
                  <w:color w:val="000000"/>
                  <w:kern w:val="0"/>
                  <w:sz w:val="28"/>
                  <w:szCs w:val="28"/>
                </w:rPr>
                <w:t>月</w:t>
              </w:r>
              <w:r w:rsidRPr="00C77E77">
                <w:rPr>
                  <w:rFonts w:ascii="Times New Roman" w:eastAsia="標楷體" w:hAnsi="Times New Roman" w:cs="Times New Roman"/>
                  <w:color w:val="000000"/>
                  <w:kern w:val="0"/>
                  <w:sz w:val="28"/>
                  <w:szCs w:val="28"/>
                </w:rPr>
                <w:t>3</w:t>
              </w:r>
              <w:r w:rsidRPr="00C77E77">
                <w:rPr>
                  <w:rFonts w:ascii="Times New Roman" w:eastAsia="標楷體" w:hAnsi="Times New Roman" w:cs="Times New Roman"/>
                  <w:color w:val="000000"/>
                  <w:kern w:val="0"/>
                  <w:sz w:val="28"/>
                  <w:szCs w:val="28"/>
                </w:rPr>
                <w:t>日</w:t>
              </w:r>
            </w:smartTag>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六</w:t>
            </w:r>
            <w:r w:rsidRPr="00C77E77">
              <w:rPr>
                <w:rFonts w:ascii="Times New Roman" w:eastAsia="標楷體" w:hAnsi="Times New Roman" w:cs="Times New Roman"/>
                <w:color w:val="000000"/>
                <w:kern w:val="0"/>
                <w:sz w:val="28"/>
                <w:szCs w:val="28"/>
              </w:rPr>
              <w:t>)</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白日</w:t>
            </w:r>
            <w:r w:rsidRPr="00C77E77">
              <w:rPr>
                <w:rFonts w:ascii="Times New Roman" w:eastAsia="標楷體" w:hAnsi="Times New Roman" w:cs="Times New Roman"/>
                <w:color w:val="000000"/>
                <w:kern w:val="0"/>
                <w:sz w:val="28"/>
                <w:szCs w:val="28"/>
              </w:rPr>
              <w:t xml:space="preserve"> </w:t>
            </w:r>
            <w:r w:rsidRPr="00C77E77">
              <w:rPr>
                <w:rFonts w:ascii="Times New Roman" w:eastAsia="標楷體" w:hAnsi="Times New Roman" w:cs="Times New Roman"/>
                <w:color w:val="000000"/>
                <w:kern w:val="0"/>
                <w:sz w:val="28"/>
                <w:szCs w:val="28"/>
              </w:rPr>
              <w:t>參觀市區建設</w:t>
            </w:r>
          </w:p>
        </w:tc>
      </w:tr>
      <w:tr w:rsidR="009664E4" w:rsidRPr="00C77E77" w:rsidTr="009664E4">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18:30 </w:t>
            </w:r>
            <w:r w:rsidRPr="00C77E77">
              <w:rPr>
                <w:rFonts w:ascii="Times New Roman" w:eastAsia="標楷體" w:hAnsi="Times New Roman" w:cs="Times New Roman"/>
                <w:color w:val="000000"/>
                <w:kern w:val="0"/>
                <w:sz w:val="28"/>
                <w:szCs w:val="28"/>
              </w:rPr>
              <w:t>參加德里</w:t>
            </w:r>
            <w:r w:rsidR="00FD0D5A" w:rsidRPr="00C77E77">
              <w:rPr>
                <w:rFonts w:ascii="Times New Roman" w:eastAsia="標楷體" w:hAnsi="Times New Roman" w:cs="Times New Roman"/>
                <w:color w:val="000000"/>
                <w:kern w:val="0"/>
                <w:sz w:val="28"/>
                <w:szCs w:val="28"/>
              </w:rPr>
              <w:t>臺</w:t>
            </w:r>
            <w:r w:rsidRPr="00C77E77">
              <w:rPr>
                <w:rFonts w:ascii="Times New Roman" w:eastAsia="標楷體" w:hAnsi="Times New Roman" w:cs="Times New Roman"/>
                <w:color w:val="000000"/>
                <w:kern w:val="0"/>
                <w:sz w:val="28"/>
                <w:szCs w:val="28"/>
              </w:rPr>
              <w:t>商會</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smartTag w:uri="urn:schemas-microsoft-com:office:smarttags" w:element="chsdate">
              <w:smartTagPr>
                <w:attr w:name="IsROCDate" w:val="False"/>
                <w:attr w:name="IsLunarDate" w:val="False"/>
                <w:attr w:name="Day" w:val="4"/>
                <w:attr w:name="Month" w:val="9"/>
                <w:attr w:name="Year" w:val="2016"/>
              </w:smartTagPr>
              <w:r w:rsidRPr="00C77E77">
                <w:rPr>
                  <w:rFonts w:ascii="Times New Roman" w:eastAsia="標楷體" w:hAnsi="Times New Roman" w:cs="Times New Roman"/>
                  <w:color w:val="000000"/>
                  <w:kern w:val="0"/>
                  <w:sz w:val="28"/>
                  <w:szCs w:val="28"/>
                </w:rPr>
                <w:t>9</w:t>
              </w:r>
              <w:r w:rsidRPr="00C77E77">
                <w:rPr>
                  <w:rFonts w:ascii="Times New Roman" w:eastAsia="標楷體" w:hAnsi="Times New Roman" w:cs="Times New Roman"/>
                  <w:color w:val="000000"/>
                  <w:kern w:val="0"/>
                  <w:sz w:val="28"/>
                  <w:szCs w:val="28"/>
                </w:rPr>
                <w:t>月</w:t>
              </w:r>
              <w:r w:rsidRPr="00C77E77">
                <w:rPr>
                  <w:rFonts w:ascii="Times New Roman" w:eastAsia="標楷體" w:hAnsi="Times New Roman" w:cs="Times New Roman"/>
                  <w:color w:val="000000"/>
                  <w:kern w:val="0"/>
                  <w:sz w:val="28"/>
                  <w:szCs w:val="28"/>
                </w:rPr>
                <w:t>4</w:t>
              </w:r>
              <w:r w:rsidRPr="00C77E77">
                <w:rPr>
                  <w:rFonts w:ascii="Times New Roman" w:eastAsia="標楷體" w:hAnsi="Times New Roman" w:cs="Times New Roman"/>
                  <w:color w:val="000000"/>
                  <w:kern w:val="0"/>
                  <w:sz w:val="28"/>
                  <w:szCs w:val="28"/>
                </w:rPr>
                <w:t>日</w:t>
              </w:r>
            </w:smartTag>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日</w:t>
            </w:r>
            <w:r w:rsidRPr="00C77E77">
              <w:rPr>
                <w:rFonts w:ascii="Times New Roman" w:eastAsia="標楷體" w:hAnsi="Times New Roman" w:cs="Times New Roman"/>
                <w:color w:val="000000"/>
                <w:kern w:val="0"/>
                <w:sz w:val="28"/>
                <w:szCs w:val="28"/>
              </w:rPr>
              <w:t>)</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lang w:val="fr-FR"/>
              </w:rPr>
            </w:pPr>
            <w:r w:rsidRPr="00C77E77">
              <w:rPr>
                <w:rFonts w:ascii="Times New Roman" w:eastAsia="標楷體" w:hAnsi="Times New Roman" w:cs="Times New Roman"/>
                <w:color w:val="000000"/>
                <w:kern w:val="0"/>
                <w:sz w:val="28"/>
                <w:szCs w:val="28"/>
                <w:lang w:val="fr-FR"/>
              </w:rPr>
              <w:t>上午：赴尼赫魯大學</w:t>
            </w:r>
            <w:r w:rsidRPr="00C77E77">
              <w:rPr>
                <w:rFonts w:ascii="Times New Roman" w:eastAsia="標楷體" w:hAnsi="Times New Roman" w:cs="Times New Roman"/>
                <w:color w:val="000000"/>
                <w:kern w:val="0"/>
                <w:sz w:val="28"/>
                <w:szCs w:val="28"/>
                <w:lang w:val="fr-FR"/>
              </w:rPr>
              <w:t xml:space="preserve">Dr. </w:t>
            </w:r>
            <w:r w:rsidRPr="00C77E77">
              <w:rPr>
                <w:rFonts w:ascii="Times New Roman" w:eastAsia="標楷體" w:hAnsi="Times New Roman" w:cs="Times New Roman"/>
                <w:sz w:val="28"/>
                <w:szCs w:val="28"/>
              </w:rPr>
              <w:t>Rajesh Rajagopalan</w:t>
            </w:r>
            <w:r w:rsidRPr="00C77E77">
              <w:rPr>
                <w:rFonts w:ascii="Times New Roman" w:eastAsia="標楷體" w:hAnsi="Times New Roman" w:cs="Times New Roman"/>
                <w:color w:val="000000"/>
                <w:kern w:val="0"/>
                <w:sz w:val="28"/>
                <w:szCs w:val="28"/>
                <w:lang w:val="fr-FR"/>
              </w:rPr>
              <w:t>家中</w:t>
            </w:r>
            <w:r w:rsidRPr="00C77E77">
              <w:rPr>
                <w:rFonts w:ascii="Times New Roman" w:eastAsia="標楷體" w:hAnsi="Times New Roman" w:cs="Times New Roman"/>
                <w:color w:val="000000"/>
                <w:kern w:val="0"/>
                <w:sz w:val="28"/>
                <w:szCs w:val="28"/>
              </w:rPr>
              <w:t>聚會</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lang w:val="fr-FR"/>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lang w:val="fr-FR"/>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晚上：會晤代表處韓健豪參事</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smartTag w:uri="urn:schemas-microsoft-com:office:smarttags" w:element="chsdate">
              <w:smartTagPr>
                <w:attr w:name="IsROCDate" w:val="False"/>
                <w:attr w:name="IsLunarDate" w:val="False"/>
                <w:attr w:name="Day" w:val="5"/>
                <w:attr w:name="Month" w:val="9"/>
                <w:attr w:name="Year" w:val="2016"/>
              </w:smartTagPr>
              <w:r w:rsidRPr="00C77E77">
                <w:rPr>
                  <w:rFonts w:ascii="Times New Roman" w:eastAsia="標楷體" w:hAnsi="Times New Roman" w:cs="Times New Roman"/>
                  <w:color w:val="000000"/>
                  <w:kern w:val="0"/>
                  <w:sz w:val="28"/>
                  <w:szCs w:val="28"/>
                </w:rPr>
                <w:t>9</w:t>
              </w:r>
              <w:r w:rsidRPr="00C77E77">
                <w:rPr>
                  <w:rFonts w:ascii="Times New Roman" w:eastAsia="標楷體" w:hAnsi="Times New Roman" w:cs="Times New Roman"/>
                  <w:color w:val="000000"/>
                  <w:kern w:val="0"/>
                  <w:sz w:val="28"/>
                  <w:szCs w:val="28"/>
                </w:rPr>
                <w:t>月</w:t>
              </w:r>
              <w:r w:rsidRPr="00C77E77">
                <w:rPr>
                  <w:rFonts w:ascii="Times New Roman" w:eastAsia="標楷體" w:hAnsi="Times New Roman" w:cs="Times New Roman"/>
                  <w:color w:val="000000"/>
                  <w:kern w:val="0"/>
                  <w:sz w:val="28"/>
                  <w:szCs w:val="28"/>
                </w:rPr>
                <w:t>5</w:t>
              </w:r>
              <w:r w:rsidRPr="00C77E77">
                <w:rPr>
                  <w:rFonts w:ascii="Times New Roman" w:eastAsia="標楷體" w:hAnsi="Times New Roman" w:cs="Times New Roman"/>
                  <w:color w:val="000000"/>
                  <w:kern w:val="0"/>
                  <w:sz w:val="28"/>
                  <w:szCs w:val="28"/>
                </w:rPr>
                <w:t>日</w:t>
              </w:r>
            </w:smartTag>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一</w:t>
            </w:r>
            <w:r w:rsidRPr="00C77E77">
              <w:rPr>
                <w:rFonts w:ascii="Times New Roman" w:eastAsia="標楷體" w:hAnsi="Times New Roman" w:cs="Times New Roman"/>
                <w:color w:val="000000"/>
                <w:kern w:val="0"/>
                <w:sz w:val="28"/>
                <w:szCs w:val="28"/>
              </w:rPr>
              <w:t>)</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10:30 </w:t>
            </w:r>
            <w:r w:rsidRPr="00C77E77">
              <w:rPr>
                <w:rFonts w:ascii="Times New Roman" w:eastAsia="標楷體" w:hAnsi="Times New Roman" w:cs="Times New Roman"/>
                <w:color w:val="000000"/>
                <w:kern w:val="0"/>
                <w:sz w:val="28"/>
                <w:szCs w:val="28"/>
              </w:rPr>
              <w:t>會晤尼赫魯大學</w:t>
            </w:r>
            <w:r w:rsidR="00FD0D5A" w:rsidRPr="00C77E77">
              <w:rPr>
                <w:rFonts w:ascii="Times New Roman" w:eastAsia="標楷體" w:hAnsi="Times New Roman" w:cs="Times New Roman"/>
                <w:color w:val="000000"/>
                <w:kern w:val="0"/>
                <w:sz w:val="28"/>
                <w:szCs w:val="28"/>
              </w:rPr>
              <w:t>臺</w:t>
            </w:r>
            <w:r w:rsidRPr="00C77E77">
              <w:rPr>
                <w:rFonts w:ascii="Times New Roman" w:eastAsia="標楷體" w:hAnsi="Times New Roman" w:cs="Times New Roman"/>
                <w:color w:val="000000"/>
                <w:kern w:val="0"/>
                <w:sz w:val="28"/>
                <w:szCs w:val="28"/>
              </w:rPr>
              <w:t>灣教育中心王潔予老師</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11:30 </w:t>
            </w:r>
            <w:r w:rsidRPr="00C77E77">
              <w:rPr>
                <w:rFonts w:ascii="Times New Roman" w:eastAsia="標楷體" w:hAnsi="Times New Roman" w:cs="Times New Roman"/>
                <w:color w:val="000000"/>
                <w:kern w:val="0"/>
                <w:sz w:val="28"/>
                <w:szCs w:val="28"/>
              </w:rPr>
              <w:t>會晤尼赫魯大學那瑞維</w:t>
            </w:r>
            <w:r w:rsidRPr="00C77E77">
              <w:rPr>
                <w:rFonts w:ascii="Times New Roman" w:eastAsia="標楷體" w:hAnsi="Times New Roman" w:cs="Times New Roman"/>
                <w:color w:val="000000"/>
                <w:kern w:val="0"/>
                <w:sz w:val="28"/>
                <w:szCs w:val="28"/>
              </w:rPr>
              <w:t>(Raviprasad Narayanan)</w:t>
            </w:r>
            <w:r w:rsidRPr="00C77E77">
              <w:rPr>
                <w:rFonts w:ascii="Times New Roman" w:eastAsia="標楷體" w:hAnsi="Times New Roman" w:cs="Times New Roman"/>
                <w:color w:val="000000"/>
                <w:kern w:val="0"/>
                <w:sz w:val="28"/>
                <w:szCs w:val="28"/>
              </w:rPr>
              <w:t>副教授</w:t>
            </w:r>
          </w:p>
        </w:tc>
      </w:tr>
      <w:tr w:rsidR="009664E4" w:rsidRPr="00C77E77" w:rsidTr="009664E4">
        <w:trPr>
          <w:trHeight w:val="335"/>
        </w:trPr>
        <w:tc>
          <w:tcPr>
            <w:tcW w:w="1020" w:type="dxa"/>
            <w:tcBorders>
              <w:top w:val="nil"/>
              <w:left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15:30 </w:t>
            </w:r>
            <w:r w:rsidRPr="00C77E77">
              <w:rPr>
                <w:rFonts w:ascii="Times New Roman" w:eastAsia="標楷體" w:hAnsi="Times New Roman" w:cs="Times New Roman"/>
                <w:color w:val="000000"/>
                <w:kern w:val="0"/>
                <w:sz w:val="28"/>
                <w:szCs w:val="28"/>
              </w:rPr>
              <w:t>會晤</w:t>
            </w:r>
            <w:r w:rsidR="00FD0D5A" w:rsidRPr="00C77E77">
              <w:rPr>
                <w:rFonts w:ascii="Times New Roman" w:eastAsia="標楷體" w:hAnsi="Times New Roman" w:cs="Times New Roman"/>
                <w:color w:val="000000"/>
                <w:kern w:val="0"/>
                <w:sz w:val="28"/>
                <w:szCs w:val="28"/>
              </w:rPr>
              <w:t>臺</w:t>
            </w:r>
            <w:r w:rsidRPr="00C77E77">
              <w:rPr>
                <w:rFonts w:ascii="Times New Roman" w:eastAsia="標楷體" w:hAnsi="Times New Roman" w:cs="Times New Roman"/>
                <w:color w:val="000000"/>
                <w:kern w:val="0"/>
                <w:sz w:val="28"/>
                <w:szCs w:val="28"/>
              </w:rPr>
              <w:t>商陳惠玲女士</w:t>
            </w:r>
          </w:p>
        </w:tc>
      </w:tr>
      <w:tr w:rsidR="009664E4" w:rsidRPr="00C77E77" w:rsidTr="009664E4">
        <w:trPr>
          <w:trHeight w:val="669"/>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19:00 </w:t>
            </w:r>
            <w:r w:rsidRPr="00C77E77">
              <w:rPr>
                <w:rFonts w:ascii="Times New Roman" w:eastAsia="標楷體" w:hAnsi="Times New Roman" w:cs="Times New Roman"/>
                <w:color w:val="000000"/>
                <w:kern w:val="0"/>
                <w:sz w:val="28"/>
                <w:szCs w:val="28"/>
              </w:rPr>
              <w:t>會晤駐印度代表處田大使、經濟組楊組長、科技組陳組長、教育組陳秘書、外交部董秘書</w:t>
            </w:r>
          </w:p>
        </w:tc>
      </w:tr>
      <w:tr w:rsidR="009664E4" w:rsidRPr="00C77E77" w:rsidTr="009664E4">
        <w:trPr>
          <w:trHeight w:val="669"/>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smartTag w:uri="urn:schemas-microsoft-com:office:smarttags" w:element="chsdate">
              <w:smartTagPr>
                <w:attr w:name="IsROCDate" w:val="False"/>
                <w:attr w:name="IsLunarDate" w:val="False"/>
                <w:attr w:name="Day" w:val="6"/>
                <w:attr w:name="Month" w:val="9"/>
                <w:attr w:name="Year" w:val="2016"/>
              </w:smartTagPr>
              <w:r w:rsidRPr="00C77E77">
                <w:rPr>
                  <w:rFonts w:ascii="Times New Roman" w:eastAsia="標楷體" w:hAnsi="Times New Roman" w:cs="Times New Roman"/>
                  <w:color w:val="000000"/>
                  <w:kern w:val="0"/>
                  <w:sz w:val="28"/>
                  <w:szCs w:val="28"/>
                </w:rPr>
                <w:t>9</w:t>
              </w:r>
              <w:r w:rsidRPr="00C77E77">
                <w:rPr>
                  <w:rFonts w:ascii="Times New Roman" w:eastAsia="標楷體" w:hAnsi="Times New Roman" w:cs="Times New Roman"/>
                  <w:color w:val="000000"/>
                  <w:kern w:val="0"/>
                  <w:sz w:val="28"/>
                  <w:szCs w:val="28"/>
                </w:rPr>
                <w:t>月</w:t>
              </w:r>
              <w:r w:rsidRPr="00C77E77">
                <w:rPr>
                  <w:rFonts w:ascii="Times New Roman" w:eastAsia="標楷體" w:hAnsi="Times New Roman" w:cs="Times New Roman"/>
                  <w:color w:val="000000"/>
                  <w:kern w:val="0"/>
                  <w:sz w:val="28"/>
                  <w:szCs w:val="28"/>
                </w:rPr>
                <w:t>6</w:t>
              </w:r>
              <w:r w:rsidRPr="00C77E77">
                <w:rPr>
                  <w:rFonts w:ascii="Times New Roman" w:eastAsia="標楷體" w:hAnsi="Times New Roman" w:cs="Times New Roman"/>
                  <w:color w:val="000000"/>
                  <w:kern w:val="0"/>
                  <w:sz w:val="28"/>
                  <w:szCs w:val="28"/>
                </w:rPr>
                <w:t>日</w:t>
              </w:r>
            </w:smartTag>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二</w:t>
            </w:r>
            <w:r w:rsidRPr="00C77E77">
              <w:rPr>
                <w:rFonts w:ascii="Times New Roman" w:eastAsia="標楷體" w:hAnsi="Times New Roman" w:cs="Times New Roman"/>
                <w:color w:val="000000"/>
                <w:kern w:val="0"/>
                <w:sz w:val="28"/>
                <w:szCs w:val="28"/>
              </w:rPr>
              <w:t>)</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10:30 </w:t>
            </w:r>
            <w:r w:rsidRPr="00C77E77">
              <w:rPr>
                <w:rFonts w:ascii="Times New Roman" w:eastAsia="標楷體" w:hAnsi="Times New Roman" w:cs="Times New Roman"/>
                <w:color w:val="000000"/>
                <w:kern w:val="0"/>
                <w:sz w:val="28"/>
                <w:szCs w:val="28"/>
              </w:rPr>
              <w:t>會晤</w:t>
            </w:r>
            <w:r w:rsidRPr="00C77E77">
              <w:rPr>
                <w:rFonts w:ascii="Times New Roman" w:eastAsia="標楷體" w:hAnsi="Times New Roman" w:cs="Times New Roman"/>
                <w:color w:val="000000"/>
                <w:kern w:val="0"/>
                <w:sz w:val="28"/>
                <w:szCs w:val="28"/>
              </w:rPr>
              <w:t>Observer Research Foundation</w:t>
            </w:r>
            <w:r w:rsidRPr="00C77E77">
              <w:rPr>
                <w:rFonts w:ascii="Times New Roman" w:eastAsia="標楷體" w:hAnsi="Times New Roman" w:cs="Times New Roman"/>
                <w:color w:val="000000"/>
                <w:kern w:val="0"/>
                <w:sz w:val="28"/>
                <w:szCs w:val="28"/>
              </w:rPr>
              <w:t>資深研究員</w:t>
            </w:r>
            <w:r w:rsidRPr="00C77E77">
              <w:rPr>
                <w:rFonts w:ascii="Times New Roman" w:eastAsia="標楷體" w:hAnsi="Times New Roman" w:cs="Times New Roman"/>
                <w:color w:val="000000"/>
                <w:kern w:val="0"/>
                <w:sz w:val="28"/>
                <w:szCs w:val="28"/>
              </w:rPr>
              <w:t>Dr. Rajeswari Pillai Rajagopalan </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晚上：會晤代表處黃顧問</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smartTag w:uri="urn:schemas-microsoft-com:office:smarttags" w:element="chsdate">
              <w:smartTagPr>
                <w:attr w:name="IsROCDate" w:val="False"/>
                <w:attr w:name="IsLunarDate" w:val="False"/>
                <w:attr w:name="Day" w:val="7"/>
                <w:attr w:name="Month" w:val="9"/>
                <w:attr w:name="Year" w:val="2016"/>
              </w:smartTagPr>
              <w:r w:rsidRPr="00C77E77">
                <w:rPr>
                  <w:rFonts w:ascii="Times New Roman" w:eastAsia="標楷體" w:hAnsi="Times New Roman" w:cs="Times New Roman"/>
                  <w:color w:val="000000"/>
                  <w:kern w:val="0"/>
                  <w:sz w:val="28"/>
                  <w:szCs w:val="28"/>
                </w:rPr>
                <w:t>9</w:t>
              </w:r>
              <w:r w:rsidRPr="00C77E77">
                <w:rPr>
                  <w:rFonts w:ascii="Times New Roman" w:eastAsia="標楷體" w:hAnsi="Times New Roman" w:cs="Times New Roman"/>
                  <w:color w:val="000000"/>
                  <w:kern w:val="0"/>
                  <w:sz w:val="28"/>
                  <w:szCs w:val="28"/>
                </w:rPr>
                <w:t>月</w:t>
              </w:r>
              <w:r w:rsidRPr="00C77E77">
                <w:rPr>
                  <w:rFonts w:ascii="Times New Roman" w:eastAsia="標楷體" w:hAnsi="Times New Roman" w:cs="Times New Roman"/>
                  <w:color w:val="000000"/>
                  <w:kern w:val="0"/>
                  <w:sz w:val="28"/>
                  <w:szCs w:val="28"/>
                </w:rPr>
                <w:t>7</w:t>
              </w:r>
              <w:r w:rsidRPr="00C77E77">
                <w:rPr>
                  <w:rFonts w:ascii="Times New Roman" w:eastAsia="標楷體" w:hAnsi="Times New Roman" w:cs="Times New Roman"/>
                  <w:color w:val="000000"/>
                  <w:kern w:val="0"/>
                  <w:sz w:val="28"/>
                  <w:szCs w:val="28"/>
                </w:rPr>
                <w:t>日</w:t>
              </w:r>
            </w:smartTag>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三</w:t>
            </w:r>
            <w:r w:rsidRPr="00C77E77">
              <w:rPr>
                <w:rFonts w:ascii="Times New Roman" w:eastAsia="標楷體" w:hAnsi="Times New Roman" w:cs="Times New Roman"/>
                <w:color w:val="000000"/>
                <w:kern w:val="0"/>
                <w:sz w:val="28"/>
                <w:szCs w:val="28"/>
              </w:rPr>
              <w:t>)</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10:00 </w:t>
            </w:r>
            <w:r w:rsidRPr="00C77E77">
              <w:rPr>
                <w:rFonts w:ascii="Times New Roman" w:eastAsia="標楷體" w:hAnsi="Times New Roman" w:cs="Times New Roman"/>
                <w:color w:val="000000"/>
                <w:kern w:val="0"/>
                <w:sz w:val="28"/>
                <w:szCs w:val="28"/>
              </w:rPr>
              <w:t>會晤中央社印度特派員康世人先生</w:t>
            </w:r>
          </w:p>
        </w:tc>
      </w:tr>
      <w:tr w:rsidR="009664E4" w:rsidRPr="00C77E77" w:rsidTr="009664E4">
        <w:trPr>
          <w:trHeight w:val="618"/>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16:00 </w:t>
            </w:r>
            <w:r w:rsidRPr="00C77E77">
              <w:rPr>
                <w:rFonts w:ascii="Times New Roman" w:eastAsia="標楷體" w:hAnsi="Times New Roman" w:cs="Times New Roman"/>
                <w:color w:val="000000"/>
                <w:kern w:val="0"/>
                <w:sz w:val="28"/>
                <w:szCs w:val="28"/>
              </w:rPr>
              <w:t>會晤印度國際經濟關係研究委員會</w:t>
            </w:r>
            <w:r w:rsidRPr="00C77E77">
              <w:rPr>
                <w:rFonts w:ascii="Times New Roman" w:eastAsia="標楷體" w:hAnsi="Times New Roman" w:cs="Times New Roman"/>
                <w:color w:val="000000"/>
                <w:kern w:val="0"/>
                <w:sz w:val="28"/>
                <w:szCs w:val="28"/>
              </w:rPr>
              <w:t>(Indian Council for Research on International Economic Relations)</w:t>
            </w:r>
            <w:r w:rsidRPr="00C77E77">
              <w:rPr>
                <w:rFonts w:ascii="Times New Roman" w:eastAsia="標楷體" w:hAnsi="Times New Roman" w:cs="Times New Roman"/>
                <w:color w:val="000000"/>
                <w:kern w:val="0"/>
                <w:sz w:val="28"/>
                <w:szCs w:val="28"/>
              </w:rPr>
              <w:t>研究員</w:t>
            </w:r>
            <w:r w:rsidRPr="00C77E77">
              <w:rPr>
                <w:rFonts w:ascii="Times New Roman" w:eastAsia="標楷體" w:hAnsi="Times New Roman" w:cs="Times New Roman"/>
                <w:color w:val="000000"/>
                <w:kern w:val="0"/>
                <w:sz w:val="28"/>
                <w:szCs w:val="28"/>
              </w:rPr>
              <w:t xml:space="preserve">Prof. Arpita Mukherjee </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晚上</w:t>
            </w: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會晤駐印度代表處科技組陳和賢組長</w:t>
            </w:r>
          </w:p>
        </w:tc>
      </w:tr>
      <w:tr w:rsidR="009664E4" w:rsidRPr="00C77E77" w:rsidTr="009664E4">
        <w:trPr>
          <w:trHeight w:val="335"/>
        </w:trPr>
        <w:tc>
          <w:tcPr>
            <w:tcW w:w="1020" w:type="dxa"/>
            <w:tcBorders>
              <w:top w:val="nil"/>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smartTag w:uri="urn:schemas-microsoft-com:office:smarttags" w:element="chsdate">
              <w:smartTagPr>
                <w:attr w:name="IsROCDate" w:val="False"/>
                <w:attr w:name="IsLunarDate" w:val="False"/>
                <w:attr w:name="Day" w:val="8"/>
                <w:attr w:name="Month" w:val="9"/>
                <w:attr w:name="Year" w:val="2016"/>
              </w:smartTagPr>
              <w:r w:rsidRPr="00C77E77">
                <w:rPr>
                  <w:rFonts w:ascii="Times New Roman" w:eastAsia="標楷體" w:hAnsi="Times New Roman" w:cs="Times New Roman"/>
                  <w:color w:val="000000"/>
                  <w:kern w:val="0"/>
                  <w:sz w:val="28"/>
                  <w:szCs w:val="28"/>
                </w:rPr>
                <w:t>9</w:t>
              </w:r>
              <w:r w:rsidRPr="00C77E77">
                <w:rPr>
                  <w:rFonts w:ascii="Times New Roman" w:eastAsia="標楷體" w:hAnsi="Times New Roman" w:cs="Times New Roman"/>
                  <w:color w:val="000000"/>
                  <w:kern w:val="0"/>
                  <w:sz w:val="28"/>
                  <w:szCs w:val="28"/>
                </w:rPr>
                <w:t>月</w:t>
              </w:r>
              <w:r w:rsidRPr="00C77E77">
                <w:rPr>
                  <w:rFonts w:ascii="Times New Roman" w:eastAsia="標楷體" w:hAnsi="Times New Roman" w:cs="Times New Roman"/>
                  <w:color w:val="000000"/>
                  <w:kern w:val="0"/>
                  <w:sz w:val="28"/>
                  <w:szCs w:val="28"/>
                </w:rPr>
                <w:t>8</w:t>
              </w:r>
              <w:r w:rsidRPr="00C77E77">
                <w:rPr>
                  <w:rFonts w:ascii="Times New Roman" w:eastAsia="標楷體" w:hAnsi="Times New Roman" w:cs="Times New Roman"/>
                  <w:color w:val="000000"/>
                  <w:kern w:val="0"/>
                  <w:sz w:val="28"/>
                  <w:szCs w:val="28"/>
                </w:rPr>
                <w:t>日</w:t>
              </w:r>
            </w:smartTag>
          </w:p>
        </w:tc>
        <w:tc>
          <w:tcPr>
            <w:tcW w:w="1020" w:type="dxa"/>
            <w:tcBorders>
              <w:top w:val="nil"/>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四</w:t>
            </w:r>
            <w:r w:rsidRPr="00C77E77">
              <w:rPr>
                <w:rFonts w:ascii="Times New Roman" w:eastAsia="標楷體" w:hAnsi="Times New Roman" w:cs="Times New Roman"/>
                <w:color w:val="000000"/>
                <w:kern w:val="0"/>
                <w:sz w:val="28"/>
                <w:szCs w:val="28"/>
              </w:rPr>
              <w:t>)</w:t>
            </w:r>
          </w:p>
        </w:tc>
        <w:tc>
          <w:tcPr>
            <w:tcW w:w="7292" w:type="dxa"/>
            <w:tcBorders>
              <w:top w:val="nil"/>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10:00 </w:t>
            </w:r>
            <w:r w:rsidRPr="00C77E77">
              <w:rPr>
                <w:rFonts w:ascii="Times New Roman" w:eastAsia="標楷體" w:hAnsi="Times New Roman" w:cs="Times New Roman"/>
                <w:color w:val="000000"/>
                <w:kern w:val="0"/>
                <w:sz w:val="28"/>
                <w:szCs w:val="28"/>
              </w:rPr>
              <w:t>旅館</w:t>
            </w:r>
            <w:r w:rsidRPr="00C77E77">
              <w:rPr>
                <w:rFonts w:ascii="Times New Roman" w:eastAsia="標楷體" w:hAnsi="Times New Roman" w:cs="Times New Roman"/>
                <w:color w:val="000000"/>
                <w:kern w:val="0"/>
                <w:sz w:val="28"/>
                <w:szCs w:val="28"/>
              </w:rPr>
              <w:t>check-out. 10:30</w:t>
            </w:r>
            <w:r w:rsidRPr="00C77E77">
              <w:rPr>
                <w:rFonts w:ascii="Times New Roman" w:eastAsia="標楷體" w:hAnsi="Times New Roman" w:cs="Times New Roman"/>
                <w:color w:val="000000"/>
                <w:kern w:val="0"/>
                <w:sz w:val="28"/>
                <w:szCs w:val="28"/>
              </w:rPr>
              <w:t>離飯店赴機場；科技組郭秋怡秘書送機</w:t>
            </w:r>
          </w:p>
        </w:tc>
      </w:tr>
      <w:tr w:rsidR="009664E4" w:rsidRPr="00C77E77" w:rsidTr="009664E4">
        <w:trPr>
          <w:trHeight w:val="335"/>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1020" w:type="dxa"/>
            <w:tcBorders>
              <w:top w:val="single" w:sz="4" w:space="0" w:color="auto"/>
              <w:left w:val="nil"/>
              <w:bottom w:val="single" w:sz="4" w:space="0" w:color="auto"/>
              <w:right w:val="single" w:sz="4" w:space="0" w:color="auto"/>
            </w:tcBorders>
            <w:shd w:val="clear" w:color="auto" w:fill="auto"/>
            <w:noWrap/>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　</w:t>
            </w:r>
          </w:p>
        </w:tc>
        <w:tc>
          <w:tcPr>
            <w:tcW w:w="7292" w:type="dxa"/>
            <w:tcBorders>
              <w:top w:val="single" w:sz="4" w:space="0" w:color="auto"/>
              <w:left w:val="nil"/>
              <w:bottom w:val="single" w:sz="4" w:space="0" w:color="auto"/>
              <w:right w:val="single" w:sz="4" w:space="0" w:color="auto"/>
            </w:tcBorders>
            <w:shd w:val="clear" w:color="auto" w:fill="auto"/>
            <w:vAlign w:val="center"/>
          </w:tcPr>
          <w:p w:rsidR="009664E4" w:rsidRPr="00C77E77" w:rsidRDefault="009664E4" w:rsidP="00B50D70">
            <w:pPr>
              <w:widowControl/>
              <w:spacing w:line="440" w:lineRule="exact"/>
              <w:jc w:val="both"/>
              <w:rPr>
                <w:rFonts w:ascii="Times New Roman" w:eastAsia="標楷體" w:hAnsi="Times New Roman" w:cs="Times New Roman"/>
                <w:color w:val="000000"/>
                <w:kern w:val="0"/>
                <w:sz w:val="28"/>
                <w:szCs w:val="28"/>
              </w:rPr>
            </w:pPr>
            <w:r w:rsidRPr="00C77E77">
              <w:rPr>
                <w:rFonts w:ascii="Times New Roman" w:eastAsia="標楷體" w:hAnsi="Times New Roman" w:cs="Times New Roman"/>
                <w:color w:val="000000"/>
                <w:kern w:val="0"/>
                <w:sz w:val="28"/>
                <w:szCs w:val="28"/>
              </w:rPr>
              <w:t xml:space="preserve">13:35 </w:t>
            </w:r>
            <w:r w:rsidRPr="00C77E77">
              <w:rPr>
                <w:rFonts w:ascii="Times New Roman" w:eastAsia="標楷體" w:hAnsi="Times New Roman" w:cs="Times New Roman"/>
                <w:color w:val="000000"/>
                <w:kern w:val="0"/>
                <w:sz w:val="28"/>
                <w:szCs w:val="28"/>
              </w:rPr>
              <w:t>搭華航自德里返</w:t>
            </w:r>
            <w:r w:rsidR="00FD0D5A" w:rsidRPr="00C77E77">
              <w:rPr>
                <w:rFonts w:ascii="Times New Roman" w:eastAsia="標楷體" w:hAnsi="Times New Roman" w:cs="Times New Roman"/>
                <w:color w:val="000000"/>
                <w:kern w:val="0"/>
                <w:sz w:val="28"/>
                <w:szCs w:val="28"/>
              </w:rPr>
              <w:t>臺</w:t>
            </w:r>
            <w:r w:rsidRPr="00C77E77">
              <w:rPr>
                <w:rFonts w:ascii="Times New Roman" w:eastAsia="標楷體" w:hAnsi="Times New Roman" w:cs="Times New Roman"/>
                <w:color w:val="000000"/>
                <w:kern w:val="0"/>
                <w:sz w:val="28"/>
                <w:szCs w:val="28"/>
              </w:rPr>
              <w:t>北</w:t>
            </w:r>
          </w:p>
        </w:tc>
      </w:tr>
    </w:tbl>
    <w:p w:rsidR="009664E4" w:rsidRPr="00C77E77" w:rsidRDefault="009664E4" w:rsidP="009664E4">
      <w:pPr>
        <w:spacing w:beforeLines="50" w:before="180" w:afterLines="50" w:after="180" w:line="500" w:lineRule="exact"/>
        <w:jc w:val="both"/>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b/>
          <w:sz w:val="28"/>
          <w:szCs w:val="28"/>
        </w:rPr>
      </w:pPr>
      <w:bookmarkStart w:id="189" w:name="_Toc466324394"/>
      <w:r w:rsidRPr="00C77E77">
        <w:rPr>
          <w:rFonts w:ascii="Times New Roman" w:eastAsia="標楷體" w:hAnsi="Times New Roman" w:cs="Times New Roman"/>
          <w:b/>
          <w:sz w:val="28"/>
          <w:szCs w:val="28"/>
        </w:rPr>
        <w:lastRenderedPageBreak/>
        <w:t>貳、訪問經過</w:t>
      </w:r>
      <w:bookmarkEnd w:id="189"/>
    </w:p>
    <w:p w:rsidR="009664E4" w:rsidRPr="00C77E77" w:rsidRDefault="009664E4" w:rsidP="002576FE">
      <w:pPr>
        <w:rPr>
          <w:rFonts w:ascii="Times New Roman" w:eastAsia="標楷體" w:hAnsi="Times New Roman" w:cs="Times New Roman"/>
          <w:sz w:val="28"/>
          <w:szCs w:val="28"/>
        </w:rPr>
      </w:pPr>
      <w:bookmarkStart w:id="190" w:name="_Toc466324395"/>
      <w:r w:rsidRPr="00C77E77">
        <w:rPr>
          <w:rFonts w:ascii="Times New Roman" w:eastAsia="標楷體" w:hAnsi="Times New Roman" w:cs="Times New Roman"/>
          <w:color w:val="000000"/>
          <w:kern w:val="0"/>
          <w:sz w:val="28"/>
          <w:szCs w:val="28"/>
        </w:rPr>
        <w:t>一、會晤</w:t>
      </w:r>
      <w:r w:rsidRPr="00C77E77">
        <w:rPr>
          <w:rStyle w:val="st"/>
          <w:rFonts w:ascii="Times New Roman" w:eastAsia="標楷體" w:hAnsi="Times New Roman" w:cs="Times New Roman"/>
          <w:sz w:val="28"/>
          <w:szCs w:val="28"/>
        </w:rPr>
        <w:t>國防研究與分析中心</w:t>
      </w:r>
      <w:r w:rsidRPr="00C77E77">
        <w:rPr>
          <w:rFonts w:ascii="Times New Roman" w:eastAsia="標楷體" w:hAnsi="Times New Roman" w:cs="Times New Roman"/>
          <w:color w:val="000000"/>
          <w:kern w:val="0"/>
          <w:sz w:val="28"/>
          <w:szCs w:val="28"/>
        </w:rPr>
        <w:t>研究員</w:t>
      </w:r>
      <w:r w:rsidRPr="00C77E77">
        <w:rPr>
          <w:rFonts w:ascii="Times New Roman" w:eastAsia="標楷體" w:hAnsi="Times New Roman" w:cs="Times New Roman"/>
          <w:color w:val="000000"/>
          <w:kern w:val="0"/>
          <w:sz w:val="28"/>
          <w:szCs w:val="28"/>
        </w:rPr>
        <w:t>Dr.Prashant Singh</w:t>
      </w:r>
      <w:bookmarkEnd w:id="190"/>
    </w:p>
    <w:p w:rsidR="009664E4" w:rsidRPr="00C77E77" w:rsidRDefault="009664E4" w:rsidP="0001327A">
      <w:pPr>
        <w:numPr>
          <w:ilvl w:val="0"/>
          <w:numId w:val="7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kern w:val="0"/>
          <w:sz w:val="28"/>
          <w:szCs w:val="28"/>
        </w:rPr>
        <w:t>Prashant Singh(</w:t>
      </w:r>
      <w:r w:rsidRPr="00C77E77">
        <w:rPr>
          <w:rFonts w:ascii="Times New Roman" w:eastAsia="標楷體" w:hAnsi="Times New Roman" w:cs="Times New Roman"/>
          <w:kern w:val="0"/>
          <w:sz w:val="28"/>
          <w:szCs w:val="28"/>
        </w:rPr>
        <w:t>辛柏山</w:t>
      </w:r>
      <w:r w:rsidRPr="00C77E77">
        <w:rPr>
          <w:rFonts w:ascii="Times New Roman" w:eastAsia="標楷體" w:hAnsi="Times New Roman" w:cs="Times New Roman"/>
          <w:kern w:val="0"/>
          <w:sz w:val="28"/>
          <w:szCs w:val="28"/>
        </w:rPr>
        <w:t>)</w:t>
      </w:r>
      <w:r w:rsidRPr="00C77E77">
        <w:rPr>
          <w:rFonts w:ascii="Times New Roman" w:eastAsia="標楷體" w:hAnsi="Times New Roman" w:cs="Times New Roman"/>
          <w:sz w:val="28"/>
          <w:szCs w:val="28"/>
        </w:rPr>
        <w:t>表</w:t>
      </w:r>
      <w:r w:rsidRPr="00C77E77">
        <w:rPr>
          <w:rFonts w:ascii="Times New Roman" w:eastAsia="標楷體" w:hAnsi="Times New Roman" w:cs="Times New Roman"/>
          <w:color w:val="000000"/>
          <w:kern w:val="0"/>
          <w:sz w:val="28"/>
          <w:szCs w:val="28"/>
        </w:rPr>
        <w:t>示，在</w:t>
      </w:r>
      <w:r w:rsidRPr="00C77E77">
        <w:rPr>
          <w:rFonts w:ascii="Times New Roman" w:eastAsia="標楷體" w:hAnsi="Times New Roman" w:cs="Times New Roman"/>
          <w:sz w:val="28"/>
          <w:szCs w:val="28"/>
        </w:rPr>
        <w:t>他與印度官員的討論中，印方認為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灣的投資比較不想到</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印度，相對於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灣的海外投資總額，印度所佔比例偏低。但隨著莫迪政府推動的「來印度製造」</w:t>
      </w:r>
      <w:r w:rsidR="00514EC3" w:rsidRPr="00C77E77">
        <w:rPr>
          <w:rFonts w:ascii="Times New Roman" w:eastAsia="標楷體" w:hAnsi="Times New Roman" w:cs="Times New Roman"/>
          <w:sz w:val="28"/>
          <w:szCs w:val="28"/>
        </w:rPr>
        <w:t>（</w:t>
      </w:r>
      <w:r w:rsidR="00514EC3" w:rsidRPr="00C77E77">
        <w:rPr>
          <w:rFonts w:ascii="Times New Roman" w:eastAsia="標楷體" w:hAnsi="Times New Roman" w:cs="Times New Roman"/>
          <w:sz w:val="28"/>
          <w:szCs w:val="28"/>
        </w:rPr>
        <w:t>Make in India</w:t>
      </w:r>
      <w:r w:rsidR="00514EC3"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及「數位印度</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w:t>
      </w:r>
      <w:r w:rsidR="00514EC3" w:rsidRPr="00C77E77">
        <w:rPr>
          <w:rFonts w:ascii="Times New Roman" w:eastAsia="標楷體" w:hAnsi="Times New Roman" w:cs="Times New Roman"/>
          <w:sz w:val="28"/>
          <w:szCs w:val="28"/>
        </w:rPr>
        <w:t>（</w:t>
      </w:r>
      <w:r w:rsidR="00514EC3" w:rsidRPr="00C77E77">
        <w:rPr>
          <w:rFonts w:ascii="Times New Roman" w:eastAsia="標楷體" w:hAnsi="Times New Roman" w:cs="Times New Roman"/>
          <w:sz w:val="28"/>
          <w:szCs w:val="28"/>
        </w:rPr>
        <w:t>Digital India</w:t>
      </w:r>
      <w:r w:rsidR="00514EC3"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等計畫，印度對外資而言應該比較具有吸引力。</w:t>
      </w:r>
    </w:p>
    <w:p w:rsidR="009664E4" w:rsidRPr="00C77E77" w:rsidRDefault="009664E4" w:rsidP="0001327A">
      <w:pPr>
        <w:numPr>
          <w:ilvl w:val="0"/>
          <w:numId w:val="7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莫迪政府上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後，採取許多數位化措施。辛柏山認為，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灣是一個數位化強國</w:t>
      </w:r>
      <w:r w:rsidR="00514EC3" w:rsidRPr="00C77E77">
        <w:rPr>
          <w:rFonts w:ascii="Times New Roman" w:eastAsia="標楷體" w:hAnsi="Times New Roman" w:cs="Times New Roman"/>
          <w:sz w:val="28"/>
          <w:szCs w:val="28"/>
        </w:rPr>
        <w:t>（</w:t>
      </w:r>
      <w:r w:rsidR="00514EC3" w:rsidRPr="00C77E77">
        <w:rPr>
          <w:rFonts w:ascii="Times New Roman" w:eastAsia="標楷體" w:hAnsi="Times New Roman" w:cs="Times New Roman"/>
          <w:sz w:val="28"/>
          <w:szCs w:val="28"/>
        </w:rPr>
        <w:t>digital power</w:t>
      </w:r>
      <w:r w:rsidR="00514EC3"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，雙方在此領域有聚合利益，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灣可以參與協助許多印度政府計畫。</w:t>
      </w:r>
    </w:p>
    <w:p w:rsidR="009664E4" w:rsidRPr="00C77E77" w:rsidRDefault="009664E4" w:rsidP="0001327A">
      <w:pPr>
        <w:numPr>
          <w:ilvl w:val="0"/>
          <w:numId w:val="7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對於外國公司是否比較不容易取得印度政府標案，辛柏山認為印度政府標案並沒不不會特別排斥外國公司。</w:t>
      </w:r>
    </w:p>
    <w:p w:rsidR="009664E4" w:rsidRPr="00C77E77" w:rsidRDefault="009664E4" w:rsidP="0001327A">
      <w:pPr>
        <w:numPr>
          <w:ilvl w:val="0"/>
          <w:numId w:val="7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印合作領域方面，他認為資訊科技</w:t>
      </w:r>
      <w:r w:rsidR="00D05A38" w:rsidRPr="00C77E77">
        <w:rPr>
          <w:rFonts w:ascii="Times New Roman" w:eastAsia="標楷體" w:hAnsi="Times New Roman" w:cs="Times New Roman"/>
          <w:sz w:val="28"/>
          <w:szCs w:val="28"/>
        </w:rPr>
        <w:t>（</w:t>
      </w:r>
      <w:r w:rsidR="00D05A38" w:rsidRPr="00C77E77">
        <w:rPr>
          <w:rFonts w:ascii="Times New Roman" w:eastAsia="標楷體" w:hAnsi="Times New Roman" w:cs="Times New Roman"/>
          <w:sz w:val="28"/>
          <w:szCs w:val="28"/>
        </w:rPr>
        <w:t>IT</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印可以優先合作的領域。其次，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印可以強化食品加工業等農工業</w:t>
      </w:r>
      <w:r w:rsidR="00D05A38" w:rsidRPr="00C77E77">
        <w:rPr>
          <w:rFonts w:ascii="Times New Roman" w:eastAsia="標楷體" w:hAnsi="Times New Roman" w:cs="Times New Roman"/>
          <w:sz w:val="28"/>
          <w:szCs w:val="28"/>
        </w:rPr>
        <w:t>（</w:t>
      </w:r>
      <w:r w:rsidR="00D05A38" w:rsidRPr="00C77E77">
        <w:rPr>
          <w:rFonts w:ascii="Times New Roman" w:eastAsia="標楷體" w:hAnsi="Times New Roman" w:cs="Times New Roman"/>
          <w:sz w:val="28"/>
          <w:szCs w:val="28"/>
        </w:rPr>
        <w:t>Agro Industry</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合作。第三，則是綠色產業合作，印度正在推動</w:t>
      </w:r>
      <w:r w:rsidRPr="00C77E77">
        <w:rPr>
          <w:rFonts w:ascii="Times New Roman" w:eastAsia="標楷體" w:hAnsi="Times New Roman" w:cs="Times New Roman"/>
          <w:sz w:val="28"/>
          <w:szCs w:val="28"/>
        </w:rPr>
        <w:t>Green India</w:t>
      </w:r>
      <w:r w:rsidRPr="00C77E77">
        <w:rPr>
          <w:rFonts w:ascii="Times New Roman" w:eastAsia="標楷體" w:hAnsi="Times New Roman" w:cs="Times New Roman"/>
          <w:sz w:val="28"/>
          <w:szCs w:val="28"/>
        </w:rPr>
        <w:t>計畫，需要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灣的綠色科技。第四，印度正在推動技能</w:t>
      </w:r>
      <w:r w:rsidR="00D05A38" w:rsidRPr="00C77E77">
        <w:rPr>
          <w:rFonts w:ascii="Times New Roman" w:eastAsia="標楷體" w:hAnsi="Times New Roman" w:cs="Times New Roman"/>
          <w:sz w:val="28"/>
          <w:szCs w:val="28"/>
        </w:rPr>
        <w:t>（</w:t>
      </w:r>
      <w:r w:rsidR="00D05A38" w:rsidRPr="00C77E77">
        <w:rPr>
          <w:rFonts w:ascii="Times New Roman" w:eastAsia="標楷體" w:hAnsi="Times New Roman" w:cs="Times New Roman"/>
          <w:sz w:val="28"/>
          <w:szCs w:val="28"/>
        </w:rPr>
        <w:t>Skill Indi</w:t>
      </w:r>
      <w:r w:rsidRPr="00C77E77">
        <w:rPr>
          <w:rFonts w:ascii="Times New Roman" w:eastAsia="標楷體" w:hAnsi="Times New Roman" w:cs="Times New Roman"/>
          <w:sz w:val="28"/>
          <w:szCs w:val="28"/>
        </w:rPr>
        <w:t>a</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，臺灣可以分享中小企業及創新能力。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灣的技職教育也是印度所需。</w:t>
      </w:r>
    </w:p>
    <w:p w:rsidR="009664E4" w:rsidRPr="00C77E77" w:rsidRDefault="009664E4" w:rsidP="0001327A">
      <w:pPr>
        <w:numPr>
          <w:ilvl w:val="0"/>
          <w:numId w:val="7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許多</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灣的大學都能提供英語教學，將可以吸引更多印度生。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灣的高等教育也不昂貴。</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灣的學位為印度所接受。印度電視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便曾報導，</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灣逐漸成為吸引印度生的地點。工程、醫學、商業管理是印度學生最有興趣的三個領域。但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灣需要在印度有更多的宣傳</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public</w:t>
      </w:r>
      <w:r w:rsidR="00D05A38" w:rsidRPr="00C77E77">
        <w:rPr>
          <w:rFonts w:ascii="Times New Roman" w:eastAsia="標楷體" w:hAnsi="Times New Roman" w:cs="Times New Roman"/>
          <w:sz w:val="28"/>
          <w:szCs w:val="28"/>
        </w:rPr>
        <w:t>ity</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，諸如教育展及報紙廣告等方式。</w:t>
      </w:r>
    </w:p>
    <w:p w:rsidR="009664E4" w:rsidRPr="00C77E77" w:rsidRDefault="009664E4" w:rsidP="0001327A">
      <w:pPr>
        <w:numPr>
          <w:ilvl w:val="0"/>
          <w:numId w:val="7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有關</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印經濟合作協議</w:t>
      </w:r>
      <w:r w:rsidR="00D05A38" w:rsidRPr="00C77E77">
        <w:rPr>
          <w:rFonts w:ascii="Times New Roman" w:eastAsia="標楷體" w:hAnsi="Times New Roman" w:cs="Times New Roman"/>
          <w:sz w:val="28"/>
          <w:szCs w:val="28"/>
        </w:rPr>
        <w:t>（</w:t>
      </w:r>
      <w:r w:rsidR="00D05A38" w:rsidRPr="00C77E77">
        <w:rPr>
          <w:rFonts w:ascii="Times New Roman" w:eastAsia="標楷體" w:hAnsi="Times New Roman" w:cs="Times New Roman"/>
          <w:sz w:val="28"/>
          <w:szCs w:val="28"/>
        </w:rPr>
        <w:t>ECA</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的進度暫停，他認為有三種說法。第一個說法認為印度在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印貿易中是大多逆差，所以態度不積極。第二個說法是，印度並未在過去的</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中得利。第三個則是中國因素，</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印不可</w:t>
      </w:r>
      <w:r w:rsidRPr="00C77E77">
        <w:rPr>
          <w:rFonts w:ascii="Times New Roman" w:eastAsia="標楷體" w:hAnsi="Times New Roman" w:cs="Times New Roman"/>
          <w:sz w:val="28"/>
          <w:szCs w:val="28"/>
        </w:rPr>
        <w:lastRenderedPageBreak/>
        <w:t>能在中印之前簽署</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w:t>
      </w:r>
    </w:p>
    <w:p w:rsidR="009664E4" w:rsidRPr="00C77E77" w:rsidRDefault="009664E4" w:rsidP="009664E4">
      <w:pPr>
        <w:spacing w:beforeLines="50" w:before="180" w:afterLines="50" w:after="180" w:line="360" w:lineRule="auto"/>
        <w:jc w:val="center"/>
        <w:rPr>
          <w:rFonts w:ascii="Times New Roman" w:eastAsia="標楷體" w:hAnsi="Times New Roman" w:cs="Times New Roman"/>
          <w:color w:val="000000"/>
          <w:kern w:val="0"/>
          <w:sz w:val="28"/>
          <w:szCs w:val="28"/>
        </w:rPr>
      </w:pPr>
    </w:p>
    <w:p w:rsidR="009664E4" w:rsidRPr="00C77E77" w:rsidRDefault="009664E4" w:rsidP="002576FE">
      <w:pPr>
        <w:rPr>
          <w:rFonts w:ascii="Times New Roman" w:eastAsia="標楷體" w:hAnsi="Times New Roman" w:cs="Times New Roman"/>
          <w:sz w:val="28"/>
          <w:szCs w:val="28"/>
        </w:rPr>
      </w:pPr>
      <w:bookmarkStart w:id="191" w:name="_Toc466324396"/>
      <w:r w:rsidRPr="00C77E77">
        <w:rPr>
          <w:rFonts w:ascii="Times New Roman" w:eastAsia="標楷體" w:hAnsi="Times New Roman" w:cs="Times New Roman"/>
          <w:color w:val="000000"/>
          <w:kern w:val="0"/>
          <w:sz w:val="28"/>
          <w:szCs w:val="28"/>
        </w:rPr>
        <w:t>二、會晤印度中國研究所助理主任</w:t>
      </w:r>
      <w:r w:rsidRPr="00C77E77">
        <w:rPr>
          <w:rFonts w:ascii="Times New Roman" w:eastAsia="標楷體" w:hAnsi="Times New Roman" w:cs="Times New Roman"/>
          <w:color w:val="000000"/>
          <w:kern w:val="0"/>
          <w:sz w:val="28"/>
          <w:szCs w:val="28"/>
        </w:rPr>
        <w:t>Dr. Jabin Jacob</w:t>
      </w:r>
      <w:bookmarkEnd w:id="191"/>
    </w:p>
    <w:p w:rsidR="009664E4" w:rsidRPr="00C77E77" w:rsidRDefault="00D05A38" w:rsidP="0001327A">
      <w:pPr>
        <w:numPr>
          <w:ilvl w:val="0"/>
          <w:numId w:val="8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Dr. Jabin Jacob</w:t>
      </w:r>
      <w:r w:rsidR="009664E4" w:rsidRPr="00C77E77">
        <w:rPr>
          <w:rFonts w:ascii="Times New Roman" w:eastAsia="標楷體" w:hAnsi="Times New Roman" w:cs="Times New Roman"/>
          <w:sz w:val="28"/>
          <w:szCs w:val="28"/>
        </w:rPr>
        <w:t>鄭家賓提到</w:t>
      </w:r>
      <w:r w:rsidR="00FD0D5A"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印關係不免受到中國因素影響，需要更多制度性的交流跟投資。</w:t>
      </w:r>
      <w:r w:rsidR="00FD0D5A"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灣需要更強調</w:t>
      </w:r>
      <w:r w:rsidR="00FD0D5A"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印之間的經貿關係。他在中國研究中心的</w:t>
      </w:r>
      <w:r w:rsidRPr="00C77E77">
        <w:rPr>
          <w:rFonts w:ascii="Times New Roman" w:eastAsia="標楷體" w:hAnsi="Times New Roman" w:cs="Times New Roman"/>
          <w:sz w:val="28"/>
          <w:szCs w:val="28"/>
        </w:rPr>
        <w:t>新助理主任</w:t>
      </w:r>
      <w:r w:rsidR="009664E4" w:rsidRPr="00C77E77">
        <w:rPr>
          <w:rFonts w:ascii="Times New Roman" w:eastAsia="標楷體" w:hAnsi="Times New Roman" w:cs="Times New Roman"/>
          <w:sz w:val="28"/>
          <w:szCs w:val="28"/>
        </w:rPr>
        <w:t>接任人選的專長便是中國經濟，但也對</w:t>
      </w:r>
      <w:r w:rsidR="00FD0D5A"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灣經濟有興趣。</w:t>
      </w:r>
    </w:p>
    <w:p w:rsidR="009664E4" w:rsidRPr="00C77E77" w:rsidRDefault="009664E4" w:rsidP="0001327A">
      <w:pPr>
        <w:numPr>
          <w:ilvl w:val="0"/>
          <w:numId w:val="8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鄭家賓說明，他所屬的中國研究所雖以中國為名，但其實涵蓋東亞地區及越南等地。目前年輕一代的印度學者中，除了他本人之外，僅有</w:t>
      </w:r>
      <w:r w:rsidR="00D05A38" w:rsidRPr="00C77E77">
        <w:rPr>
          <w:rFonts w:ascii="Times New Roman" w:eastAsia="標楷體" w:hAnsi="Times New Roman" w:cs="Times New Roman"/>
          <w:sz w:val="28"/>
          <w:szCs w:val="28"/>
        </w:rPr>
        <w:t>Namrata Hasija</w:t>
      </w:r>
      <w:r w:rsidRPr="00C77E77">
        <w:rPr>
          <w:rStyle w:val="st"/>
          <w:rFonts w:ascii="Times New Roman" w:eastAsia="標楷體" w:hAnsi="Times New Roman" w:cs="Times New Roman"/>
          <w:sz w:val="28"/>
          <w:szCs w:val="28"/>
        </w:rPr>
        <w:t>夏海娜</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Ayushman Baruah</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Joe Thomas Karackattu</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Prashant Singh</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Jagannath P. Panda</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Rajeswari Pillai Rajagopalan</w:t>
      </w:r>
      <w:r w:rsidRPr="00C77E77">
        <w:rPr>
          <w:rFonts w:ascii="Times New Roman" w:eastAsia="標楷體" w:hAnsi="Times New Roman" w:cs="Times New Roman"/>
          <w:sz w:val="28"/>
          <w:szCs w:val="28"/>
        </w:rPr>
        <w:t>等人持續關注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印關係而已，對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印關係未來發展不利。</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灣方面若能提供一些文史獎學金給年輕印度學者，將對雙方關係發展有益。</w:t>
      </w:r>
    </w:p>
    <w:p w:rsidR="009664E4" w:rsidRPr="00C77E77" w:rsidRDefault="009664E4" w:rsidP="0001327A">
      <w:pPr>
        <w:numPr>
          <w:ilvl w:val="0"/>
          <w:numId w:val="8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灣駐印度代表處與印度官方簽署若干協議有政治上的困難，其實可以採取務實</w:t>
      </w:r>
      <w:r w:rsidR="00D05A38" w:rsidRPr="00C77E77">
        <w:rPr>
          <w:rFonts w:ascii="Times New Roman" w:eastAsia="標楷體" w:hAnsi="Times New Roman" w:cs="Times New Roman"/>
          <w:sz w:val="28"/>
          <w:szCs w:val="28"/>
        </w:rPr>
        <w:t>（</w:t>
      </w:r>
      <w:r w:rsidR="00D05A38" w:rsidRPr="00C77E77">
        <w:rPr>
          <w:rFonts w:ascii="Times New Roman" w:eastAsia="標楷體" w:hAnsi="Times New Roman" w:cs="Times New Roman"/>
          <w:sz w:val="28"/>
          <w:szCs w:val="28"/>
        </w:rPr>
        <w:t>practical</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做法，考慮透過印度智庫來執行。他們所屬的中國研究所也可以和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灣合作進行印度的投資研究報告等。</w:t>
      </w:r>
    </w:p>
    <w:p w:rsidR="009664E4" w:rsidRPr="00C77E77" w:rsidRDefault="009664E4" w:rsidP="0001327A">
      <w:pPr>
        <w:numPr>
          <w:ilvl w:val="0"/>
          <w:numId w:val="8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印可行的合作領域方面，包括高科技、食品科技、食品加工等，都是印度所需。也建議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灣可以鎖定幾個小省為發展重心，如印度東北地區或阿薩姆</w:t>
      </w:r>
      <w:r w:rsidR="00D05A38" w:rsidRPr="00C77E77">
        <w:rPr>
          <w:rFonts w:ascii="Times New Roman" w:eastAsia="標楷體" w:hAnsi="Times New Roman" w:cs="Times New Roman"/>
          <w:sz w:val="28"/>
          <w:szCs w:val="28"/>
        </w:rPr>
        <w:t>（</w:t>
      </w:r>
      <w:r w:rsidR="00D05A38" w:rsidRPr="00C77E77">
        <w:rPr>
          <w:rFonts w:ascii="Times New Roman" w:eastAsia="標楷體" w:hAnsi="Times New Roman" w:cs="Times New Roman"/>
          <w:sz w:val="28"/>
          <w:szCs w:val="28"/>
        </w:rPr>
        <w:t>Assam</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等較小的省分。</w:t>
      </w:r>
    </w:p>
    <w:p w:rsidR="009664E4" w:rsidRPr="00C77E77" w:rsidRDefault="009664E4" w:rsidP="0001327A">
      <w:pPr>
        <w:numPr>
          <w:ilvl w:val="0"/>
          <w:numId w:val="8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有關將</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灣智慧校園推廣至印度方面，他認為有可行性。若有相關英文簡報，他可以協助轉發給他熟識的學校。</w:t>
      </w:r>
    </w:p>
    <w:p w:rsidR="009664E4" w:rsidRPr="00C77E77" w:rsidRDefault="00FD0D5A" w:rsidP="0001327A">
      <w:pPr>
        <w:numPr>
          <w:ilvl w:val="0"/>
          <w:numId w:val="8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灣方面對經營</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印關係應保持耐心，也要持續投資。過去的</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灣政府投資有限。</w:t>
      </w:r>
    </w:p>
    <w:p w:rsidR="005633EA" w:rsidRPr="00C77E77" w:rsidRDefault="009664E4" w:rsidP="0001327A">
      <w:pPr>
        <w:numPr>
          <w:ilvl w:val="0"/>
          <w:numId w:val="8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有關中鋼公司設在</w:t>
      </w:r>
      <w:r w:rsidRPr="00C77E77">
        <w:rPr>
          <w:rFonts w:ascii="Times New Roman" w:eastAsia="標楷體" w:hAnsi="Times New Roman" w:cs="Times New Roman"/>
          <w:sz w:val="28"/>
          <w:szCs w:val="28"/>
        </w:rPr>
        <w:t>Gujarat</w:t>
      </w:r>
      <w:r w:rsidRPr="00C77E77">
        <w:rPr>
          <w:rFonts w:ascii="Times New Roman" w:eastAsia="標楷體" w:hAnsi="Times New Roman" w:cs="Times New Roman"/>
          <w:sz w:val="28"/>
          <w:szCs w:val="28"/>
        </w:rPr>
        <w:t>省鋼鐵廠面臨原料進口稅調漲問題，鄭家賓認</w:t>
      </w:r>
      <w:r w:rsidRPr="00C77E77">
        <w:rPr>
          <w:rFonts w:ascii="Times New Roman" w:eastAsia="標楷體" w:hAnsi="Times New Roman" w:cs="Times New Roman"/>
          <w:sz w:val="28"/>
          <w:szCs w:val="28"/>
        </w:rPr>
        <w:lastRenderedPageBreak/>
        <w:t>為印度不是針對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灣，而是針對中國。另外，如果該省無法提供好的稅率，中鋼公司可以選擇出走到其他省分去。</w:t>
      </w:r>
    </w:p>
    <w:p w:rsidR="009664E4" w:rsidRPr="00C77E77" w:rsidRDefault="009664E4" w:rsidP="009664E4">
      <w:pPr>
        <w:spacing w:beforeLines="50" w:before="180" w:afterLines="50" w:after="180" w:line="500" w:lineRule="exact"/>
        <w:jc w:val="center"/>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sz w:val="28"/>
          <w:szCs w:val="28"/>
        </w:rPr>
      </w:pPr>
      <w:bookmarkStart w:id="192" w:name="_Toc466324397"/>
      <w:r w:rsidRPr="00C77E77">
        <w:rPr>
          <w:rFonts w:ascii="Times New Roman" w:eastAsia="標楷體" w:hAnsi="Times New Roman" w:cs="Times New Roman"/>
          <w:kern w:val="0"/>
          <w:sz w:val="28"/>
          <w:szCs w:val="28"/>
        </w:rPr>
        <w:t>三、會晤晶元光電印度執行長林依達先生</w:t>
      </w:r>
      <w:bookmarkEnd w:id="192"/>
    </w:p>
    <w:p w:rsidR="009664E4" w:rsidRPr="00C77E77" w:rsidRDefault="009664E4" w:rsidP="0001327A">
      <w:pPr>
        <w:numPr>
          <w:ilvl w:val="0"/>
          <w:numId w:val="81"/>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color w:val="000000"/>
          <w:kern w:val="0"/>
          <w:sz w:val="28"/>
          <w:szCs w:val="28"/>
        </w:rPr>
        <w:t>晶元光電</w:t>
      </w:r>
      <w:r w:rsidRPr="00C77E77">
        <w:rPr>
          <w:rFonts w:ascii="Times New Roman" w:eastAsia="標楷體" w:hAnsi="Times New Roman" w:cs="Times New Roman"/>
          <w:sz w:val="28"/>
          <w:szCs w:val="28"/>
        </w:rPr>
        <w:t>印度分公司是由</w:t>
      </w:r>
      <w:r w:rsidRPr="00C77E77">
        <w:rPr>
          <w:rFonts w:ascii="Times New Roman" w:eastAsia="標楷體" w:hAnsi="Times New Roman" w:cs="Times New Roman"/>
          <w:color w:val="000000"/>
          <w:kern w:val="0"/>
          <w:sz w:val="28"/>
          <w:szCs w:val="28"/>
        </w:rPr>
        <w:t>晶元光電</w:t>
      </w:r>
      <w:r w:rsidRPr="00C77E77">
        <w:rPr>
          <w:rFonts w:ascii="Times New Roman" w:eastAsia="標楷體" w:hAnsi="Times New Roman" w:cs="Times New Roman"/>
          <w:sz w:val="28"/>
          <w:szCs w:val="28"/>
        </w:rPr>
        <w:t>與陸商木林森共同合資，各佔</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與</w:t>
      </w:r>
      <w:r w:rsidRPr="00C77E77">
        <w:rPr>
          <w:rFonts w:ascii="Times New Roman" w:eastAsia="標楷體" w:hAnsi="Times New Roman" w:cs="Times New Roman"/>
          <w:sz w:val="28"/>
          <w:szCs w:val="28"/>
        </w:rPr>
        <w:t>60%</w:t>
      </w:r>
      <w:r w:rsidRPr="00C77E77">
        <w:rPr>
          <w:rFonts w:ascii="Times New Roman" w:eastAsia="標楷體" w:hAnsi="Times New Roman" w:cs="Times New Roman"/>
          <w:sz w:val="28"/>
          <w:szCs w:val="28"/>
        </w:rPr>
        <w:t>股份，但由</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方負責營運，主要業務項目為為</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封裝。</w:t>
      </w:r>
    </w:p>
    <w:p w:rsidR="009664E4" w:rsidRPr="00C77E77" w:rsidRDefault="009664E4" w:rsidP="0001327A">
      <w:pPr>
        <w:numPr>
          <w:ilvl w:val="0"/>
          <w:numId w:val="81"/>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林執行長表示，印度相關單位在</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年就到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灣招商，提出有</w:t>
      </w:r>
      <w:r w:rsidRPr="00C77E77">
        <w:rPr>
          <w:rFonts w:ascii="Times New Roman" w:eastAsia="標楷體" w:hAnsi="Times New Roman" w:cs="Times New Roman"/>
          <w:sz w:val="28"/>
          <w:szCs w:val="28"/>
        </w:rPr>
        <w:t>25%</w:t>
      </w:r>
      <w:r w:rsidRPr="00C77E77">
        <w:rPr>
          <w:rFonts w:ascii="Times New Roman" w:eastAsia="標楷體" w:hAnsi="Times New Roman" w:cs="Times New Roman"/>
          <w:sz w:val="28"/>
          <w:szCs w:val="28"/>
        </w:rPr>
        <w:t>的退稅優惠，但最後是看不到也拿不到；如果考慮賦稅優惠來印度投資是不智的。印度的問題在於基礎設施不佳，經常跳電、電力不穩，水質欠佳，瓦斯依靠人力運送（沒有管線輸送）等等問題，對於電子業而言，並不適合投資（因為晶片製造時停電會造成大規模的瑕疵品出現，甚至危害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。但政府若能推動設置</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灣工業園區，提供完善的水電設施，對廠商而言仍具吸引力。</w:t>
      </w:r>
    </w:p>
    <w:p w:rsidR="009664E4" w:rsidRPr="00C77E77" w:rsidRDefault="009664E4" w:rsidP="0001327A">
      <w:pPr>
        <w:pStyle w:val="13"/>
        <w:numPr>
          <w:ilvl w:val="0"/>
          <w:numId w:val="81"/>
        </w:numPr>
        <w:spacing w:beforeLines="50" w:before="180" w:afterLines="50" w:after="180" w:line="500" w:lineRule="exact"/>
        <w:ind w:leftChars="0"/>
        <w:jc w:val="both"/>
        <w:rPr>
          <w:rFonts w:ascii="Times New Roman" w:eastAsia="標楷體" w:hAnsi="Times New Roman"/>
          <w:sz w:val="28"/>
          <w:szCs w:val="28"/>
        </w:rPr>
      </w:pPr>
      <w:r w:rsidRPr="00C77E77">
        <w:rPr>
          <w:rFonts w:ascii="Times New Roman" w:eastAsia="標楷體" w:hAnsi="Times New Roman"/>
          <w:sz w:val="28"/>
          <w:szCs w:val="28"/>
        </w:rPr>
        <w:t>印度行政效率低落，公共服務品質差，政府電腦常當機，水、電、瓦斯服務業水準不高，問題始終難以解決。這方面</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灣代表處官員可協助廠商，代表處經濟組對</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商不錯，但人手不足，可以增加人員。</w:t>
      </w:r>
    </w:p>
    <w:p w:rsidR="009664E4" w:rsidRPr="00C77E77" w:rsidRDefault="00E83E57" w:rsidP="0001327A">
      <w:pPr>
        <w:pStyle w:val="13"/>
        <w:numPr>
          <w:ilvl w:val="0"/>
          <w:numId w:val="81"/>
        </w:numPr>
        <w:spacing w:beforeLines="50" w:before="180" w:afterLines="50" w:after="180" w:line="500" w:lineRule="exact"/>
        <w:ind w:leftChars="0"/>
        <w:jc w:val="both"/>
        <w:rPr>
          <w:rFonts w:ascii="Times New Roman" w:eastAsia="標楷體" w:hAnsi="Times New Roman"/>
          <w:sz w:val="28"/>
          <w:szCs w:val="28"/>
        </w:rPr>
      </w:pPr>
      <w:r w:rsidRPr="00C77E77">
        <w:rPr>
          <w:rFonts w:ascii="Times New Roman" w:eastAsia="標楷體" w:hAnsi="Times New Roman"/>
          <w:sz w:val="28"/>
          <w:szCs w:val="28"/>
        </w:rPr>
        <w:t>印度積體電路公司（</w:t>
      </w:r>
      <w:r w:rsidR="009664E4" w:rsidRPr="00C77E77">
        <w:rPr>
          <w:rFonts w:ascii="Times New Roman" w:eastAsia="標楷體" w:hAnsi="Times New Roman"/>
          <w:sz w:val="28"/>
          <w:szCs w:val="28"/>
        </w:rPr>
        <w:t>SHMC</w:t>
      </w:r>
      <w:r w:rsidR="009664E4" w:rsidRPr="00C77E77">
        <w:rPr>
          <w:rFonts w:ascii="Times New Roman" w:eastAsia="標楷體" w:hAnsi="Times New Roman"/>
          <w:sz w:val="28"/>
          <w:szCs w:val="28"/>
        </w:rPr>
        <w:t>）是印度自己的半導體公司，製造所有的半導體產品，有自己的品牌。印度重視民族工業，在製造業希望有自己的品牌，而且印度有</w:t>
      </w:r>
      <w:r w:rsidR="009664E4" w:rsidRPr="00C77E77">
        <w:rPr>
          <w:rFonts w:ascii="Times New Roman" w:eastAsia="標楷體" w:hAnsi="Times New Roman"/>
          <w:sz w:val="28"/>
          <w:szCs w:val="28"/>
        </w:rPr>
        <w:t>TATA</w:t>
      </w:r>
      <w:r w:rsidR="009664E4" w:rsidRPr="00C77E77">
        <w:rPr>
          <w:rFonts w:ascii="Times New Roman" w:eastAsia="標楷體" w:hAnsi="Times New Roman"/>
          <w:sz w:val="28"/>
          <w:szCs w:val="28"/>
        </w:rPr>
        <w:t>等包羅各項產業的大廠牌。所以，</w:t>
      </w:r>
      <w:r w:rsidR="00FD0D5A" w:rsidRPr="00C77E77">
        <w:rPr>
          <w:rFonts w:ascii="Times New Roman" w:eastAsia="標楷體" w:hAnsi="Times New Roman"/>
          <w:sz w:val="28"/>
          <w:szCs w:val="28"/>
        </w:rPr>
        <w:t>臺</w:t>
      </w:r>
      <w:r w:rsidR="009664E4" w:rsidRPr="00C77E77">
        <w:rPr>
          <w:rFonts w:ascii="Times New Roman" w:eastAsia="標楷體" w:hAnsi="Times New Roman"/>
          <w:sz w:val="28"/>
          <w:szCs w:val="28"/>
        </w:rPr>
        <w:t>灣要在印度投資發展自有品牌，也就是作下游產品是不可能的。</w:t>
      </w:r>
    </w:p>
    <w:p w:rsidR="009664E4" w:rsidRPr="00C77E77" w:rsidRDefault="009664E4" w:rsidP="0001327A">
      <w:pPr>
        <w:pStyle w:val="13"/>
        <w:numPr>
          <w:ilvl w:val="0"/>
          <w:numId w:val="81"/>
        </w:numPr>
        <w:spacing w:beforeLines="50" w:before="180" w:afterLines="50" w:after="180" w:line="500" w:lineRule="exact"/>
        <w:ind w:leftChars="0"/>
        <w:jc w:val="both"/>
        <w:rPr>
          <w:rFonts w:ascii="Times New Roman" w:eastAsia="標楷體" w:hAnsi="Times New Roman"/>
          <w:sz w:val="28"/>
          <w:szCs w:val="28"/>
        </w:rPr>
      </w:pPr>
      <w:r w:rsidRPr="00C77E77">
        <w:rPr>
          <w:rFonts w:ascii="Times New Roman" w:eastAsia="標楷體" w:hAnsi="Times New Roman"/>
          <w:sz w:val="28"/>
          <w:szCs w:val="28"/>
        </w:rPr>
        <w:t>外國資金進入到印度，就出不去了，至少十年內出不去。外國自然人、法人在印度賺到的錢是不可以帶走的。外國（自然人）不能買房，只能租屋；法人也只能購置商辦。</w:t>
      </w:r>
    </w:p>
    <w:p w:rsidR="009664E4" w:rsidRPr="00C77E77" w:rsidRDefault="00FD0D5A" w:rsidP="0001327A">
      <w:pPr>
        <w:pStyle w:val="13"/>
        <w:numPr>
          <w:ilvl w:val="0"/>
          <w:numId w:val="81"/>
        </w:numPr>
        <w:spacing w:beforeLines="50" w:before="180" w:afterLines="50" w:after="180" w:line="500" w:lineRule="exact"/>
        <w:ind w:leftChars="0"/>
        <w:jc w:val="both"/>
        <w:rPr>
          <w:rFonts w:ascii="Times New Roman" w:eastAsia="標楷體" w:hAnsi="Times New Roman"/>
          <w:sz w:val="28"/>
          <w:szCs w:val="28"/>
        </w:rPr>
      </w:pPr>
      <w:r w:rsidRPr="00C77E77">
        <w:rPr>
          <w:rFonts w:ascii="Times New Roman" w:eastAsia="標楷體" w:hAnsi="Times New Roman"/>
          <w:sz w:val="28"/>
          <w:szCs w:val="28"/>
        </w:rPr>
        <w:t>臺</w:t>
      </w:r>
      <w:r w:rsidR="009664E4" w:rsidRPr="00C77E77">
        <w:rPr>
          <w:rFonts w:ascii="Times New Roman" w:eastAsia="標楷體" w:hAnsi="Times New Roman"/>
          <w:sz w:val="28"/>
          <w:szCs w:val="28"/>
        </w:rPr>
        <w:t>灣企業家和幹部要來印度發展，子女的教育問題也是很大的難題，這</w:t>
      </w:r>
      <w:r w:rsidR="009664E4" w:rsidRPr="00C77E77">
        <w:rPr>
          <w:rFonts w:ascii="Times New Roman" w:eastAsia="標楷體" w:hAnsi="Times New Roman"/>
          <w:sz w:val="28"/>
          <w:szCs w:val="28"/>
        </w:rPr>
        <w:lastRenderedPageBreak/>
        <w:t>是</w:t>
      </w:r>
      <w:r w:rsidRPr="00C77E77">
        <w:rPr>
          <w:rFonts w:ascii="Times New Roman" w:eastAsia="標楷體" w:hAnsi="Times New Roman"/>
          <w:sz w:val="28"/>
          <w:szCs w:val="28"/>
        </w:rPr>
        <w:t>臺</w:t>
      </w:r>
      <w:r w:rsidR="009664E4" w:rsidRPr="00C77E77">
        <w:rPr>
          <w:rFonts w:ascii="Times New Roman" w:eastAsia="標楷體" w:hAnsi="Times New Roman"/>
          <w:sz w:val="28"/>
          <w:szCs w:val="28"/>
        </w:rPr>
        <w:t>灣政府要作的配套工作；像日本就處理得很好，在</w:t>
      </w:r>
      <w:r w:rsidRPr="00C77E77">
        <w:rPr>
          <w:rFonts w:ascii="Times New Roman" w:eastAsia="標楷體" w:hAnsi="Times New Roman"/>
          <w:sz w:val="28"/>
          <w:szCs w:val="28"/>
        </w:rPr>
        <w:t>臺</w:t>
      </w:r>
      <w:r w:rsidR="009664E4" w:rsidRPr="00C77E77">
        <w:rPr>
          <w:rFonts w:ascii="Times New Roman" w:eastAsia="標楷體" w:hAnsi="Times New Roman"/>
          <w:sz w:val="28"/>
          <w:szCs w:val="28"/>
        </w:rPr>
        <w:t>灣、在印度都有日僑學校。</w:t>
      </w:r>
    </w:p>
    <w:p w:rsidR="009664E4" w:rsidRPr="00C77E77" w:rsidRDefault="009664E4" w:rsidP="0001327A">
      <w:pPr>
        <w:pStyle w:val="13"/>
        <w:numPr>
          <w:ilvl w:val="0"/>
          <w:numId w:val="81"/>
        </w:numPr>
        <w:spacing w:beforeLines="50" w:before="180" w:afterLines="50" w:after="180" w:line="500" w:lineRule="exact"/>
        <w:ind w:leftChars="0"/>
        <w:jc w:val="both"/>
        <w:rPr>
          <w:rFonts w:ascii="Times New Roman" w:eastAsia="標楷體" w:hAnsi="Times New Roman"/>
          <w:sz w:val="28"/>
          <w:szCs w:val="28"/>
        </w:rPr>
      </w:pPr>
      <w:r w:rsidRPr="00C77E77">
        <w:rPr>
          <w:rFonts w:ascii="Times New Roman" w:eastAsia="標楷體" w:hAnsi="Times New Roman"/>
          <w:sz w:val="28"/>
          <w:szCs w:val="28"/>
        </w:rPr>
        <w:t>印度有各地方規定不同，許多地方規定很僵化。因此想到印度並不容易；特別是印度政府對某些民族工業、特定印度產業、企業給予補貼、減免賦稅，而對外國已設廠投資者形成不公平的競爭。（近年印度政府的</w:t>
      </w:r>
      <w:r w:rsidRPr="00C77E77">
        <w:rPr>
          <w:rFonts w:ascii="Times New Roman" w:eastAsia="標楷體" w:hAnsi="Times New Roman"/>
          <w:sz w:val="28"/>
          <w:szCs w:val="28"/>
        </w:rPr>
        <w:t>LED</w:t>
      </w:r>
      <w:r w:rsidRPr="00C77E77">
        <w:rPr>
          <w:rFonts w:ascii="Times New Roman" w:eastAsia="標楷體" w:hAnsi="Times New Roman"/>
          <w:sz w:val="28"/>
          <w:szCs w:val="28"/>
        </w:rPr>
        <w:t>燈收購價格持續大降，從</w:t>
      </w:r>
      <w:r w:rsidRPr="00C77E77">
        <w:rPr>
          <w:rFonts w:ascii="Times New Roman" w:eastAsia="標楷體" w:hAnsi="Times New Roman"/>
          <w:sz w:val="28"/>
          <w:szCs w:val="28"/>
        </w:rPr>
        <w:t>310</w:t>
      </w:r>
      <w:r w:rsidRPr="00C77E77">
        <w:rPr>
          <w:rFonts w:ascii="Times New Roman" w:eastAsia="標楷體" w:hAnsi="Times New Roman"/>
          <w:sz w:val="28"/>
          <w:szCs w:val="28"/>
        </w:rPr>
        <w:t>降到</w:t>
      </w:r>
      <w:r w:rsidRPr="00C77E77">
        <w:rPr>
          <w:rFonts w:ascii="Times New Roman" w:eastAsia="標楷體" w:hAnsi="Times New Roman"/>
          <w:sz w:val="28"/>
          <w:szCs w:val="28"/>
        </w:rPr>
        <w:t>38</w:t>
      </w:r>
      <w:r w:rsidRPr="00C77E77">
        <w:rPr>
          <w:rFonts w:ascii="Times New Roman" w:eastAsia="標楷體" w:hAnsi="Times New Roman"/>
          <w:sz w:val="28"/>
          <w:szCs w:val="28"/>
        </w:rPr>
        <w:t>元，而外商製造成本要</w:t>
      </w:r>
      <w:r w:rsidRPr="00C77E77">
        <w:rPr>
          <w:rFonts w:ascii="Times New Roman" w:eastAsia="標楷體" w:hAnsi="Times New Roman"/>
          <w:sz w:val="28"/>
          <w:szCs w:val="28"/>
        </w:rPr>
        <w:t>80</w:t>
      </w:r>
      <w:r w:rsidRPr="00C77E77">
        <w:rPr>
          <w:rFonts w:ascii="Times New Roman" w:eastAsia="標楷體" w:hAnsi="Times New Roman"/>
          <w:sz w:val="28"/>
          <w:szCs w:val="28"/>
        </w:rPr>
        <w:t>元）。</w:t>
      </w:r>
    </w:p>
    <w:p w:rsidR="009664E4" w:rsidRPr="00C77E77" w:rsidRDefault="009664E4" w:rsidP="0001327A">
      <w:pPr>
        <w:pStyle w:val="13"/>
        <w:numPr>
          <w:ilvl w:val="0"/>
          <w:numId w:val="81"/>
        </w:numPr>
        <w:spacing w:beforeLines="50" w:before="180" w:afterLines="50" w:after="180" w:line="500" w:lineRule="exact"/>
        <w:ind w:leftChars="0"/>
        <w:jc w:val="both"/>
        <w:rPr>
          <w:rFonts w:ascii="Times New Roman" w:eastAsia="標楷體" w:hAnsi="Times New Roman"/>
          <w:sz w:val="28"/>
          <w:szCs w:val="28"/>
        </w:rPr>
      </w:pPr>
      <w:r w:rsidRPr="00C77E77">
        <w:rPr>
          <w:rFonts w:ascii="Times New Roman" w:eastAsia="標楷體" w:hAnsi="Times New Roman"/>
          <w:sz w:val="28"/>
          <w:szCs w:val="28"/>
        </w:rPr>
        <w:t>該公司的策略是提供印度大廠所需的關鍵元件，並支持當地品牌，作</w:t>
      </w:r>
      <w:r w:rsidRPr="00C77E77">
        <w:rPr>
          <w:rFonts w:ascii="Times New Roman" w:eastAsia="標楷體" w:hAnsi="Times New Roman"/>
          <w:sz w:val="28"/>
          <w:szCs w:val="28"/>
        </w:rPr>
        <w:t>OEM</w:t>
      </w:r>
      <w:r w:rsidRPr="00C77E77">
        <w:rPr>
          <w:rFonts w:ascii="Times New Roman" w:eastAsia="標楷體" w:hAnsi="Times New Roman"/>
          <w:sz w:val="28"/>
          <w:szCs w:val="28"/>
        </w:rPr>
        <w:t>，而不要作自己的品牌，作好關鍵零阻件（元件），作芯片。所有的品牌都需要科技產業的關鍵零阻件，在印度可以作這門生意。該公司在印度的主要工作，就是領導一個團隊，作進口關鍵零阻件的工作（從</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灣和大陸），賣給印度的廠商。印度的三大</w:t>
      </w:r>
      <w:r w:rsidRPr="00C77E77">
        <w:rPr>
          <w:rFonts w:ascii="Times New Roman" w:eastAsia="標楷體" w:hAnsi="Times New Roman"/>
          <w:sz w:val="28"/>
          <w:szCs w:val="28"/>
        </w:rPr>
        <w:t>LED</w:t>
      </w:r>
      <w:r w:rsidRPr="00C77E77">
        <w:rPr>
          <w:rFonts w:ascii="Times New Roman" w:eastAsia="標楷體" w:hAnsi="Times New Roman"/>
          <w:sz w:val="28"/>
          <w:szCs w:val="28"/>
        </w:rPr>
        <w:t>公司－菲利浦、歐斯朗、</w:t>
      </w:r>
      <w:r w:rsidRPr="00C77E77">
        <w:rPr>
          <w:rFonts w:ascii="Times New Roman" w:eastAsia="標楷體" w:hAnsi="Times New Roman"/>
          <w:sz w:val="28"/>
          <w:szCs w:val="28"/>
        </w:rPr>
        <w:t>SURIA</w:t>
      </w:r>
      <w:r w:rsidRPr="00C77E77">
        <w:rPr>
          <w:rFonts w:ascii="Times New Roman" w:eastAsia="標楷體" w:hAnsi="Times New Roman"/>
          <w:sz w:val="28"/>
          <w:szCs w:val="28"/>
        </w:rPr>
        <w:t>－都是該公司的客戶。目前在印度市佔率</w:t>
      </w:r>
      <w:r w:rsidR="00E83E57" w:rsidRPr="00C77E77">
        <w:rPr>
          <w:rFonts w:ascii="Times New Roman" w:eastAsia="標楷體" w:hAnsi="Times New Roman"/>
          <w:sz w:val="28"/>
          <w:szCs w:val="28"/>
        </w:rPr>
        <w:t>逾</w:t>
      </w:r>
      <w:r w:rsidRPr="00C77E77">
        <w:rPr>
          <w:rFonts w:ascii="Times New Roman" w:eastAsia="標楷體" w:hAnsi="Times New Roman"/>
          <w:sz w:val="28"/>
          <w:szCs w:val="28"/>
        </w:rPr>
        <w:t>10%</w:t>
      </w:r>
      <w:r w:rsidRPr="00C77E77">
        <w:rPr>
          <w:rFonts w:ascii="Times New Roman" w:eastAsia="標楷體" w:hAnsi="Times New Roman"/>
          <w:sz w:val="28"/>
          <w:szCs w:val="28"/>
        </w:rPr>
        <w:t>，是印度第一，但佔該公司全球總營收很低。現在目標是，第一，在兩年內營收損益平衡，第二，希望從印度市場延伸到東南亞各國。</w:t>
      </w:r>
    </w:p>
    <w:p w:rsidR="009664E4" w:rsidRPr="00C77E77" w:rsidRDefault="009664E4" w:rsidP="0001327A">
      <w:pPr>
        <w:pStyle w:val="13"/>
        <w:numPr>
          <w:ilvl w:val="0"/>
          <w:numId w:val="81"/>
        </w:numPr>
        <w:spacing w:beforeLines="50" w:before="180" w:afterLines="50" w:after="180" w:line="500" w:lineRule="exact"/>
        <w:ind w:leftChars="0"/>
        <w:jc w:val="both"/>
        <w:rPr>
          <w:rFonts w:ascii="Times New Roman" w:eastAsia="標楷體" w:hAnsi="Times New Roman"/>
          <w:sz w:val="28"/>
          <w:szCs w:val="28"/>
        </w:rPr>
      </w:pPr>
      <w:r w:rsidRPr="00C77E77">
        <w:rPr>
          <w:rFonts w:ascii="Times New Roman" w:eastAsia="標楷體" w:hAnsi="Times New Roman"/>
          <w:sz w:val="28"/>
          <w:szCs w:val="28"/>
        </w:rPr>
        <w:t>印度政府推動</w:t>
      </w:r>
      <w:r w:rsidRPr="00C77E77">
        <w:rPr>
          <w:rStyle w:val="st"/>
          <w:rFonts w:ascii="Times New Roman" w:eastAsia="標楷體" w:hAnsi="Times New Roman"/>
          <w:sz w:val="28"/>
          <w:szCs w:val="28"/>
        </w:rPr>
        <w:t>Dome</w:t>
      </w:r>
      <w:r w:rsidR="00D05A38" w:rsidRPr="00C77E77">
        <w:rPr>
          <w:rStyle w:val="st"/>
          <w:rFonts w:ascii="Times New Roman" w:eastAsia="標楷體" w:hAnsi="Times New Roman"/>
          <w:sz w:val="28"/>
          <w:szCs w:val="28"/>
        </w:rPr>
        <w:t xml:space="preserve">stic Efficient Lighting Scheme </w:t>
      </w:r>
      <w:r w:rsidR="00D05A38" w:rsidRPr="00C77E77">
        <w:rPr>
          <w:rStyle w:val="st"/>
          <w:rFonts w:ascii="Times New Roman" w:eastAsia="標楷體" w:hAnsi="Times New Roman"/>
          <w:sz w:val="28"/>
          <w:szCs w:val="28"/>
        </w:rPr>
        <w:t>（</w:t>
      </w:r>
      <w:r w:rsidRPr="00C77E77">
        <w:rPr>
          <w:rStyle w:val="aff2"/>
          <w:rFonts w:ascii="Times New Roman" w:eastAsia="標楷體" w:hAnsi="Times New Roman"/>
          <w:i w:val="0"/>
          <w:sz w:val="28"/>
          <w:szCs w:val="28"/>
        </w:rPr>
        <w:t>DELP</w:t>
      </w:r>
      <w:r w:rsidR="00D05A38" w:rsidRPr="00C77E77">
        <w:rPr>
          <w:rStyle w:val="st"/>
          <w:rFonts w:ascii="Times New Roman" w:eastAsia="標楷體" w:hAnsi="Times New Roman"/>
          <w:sz w:val="28"/>
          <w:szCs w:val="28"/>
        </w:rPr>
        <w:t>）</w:t>
      </w:r>
      <w:r w:rsidRPr="00C77E77">
        <w:rPr>
          <w:rStyle w:val="st"/>
          <w:rFonts w:ascii="Times New Roman" w:eastAsia="標楷體" w:hAnsi="Times New Roman"/>
          <w:sz w:val="28"/>
          <w:szCs w:val="28"/>
        </w:rPr>
        <w:t>推廣</w:t>
      </w:r>
      <w:r w:rsidRPr="00C77E77">
        <w:rPr>
          <w:rFonts w:ascii="Times New Roman" w:eastAsia="標楷體" w:hAnsi="Times New Roman"/>
          <w:sz w:val="28"/>
          <w:szCs w:val="28"/>
        </w:rPr>
        <w:t>LED</w:t>
      </w:r>
      <w:r w:rsidRPr="00C77E77">
        <w:rPr>
          <w:rFonts w:ascii="Times New Roman" w:eastAsia="標楷體" w:hAnsi="Times New Roman"/>
          <w:sz w:val="28"/>
          <w:szCs w:val="28"/>
        </w:rPr>
        <w:t>燈計畫。消費者只要只要拿著電費單登記，便可以</w:t>
      </w:r>
      <w:r w:rsidRPr="00C77E77">
        <w:rPr>
          <w:rFonts w:ascii="Times New Roman" w:eastAsia="標楷體" w:hAnsi="Times New Roman"/>
          <w:sz w:val="28"/>
          <w:szCs w:val="28"/>
        </w:rPr>
        <w:t>70</w:t>
      </w:r>
      <w:r w:rsidRPr="00C77E77">
        <w:rPr>
          <w:rFonts w:ascii="Times New Roman" w:eastAsia="標楷體" w:hAnsi="Times New Roman"/>
          <w:sz w:val="28"/>
          <w:szCs w:val="28"/>
        </w:rPr>
        <w:t>盧比</w:t>
      </w:r>
      <w:r w:rsidRPr="00C77E77">
        <w:rPr>
          <w:rFonts w:ascii="Times New Roman" w:eastAsia="標楷體" w:hAnsi="Times New Roman"/>
          <w:sz w:val="28"/>
          <w:szCs w:val="28"/>
        </w:rPr>
        <w:t>(</w:t>
      </w:r>
      <w:r w:rsidRPr="00C77E77">
        <w:rPr>
          <w:rFonts w:ascii="Times New Roman" w:eastAsia="標楷體" w:hAnsi="Times New Roman"/>
          <w:sz w:val="28"/>
          <w:szCs w:val="28"/>
        </w:rPr>
        <w:t>約</w:t>
      </w:r>
      <w:r w:rsidRPr="00C77E77">
        <w:rPr>
          <w:rFonts w:ascii="Times New Roman" w:eastAsia="標楷體" w:hAnsi="Times New Roman"/>
          <w:sz w:val="28"/>
          <w:szCs w:val="28"/>
        </w:rPr>
        <w:t>35</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幣</w:t>
      </w:r>
      <w:r w:rsidRPr="00C77E77">
        <w:rPr>
          <w:rFonts w:ascii="Times New Roman" w:eastAsia="標楷體" w:hAnsi="Times New Roman"/>
          <w:sz w:val="28"/>
          <w:szCs w:val="28"/>
        </w:rPr>
        <w:t>)</w:t>
      </w:r>
      <w:r w:rsidRPr="00C77E77">
        <w:rPr>
          <w:rFonts w:ascii="Times New Roman" w:eastAsia="標楷體" w:hAnsi="Times New Roman"/>
          <w:sz w:val="28"/>
          <w:szCs w:val="28"/>
        </w:rPr>
        <w:t>價格購買一只</w:t>
      </w:r>
      <w:r w:rsidRPr="00C77E77">
        <w:rPr>
          <w:rFonts w:ascii="Times New Roman" w:eastAsia="標楷體" w:hAnsi="Times New Roman"/>
          <w:sz w:val="28"/>
          <w:szCs w:val="28"/>
        </w:rPr>
        <w:t>LED</w:t>
      </w:r>
      <w:r w:rsidRPr="00C77E77">
        <w:rPr>
          <w:rFonts w:ascii="Times New Roman" w:eastAsia="標楷體" w:hAnsi="Times New Roman"/>
          <w:sz w:val="28"/>
          <w:szCs w:val="28"/>
        </w:rPr>
        <w:t>燈泡，而且消費者只需要先付</w:t>
      </w:r>
      <w:r w:rsidRPr="00C77E77">
        <w:rPr>
          <w:rFonts w:ascii="Times New Roman" w:eastAsia="標楷體" w:hAnsi="Times New Roman"/>
          <w:sz w:val="28"/>
          <w:szCs w:val="28"/>
        </w:rPr>
        <w:t>10</w:t>
      </w:r>
      <w:r w:rsidRPr="00C77E77">
        <w:rPr>
          <w:rFonts w:ascii="Times New Roman" w:eastAsia="標楷體" w:hAnsi="Times New Roman"/>
          <w:sz w:val="28"/>
          <w:szCs w:val="28"/>
        </w:rPr>
        <w:t>盧比，之後六個月的電費中，每月再收取</w:t>
      </w:r>
      <w:r w:rsidRPr="00C77E77">
        <w:rPr>
          <w:rFonts w:ascii="Times New Roman" w:eastAsia="標楷體" w:hAnsi="Times New Roman"/>
          <w:sz w:val="28"/>
          <w:szCs w:val="28"/>
        </w:rPr>
        <w:t>10</w:t>
      </w:r>
      <w:r w:rsidRPr="00C77E77">
        <w:rPr>
          <w:rFonts w:ascii="Times New Roman" w:eastAsia="標楷體" w:hAnsi="Times New Roman"/>
          <w:sz w:val="28"/>
          <w:szCs w:val="28"/>
        </w:rPr>
        <w:t>盧比。雖然需求量大，但政府標案的</w:t>
      </w:r>
      <w:r w:rsidRPr="00C77E77">
        <w:rPr>
          <w:rFonts w:ascii="Times New Roman" w:eastAsia="標楷體" w:hAnsi="Times New Roman"/>
          <w:sz w:val="28"/>
          <w:szCs w:val="28"/>
        </w:rPr>
        <w:t>LED</w:t>
      </w:r>
      <w:r w:rsidRPr="00C77E77">
        <w:rPr>
          <w:rFonts w:ascii="Times New Roman" w:eastAsia="標楷體" w:hAnsi="Times New Roman"/>
          <w:sz w:val="28"/>
          <w:szCs w:val="28"/>
        </w:rPr>
        <w:t>燈泡從原先每顆</w:t>
      </w:r>
      <w:r w:rsidRPr="00C77E77">
        <w:rPr>
          <w:rFonts w:ascii="Times New Roman" w:eastAsia="標楷體" w:hAnsi="Times New Roman"/>
          <w:sz w:val="28"/>
          <w:szCs w:val="28"/>
        </w:rPr>
        <w:t>310</w:t>
      </w:r>
      <w:r w:rsidRPr="00C77E77">
        <w:rPr>
          <w:rFonts w:ascii="Times New Roman" w:eastAsia="標楷體" w:hAnsi="Times New Roman"/>
          <w:sz w:val="28"/>
          <w:szCs w:val="28"/>
        </w:rPr>
        <w:t>盧比跌至</w:t>
      </w:r>
      <w:r w:rsidRPr="00C77E77">
        <w:rPr>
          <w:rFonts w:ascii="Times New Roman" w:eastAsia="標楷體" w:hAnsi="Times New Roman"/>
          <w:sz w:val="28"/>
          <w:szCs w:val="28"/>
        </w:rPr>
        <w:t>68</w:t>
      </w:r>
      <w:r w:rsidRPr="00C77E77">
        <w:rPr>
          <w:rFonts w:ascii="Times New Roman" w:eastAsia="標楷體" w:hAnsi="Times New Roman"/>
          <w:sz w:val="28"/>
          <w:szCs w:val="28"/>
        </w:rPr>
        <w:t>盧比，導致廠商已無利可圖。</w:t>
      </w:r>
    </w:p>
    <w:p w:rsidR="009664E4" w:rsidRPr="00C77E77" w:rsidRDefault="009664E4" w:rsidP="0001327A">
      <w:pPr>
        <w:pStyle w:val="13"/>
        <w:numPr>
          <w:ilvl w:val="0"/>
          <w:numId w:val="81"/>
        </w:numPr>
        <w:spacing w:beforeLines="50" w:before="180" w:afterLines="50" w:after="180" w:line="500" w:lineRule="exact"/>
        <w:ind w:leftChars="0"/>
        <w:jc w:val="both"/>
        <w:rPr>
          <w:rFonts w:ascii="Times New Roman" w:eastAsia="標楷體" w:hAnsi="Times New Roman"/>
          <w:sz w:val="28"/>
          <w:szCs w:val="28"/>
        </w:rPr>
      </w:pPr>
      <w:r w:rsidRPr="00C77E77">
        <w:rPr>
          <w:rFonts w:ascii="Times New Roman" w:eastAsia="標楷體" w:hAnsi="Times New Roman"/>
          <w:sz w:val="28"/>
          <w:szCs w:val="28"/>
        </w:rPr>
        <w:t>印度也決定在</w:t>
      </w:r>
      <w:r w:rsidRPr="00C77E77">
        <w:rPr>
          <w:rFonts w:ascii="Times New Roman" w:eastAsia="標楷體" w:hAnsi="Times New Roman"/>
          <w:sz w:val="28"/>
          <w:szCs w:val="28"/>
        </w:rPr>
        <w:t>2020</w:t>
      </w:r>
      <w:r w:rsidR="00D05A38" w:rsidRPr="00C77E77">
        <w:rPr>
          <w:rFonts w:ascii="Times New Roman" w:eastAsia="標楷體" w:hAnsi="Times New Roman"/>
          <w:sz w:val="28"/>
          <w:szCs w:val="28"/>
        </w:rPr>
        <w:t>年就不再進口電子元件（</w:t>
      </w:r>
      <w:r w:rsidRPr="00C77E77">
        <w:rPr>
          <w:rFonts w:ascii="Times New Roman" w:eastAsia="標楷體" w:hAnsi="Times New Roman"/>
          <w:sz w:val="28"/>
          <w:szCs w:val="28"/>
        </w:rPr>
        <w:t>zero import by 2020</w:t>
      </w:r>
      <w:r w:rsidR="00D05A38" w:rsidRPr="00C77E77">
        <w:rPr>
          <w:rFonts w:ascii="Times New Roman" w:eastAsia="標楷體" w:hAnsi="Times New Roman"/>
          <w:sz w:val="28"/>
          <w:szCs w:val="28"/>
        </w:rPr>
        <w:t>）</w:t>
      </w:r>
      <w:r w:rsidRPr="00C77E77">
        <w:rPr>
          <w:rFonts w:ascii="Times New Roman" w:eastAsia="標楷體" w:hAnsi="Times New Roman"/>
          <w:sz w:val="28"/>
          <w:szCs w:val="28"/>
        </w:rPr>
        <w:t>，要印度能夠自給自足，但實際上作不到；因印度大多數關鍵零阻件掌握在日本手上。</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十一</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印度雖然有相當大的消費市場，但對成品價格敏感。所以該公司利用掌握上游關鍵零組件的方式進入印度。</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十二</w:t>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灣海運的陽明、萬海均在印度投資；都有接到生意，但價格普遍欠</w:t>
      </w:r>
      <w:r w:rsidRPr="00C77E77">
        <w:rPr>
          <w:rFonts w:ascii="Times New Roman" w:eastAsia="標楷體" w:hAnsi="Times New Roman" w:cs="Times New Roman"/>
          <w:sz w:val="28"/>
          <w:szCs w:val="28"/>
        </w:rPr>
        <w:lastRenderedPageBreak/>
        <w:t>佳，僅達</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灣七成的價格而已。</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灣的工程公司，如大陸、中鼎都從新加坡來，從事人行道工程、地鐵工程、環保衛生工程（另有些公司作街道清掃工作），可以有生意，但價格可能很糟。</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十三</w:t>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灣科學園區外派大陸的幹部已經沒有發給加給，只有加生活費。即到東南亞月薪是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w:t>
      </w:r>
      <w:r w:rsidRPr="00C77E77">
        <w:rPr>
          <w:rFonts w:ascii="Times New Roman" w:eastAsia="標楷體" w:hAnsi="Times New Roman" w:cs="Times New Roman"/>
          <w:sz w:val="28"/>
          <w:szCs w:val="28"/>
        </w:rPr>
        <w:t>1.4</w:t>
      </w:r>
      <w:r w:rsidRPr="00C77E77">
        <w:rPr>
          <w:rFonts w:ascii="Times New Roman" w:eastAsia="標楷體" w:hAnsi="Times New Roman" w:cs="Times New Roman"/>
          <w:sz w:val="28"/>
          <w:szCs w:val="28"/>
        </w:rPr>
        <w:t>倍，到印度月薪是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w:t>
      </w:r>
      <w:r w:rsidRPr="00C77E77">
        <w:rPr>
          <w:rFonts w:ascii="Times New Roman" w:eastAsia="標楷體" w:hAnsi="Times New Roman" w:cs="Times New Roman"/>
          <w:sz w:val="28"/>
          <w:szCs w:val="28"/>
        </w:rPr>
        <w:t>1.5~1.6</w:t>
      </w:r>
      <w:r w:rsidRPr="00C77E77">
        <w:rPr>
          <w:rFonts w:ascii="Times New Roman" w:eastAsia="標楷體" w:hAnsi="Times New Roman" w:cs="Times New Roman"/>
          <w:sz w:val="28"/>
          <w:szCs w:val="28"/>
        </w:rPr>
        <w:t>倍。</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十四</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電電公會在印度德里也「圈一塊地」要設立工業區，招攬</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灣廠商前來投資，但並不成功。因為該公會只是扮演「掮客」角色，無法代</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灣廠商向印度政府或相關單位爭取必須的資源、服務和建設。如緯創到印度設廠，也沒有到電電公會的開發區設廠。鴻海來印度設廠也不用透過電電公會。</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十五</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如果</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灣政府能夠出面與印度政府協調，在德里、加爾各答、孟買等地設立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灣廠商的工業區，將廠房蓋好，水、電等設施都建設好，不會有停水跳電的問題，然後像育成中心一般，有協助設立登記公司，則使</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商前來印度更容易成功，如此將有助於我政府招攬更多</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灣企業進駐印度。</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十六</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在印度，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灣面對許多對手，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灣企業要打的仗是多樣和多量的製造能力，這方面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灣比中國大陸強。政府要協助和促成企業能夠降低進入和退出的障礙。政府的外圍機構，如外貿協會也可以擔任這樣的角色，作這方面的工作（開發有完整機能的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商工業區），應該可以給予</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商許多協助。</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十七</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到印度投資發展，要認識到印度各邦、各省有不同的文化和法制規定，如北方邦、北查邦的工會很強勢，中央邦的法令自主性很高（與中央往往不同），有些邦、省是全吃素、不喝酒的。</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十八</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在印度人員、幹部運用，需要考量到種姓制度。如辦公室工友不能用階級太高的人，高級幹部一定要有印度人，而且在種姓上階等要比低</w:t>
      </w:r>
      <w:r w:rsidRPr="00C77E77">
        <w:rPr>
          <w:rFonts w:ascii="Times New Roman" w:eastAsia="標楷體" w:hAnsi="Times New Roman" w:cs="Times New Roman"/>
          <w:sz w:val="28"/>
          <w:szCs w:val="28"/>
        </w:rPr>
        <w:lastRenderedPageBreak/>
        <w:t>階幹部高，才能有效領導，否則不好管理職員。事實上，印度人頗愛爭辯與議價，但因有種姓制度，只要領導者領導強力拍板決策且用印度高階員工作好管理工作，則公司將能上軌道。</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十九</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晶元電</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產能是世界第一，</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灣是從製造業出發，利潤都算得很精。晶元電長期在大陸投資，頗有成果，但近年受到紅色供應影響，</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商首當其衝，但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企很能調整，</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商韌性最強，有靈活性，但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商最怕</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商競爭，所以轉到印度發展，應該要促成</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商共同合作，要學日本由政府或大財團形成集團性的扶持，如此則</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商可以成功。政府可以協助想來印度的企業的是籌組產業團隊建設</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商園區、提供法制和賦稅諮詢顧問服務。</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二十</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通常陸資在資金方面具有優勢，是工業產品的價格屠夫，但是到印度則優勢不再，所以陸企在印度也需要有新作法，</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灣和大陸合資組成公司的模式是可行的。晶元電即和陸資共同成立</w:t>
      </w:r>
      <w:r w:rsidRPr="00C77E77">
        <w:rPr>
          <w:rFonts w:ascii="Times New Roman" w:eastAsia="標楷體" w:hAnsi="Times New Roman" w:cs="Times New Roman"/>
          <w:sz w:val="28"/>
          <w:szCs w:val="28"/>
        </w:rPr>
        <w:t>MLS</w:t>
      </w:r>
      <w:r w:rsidRPr="00C77E77">
        <w:rPr>
          <w:rFonts w:ascii="Times New Roman" w:eastAsia="標楷體" w:hAnsi="Times New Roman" w:cs="Times New Roman"/>
          <w:sz w:val="28"/>
          <w:szCs w:val="28"/>
        </w:rPr>
        <w:t>。</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廿一</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印度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商會像同鄉會、聯誼會，但沒有固定會址。而中國大陸的印度商會（中印商會）有會址，可以辦講座（如稅制改革），凝聚力較強，這是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灣政府可以協助印度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商會者。</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廿二</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要印度投資要看印度需要什麼，什麼產品有發展、成長空間，如印度住家沒有鋁門窗，所以中鋼來印度設廠生產鋁門窗。勝利企業看到印度人口眾多，可以發展羽球，所以現在在印度賣羽球用品成為最大品牌。信通企業製造汽車電子元件，跟著日系車廠來到印度設廠，自己買地、蓋廠，因有固定、穩定的客戶，發展也很好。</w:t>
      </w:r>
    </w:p>
    <w:p w:rsidR="009664E4" w:rsidRPr="00C77E77" w:rsidRDefault="009664E4" w:rsidP="009664E4">
      <w:pPr>
        <w:spacing w:beforeLines="50" w:before="180" w:afterLines="50" w:after="180" w:line="500" w:lineRule="exact"/>
        <w:ind w:left="840" w:hangingChars="300" w:hanging="84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廿三</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廠商面對印度市場必須要有多樣及多量的生產能力。印度市場的進入及退出門檻都很高。</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商彼此的套路相同，容易互相卡位，應互相扶持。</w:t>
      </w:r>
    </w:p>
    <w:p w:rsidR="00BE3CFF" w:rsidRPr="00C77E77" w:rsidRDefault="00BE3CFF" w:rsidP="002576FE">
      <w:pPr>
        <w:rPr>
          <w:rFonts w:ascii="Times New Roman" w:eastAsia="標楷體" w:hAnsi="Times New Roman" w:cs="Times New Roman"/>
          <w:kern w:val="0"/>
          <w:sz w:val="28"/>
          <w:szCs w:val="28"/>
        </w:rPr>
      </w:pPr>
      <w:bookmarkStart w:id="193" w:name="_Toc466324398"/>
    </w:p>
    <w:p w:rsidR="009664E4" w:rsidRPr="00C77E77" w:rsidRDefault="009664E4" w:rsidP="002576FE">
      <w:pPr>
        <w:rPr>
          <w:rFonts w:ascii="Times New Roman" w:eastAsia="標楷體" w:hAnsi="Times New Roman" w:cs="Times New Roman"/>
          <w:sz w:val="28"/>
          <w:szCs w:val="28"/>
        </w:rPr>
      </w:pPr>
      <w:r w:rsidRPr="00C77E77">
        <w:rPr>
          <w:rFonts w:ascii="Times New Roman" w:eastAsia="標楷體" w:hAnsi="Times New Roman" w:cs="Times New Roman"/>
          <w:kern w:val="0"/>
          <w:sz w:val="28"/>
          <w:szCs w:val="28"/>
        </w:rPr>
        <w:lastRenderedPageBreak/>
        <w:t>四、參加</w:t>
      </w:r>
      <w:r w:rsidRPr="00C77E77">
        <w:rPr>
          <w:rFonts w:ascii="Times New Roman" w:eastAsia="標楷體" w:hAnsi="Times New Roman" w:cs="Times New Roman"/>
          <w:sz w:val="28"/>
          <w:szCs w:val="28"/>
        </w:rPr>
        <w:t>德里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商會中秋聯誼晚會</w:t>
      </w:r>
      <w:bookmarkEnd w:id="193"/>
    </w:p>
    <w:p w:rsidR="009664E4" w:rsidRPr="00C77E77" w:rsidRDefault="009664E4" w:rsidP="0001327A">
      <w:pPr>
        <w:numPr>
          <w:ilvl w:val="0"/>
          <w:numId w:val="82"/>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此次晚會主要是改選新任會長及理監事等幹部，由勝利體育印度總經理柯喬然接任新會長。柯會長稍後接受媒體訪問時表示，德里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商會經常接到有意來印度設廠和投資的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商來信詢問印度國內銷售或出口的法律、稅務和關稅問題，但由於商會規模小、資源有限，希望政府能在新南向政策之下，設立窗口提供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商在地綜合性服務及協助</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商解決實務上遇到的問題。</w:t>
      </w:r>
    </w:p>
    <w:p w:rsidR="00BE3CFF" w:rsidRPr="00C77E77" w:rsidRDefault="009664E4" w:rsidP="0001327A">
      <w:pPr>
        <w:numPr>
          <w:ilvl w:val="0"/>
          <w:numId w:val="82"/>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晚會主要是社交性質，讓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商彼此熟識及交換印度經驗。</w:t>
      </w:r>
    </w:p>
    <w:p w:rsidR="009664E4" w:rsidRPr="00C77E77" w:rsidRDefault="009664E4" w:rsidP="009664E4">
      <w:pPr>
        <w:spacing w:beforeLines="50" w:before="180" w:afterLines="50" w:after="180" w:line="500" w:lineRule="exact"/>
        <w:jc w:val="center"/>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kern w:val="0"/>
          <w:sz w:val="28"/>
          <w:szCs w:val="28"/>
        </w:rPr>
      </w:pPr>
      <w:bookmarkStart w:id="194" w:name="_Toc466324399"/>
      <w:r w:rsidRPr="00C77E77">
        <w:rPr>
          <w:rFonts w:ascii="Times New Roman" w:eastAsia="標楷體" w:hAnsi="Times New Roman" w:cs="Times New Roman"/>
          <w:kern w:val="0"/>
          <w:sz w:val="28"/>
          <w:szCs w:val="28"/>
        </w:rPr>
        <w:t>五、會晤</w:t>
      </w:r>
      <w:r w:rsidRPr="00C77E77">
        <w:rPr>
          <w:rFonts w:ascii="Times New Roman" w:eastAsia="標楷體" w:hAnsi="Times New Roman" w:cs="Times New Roman"/>
          <w:sz w:val="28"/>
          <w:szCs w:val="28"/>
        </w:rPr>
        <w:t>印度尼赫魯大學國際政治系</w:t>
      </w:r>
      <w:r w:rsidRPr="00C77E77">
        <w:rPr>
          <w:rFonts w:ascii="Times New Roman" w:eastAsia="標楷體" w:hAnsi="Times New Roman" w:cs="Times New Roman"/>
          <w:sz w:val="28"/>
          <w:szCs w:val="28"/>
        </w:rPr>
        <w:t>Prof. Rajesh Rajagopalan</w:t>
      </w:r>
      <w:bookmarkEnd w:id="194"/>
    </w:p>
    <w:p w:rsidR="009664E4" w:rsidRPr="00C77E77" w:rsidRDefault="009664E4" w:rsidP="0001327A">
      <w:pPr>
        <w:numPr>
          <w:ilvl w:val="0"/>
          <w:numId w:val="83"/>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 xml:space="preserve">4 </w:t>
      </w:r>
      <w:r w:rsidRPr="00C77E77">
        <w:rPr>
          <w:rFonts w:ascii="Times New Roman" w:eastAsia="標楷體" w:hAnsi="Times New Roman" w:cs="Times New Roman"/>
          <w:sz w:val="28"/>
          <w:szCs w:val="28"/>
        </w:rPr>
        <w:t>日應邀赴印度尼赫魯大學教授</w:t>
      </w:r>
      <w:r w:rsidRPr="00C77E77">
        <w:rPr>
          <w:rFonts w:ascii="Times New Roman" w:eastAsia="標楷體" w:hAnsi="Times New Roman" w:cs="Times New Roman"/>
          <w:sz w:val="28"/>
          <w:szCs w:val="28"/>
        </w:rPr>
        <w:t>Prof. Rajesh Rajagopalan</w:t>
      </w:r>
      <w:r w:rsidRPr="00C77E77">
        <w:rPr>
          <w:rFonts w:ascii="Times New Roman" w:eastAsia="標楷體" w:hAnsi="Times New Roman" w:cs="Times New Roman"/>
          <w:sz w:val="28"/>
          <w:szCs w:val="28"/>
        </w:rPr>
        <w:t>家中聚會，其妻</w:t>
      </w:r>
      <w:r w:rsidRPr="00C77E77">
        <w:rPr>
          <w:rFonts w:ascii="Times New Roman" w:eastAsia="標楷體" w:hAnsi="Times New Roman" w:cs="Times New Roman"/>
          <w:color w:val="000000"/>
          <w:kern w:val="0"/>
          <w:sz w:val="28"/>
          <w:szCs w:val="28"/>
        </w:rPr>
        <w:t>Dr. Rajeswari Pillai Rajagopala</w:t>
      </w:r>
      <w:r w:rsidRPr="00C77E77">
        <w:rPr>
          <w:rFonts w:ascii="Times New Roman" w:eastAsia="標楷體" w:hAnsi="Times New Roman" w:cs="Times New Roman"/>
          <w:color w:val="000000"/>
          <w:kern w:val="0"/>
          <w:sz w:val="28"/>
          <w:szCs w:val="28"/>
        </w:rPr>
        <w:t>、果阿大學</w:t>
      </w:r>
      <w:r w:rsidR="00D05A38" w:rsidRPr="00C77E77">
        <w:rPr>
          <w:rFonts w:ascii="Times New Roman" w:eastAsia="標楷體" w:hAnsi="Times New Roman" w:cs="Times New Roman"/>
          <w:color w:val="000000"/>
          <w:kern w:val="0"/>
          <w:sz w:val="28"/>
          <w:szCs w:val="28"/>
        </w:rPr>
        <w:t>（</w:t>
      </w:r>
      <w:r w:rsidR="00D05A38" w:rsidRPr="00C77E77">
        <w:rPr>
          <w:rFonts w:ascii="Times New Roman" w:eastAsia="標楷體" w:hAnsi="Times New Roman" w:cs="Times New Roman"/>
          <w:color w:val="000000"/>
          <w:kern w:val="0"/>
          <w:sz w:val="28"/>
          <w:szCs w:val="28"/>
        </w:rPr>
        <w:t>Goa University</w:t>
      </w:r>
      <w:r w:rsidR="00D05A38" w:rsidRPr="00C77E77">
        <w:rPr>
          <w:rFonts w:ascii="Times New Roman" w:eastAsia="標楷體" w:hAnsi="Times New Roman" w:cs="Times New Roman"/>
          <w:color w:val="000000"/>
          <w:kern w:val="0"/>
          <w:sz w:val="28"/>
          <w:szCs w:val="28"/>
        </w:rPr>
        <w:t>）</w:t>
      </w:r>
      <w:r w:rsidRPr="00C77E77">
        <w:rPr>
          <w:rFonts w:ascii="Times New Roman" w:eastAsia="標楷體" w:hAnsi="Times New Roman" w:cs="Times New Roman"/>
          <w:color w:val="000000"/>
          <w:kern w:val="0"/>
          <w:sz w:val="28"/>
          <w:szCs w:val="28"/>
        </w:rPr>
        <w:t>校長</w:t>
      </w:r>
      <w:r w:rsidRPr="00C77E77">
        <w:rPr>
          <w:rFonts w:ascii="Times New Roman" w:eastAsia="標楷體" w:hAnsi="Times New Roman" w:cs="Times New Roman"/>
          <w:color w:val="000000"/>
          <w:kern w:val="0"/>
          <w:sz w:val="28"/>
          <w:szCs w:val="28"/>
        </w:rPr>
        <w:t>Professor Varun Sahni</w:t>
      </w:r>
      <w:r w:rsidRPr="00C77E77">
        <w:rPr>
          <w:rFonts w:ascii="Times New Roman" w:eastAsia="標楷體" w:hAnsi="Times New Roman" w:cs="Times New Roman"/>
          <w:color w:val="000000"/>
          <w:kern w:val="0"/>
          <w:sz w:val="28"/>
          <w:szCs w:val="28"/>
        </w:rPr>
        <w:t>夫婦等。主要就印度社會經濟發展廣泛交換意見及看法。</w:t>
      </w:r>
    </w:p>
    <w:p w:rsidR="009664E4" w:rsidRPr="00C77E77" w:rsidRDefault="009664E4" w:rsidP="009664E4">
      <w:pPr>
        <w:spacing w:beforeLines="50" w:before="180" w:afterLines="50" w:after="180" w:line="360" w:lineRule="auto"/>
        <w:jc w:val="center"/>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sz w:val="28"/>
          <w:szCs w:val="28"/>
        </w:rPr>
      </w:pPr>
      <w:bookmarkStart w:id="195" w:name="_Toc466324400"/>
      <w:r w:rsidRPr="00C77E77">
        <w:rPr>
          <w:rFonts w:ascii="Times New Roman" w:eastAsia="標楷體" w:hAnsi="Times New Roman" w:cs="Times New Roman"/>
          <w:kern w:val="0"/>
          <w:sz w:val="28"/>
          <w:szCs w:val="28"/>
        </w:rPr>
        <w:t>六、會晤</w:t>
      </w:r>
      <w:r w:rsidRPr="00C77E77">
        <w:rPr>
          <w:rFonts w:ascii="Times New Roman" w:eastAsia="標楷體" w:hAnsi="Times New Roman" w:cs="Times New Roman"/>
          <w:sz w:val="28"/>
          <w:szCs w:val="28"/>
        </w:rPr>
        <w:t>尼赫魯大學</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灣教育中心王潔予老師</w:t>
      </w:r>
      <w:bookmarkEnd w:id="195"/>
    </w:p>
    <w:p w:rsidR="009664E4" w:rsidRPr="00C77E77" w:rsidRDefault="009664E4" w:rsidP="0001327A">
      <w:pPr>
        <w:numPr>
          <w:ilvl w:val="0"/>
          <w:numId w:val="84"/>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日赴尼赫魯大學中文系，會晤該校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灣教育中心的王潔予老師。王老師提到，印度大學給予學生較大自主學習權，所以學生的學習成效不一，許多印度老師並未特別重視教學。</w:t>
      </w:r>
    </w:p>
    <w:p w:rsidR="009664E4" w:rsidRPr="00C77E77" w:rsidRDefault="009664E4" w:rsidP="0001327A">
      <w:pPr>
        <w:numPr>
          <w:ilvl w:val="0"/>
          <w:numId w:val="84"/>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她提及，印度軍方存在學習中文的需求，便有軍方背景的印度學生曾跟她聯繫過教學事宜。</w:t>
      </w:r>
    </w:p>
    <w:p w:rsidR="009664E4" w:rsidRPr="00C77E77" w:rsidRDefault="009664E4" w:rsidP="0001327A">
      <w:pPr>
        <w:numPr>
          <w:ilvl w:val="0"/>
          <w:numId w:val="84"/>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有關智慧校園方面，該校目前並無電腦選課等智慧系統，因此她認為相</w:t>
      </w:r>
      <w:r w:rsidRPr="00C77E77">
        <w:rPr>
          <w:rFonts w:ascii="Times New Roman" w:eastAsia="標楷體" w:hAnsi="Times New Roman" w:cs="Times New Roman"/>
          <w:sz w:val="28"/>
          <w:szCs w:val="28"/>
        </w:rPr>
        <w:lastRenderedPageBreak/>
        <w:t>關設施在印度有一定市場。</w:t>
      </w:r>
    </w:p>
    <w:p w:rsidR="009664E4" w:rsidRPr="00C77E77" w:rsidRDefault="009664E4" w:rsidP="00D81A16">
      <w:pPr>
        <w:spacing w:beforeLines="50" w:before="180" w:afterLines="50" w:after="180" w:line="360" w:lineRule="auto"/>
        <w:jc w:val="center"/>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sz w:val="28"/>
          <w:szCs w:val="28"/>
        </w:rPr>
      </w:pPr>
      <w:bookmarkStart w:id="196" w:name="_Toc466324401"/>
      <w:r w:rsidRPr="00C77E77">
        <w:rPr>
          <w:rFonts w:ascii="Times New Roman" w:eastAsia="標楷體" w:hAnsi="Times New Roman" w:cs="Times New Roman"/>
          <w:kern w:val="0"/>
          <w:sz w:val="28"/>
          <w:szCs w:val="28"/>
        </w:rPr>
        <w:t>七、會晤</w:t>
      </w:r>
      <w:r w:rsidRPr="00C77E77">
        <w:rPr>
          <w:rFonts w:ascii="Times New Roman" w:eastAsia="標楷體" w:hAnsi="Times New Roman" w:cs="Times New Roman"/>
          <w:sz w:val="28"/>
          <w:szCs w:val="28"/>
        </w:rPr>
        <w:t>尼赫魯大學東亞系副教授</w:t>
      </w:r>
      <w:r w:rsidRPr="00C77E77">
        <w:rPr>
          <w:rFonts w:ascii="Times New Roman" w:eastAsia="標楷體" w:hAnsi="Times New Roman" w:cs="Times New Roman"/>
          <w:sz w:val="28"/>
          <w:szCs w:val="28"/>
        </w:rPr>
        <w:t>Dr. Raviprasad Narayanan</w:t>
      </w:r>
      <w:bookmarkEnd w:id="196"/>
    </w:p>
    <w:p w:rsidR="009664E4" w:rsidRPr="00C77E77" w:rsidRDefault="00D05A38" w:rsidP="0001327A">
      <w:pPr>
        <w:numPr>
          <w:ilvl w:val="0"/>
          <w:numId w:val="85"/>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Dr. Raviprasad Narayanan</w:t>
      </w:r>
      <w:r w:rsidRPr="00C77E77">
        <w:rPr>
          <w:rFonts w:ascii="Times New Roman" w:eastAsia="標楷體" w:hAnsi="Times New Roman" w:cs="Times New Roman"/>
          <w:sz w:val="28"/>
          <w:szCs w:val="28"/>
        </w:rPr>
        <w:t>（</w:t>
      </w:r>
      <w:r w:rsidR="009664E4" w:rsidRPr="00C77E77">
        <w:rPr>
          <w:rFonts w:ascii="Times New Roman" w:eastAsia="標楷體" w:hAnsi="Times New Roman" w:cs="Times New Roman"/>
          <w:sz w:val="28"/>
          <w:szCs w:val="28"/>
        </w:rPr>
        <w:t>那瑞維</w:t>
      </w:r>
      <w:r w:rsidRPr="00C77E77">
        <w:rPr>
          <w:rFonts w:ascii="Times New Roman" w:eastAsia="標楷體" w:hAnsi="Times New Roman" w:cs="Times New Roman"/>
          <w:sz w:val="28"/>
          <w:szCs w:val="28"/>
        </w:rPr>
        <w:t>）</w:t>
      </w:r>
      <w:r w:rsidR="009664E4" w:rsidRPr="00C77E77">
        <w:rPr>
          <w:rFonts w:ascii="Times New Roman" w:eastAsia="標楷體" w:hAnsi="Times New Roman" w:cs="Times New Roman"/>
          <w:sz w:val="28"/>
          <w:szCs w:val="28"/>
        </w:rPr>
        <w:t>曾在政大國際關係研究中心任職多年，他認為許多</w:t>
      </w:r>
      <w:r w:rsidR="00FD0D5A"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灣的產品在印度有潛在市場。他舉例而言，</w:t>
      </w:r>
      <w:r w:rsidR="00FD0D5A"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灣的自行車可以嘗試進軍印度的高階消費市場。他便有朋友特別從國外進口腳踏車，然後組自行車隊。</w:t>
      </w:r>
    </w:p>
    <w:p w:rsidR="009664E4" w:rsidRPr="00C77E77" w:rsidRDefault="009664E4" w:rsidP="0001327A">
      <w:pPr>
        <w:numPr>
          <w:ilvl w:val="0"/>
          <w:numId w:val="85"/>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此外，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產品，如華碩、</w:t>
      </w:r>
      <w:r w:rsidRPr="00C77E77">
        <w:rPr>
          <w:rFonts w:ascii="Times New Roman" w:eastAsia="標楷體" w:hAnsi="Times New Roman" w:cs="Times New Roman"/>
          <w:sz w:val="28"/>
          <w:szCs w:val="28"/>
        </w:rPr>
        <w:t>HTC</w:t>
      </w:r>
      <w:r w:rsidRPr="00C77E77">
        <w:rPr>
          <w:rFonts w:ascii="Times New Roman" w:eastAsia="標楷體" w:hAnsi="Times New Roman" w:cs="Times New Roman"/>
          <w:sz w:val="28"/>
          <w:szCs w:val="28"/>
        </w:rPr>
        <w:t>等，在印度應該有相當的品質優勢。但受限於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灣行銷不足，所以這些產品知名度較低。</w:t>
      </w:r>
    </w:p>
    <w:p w:rsidR="009664E4" w:rsidRPr="00C77E77" w:rsidRDefault="009664E4" w:rsidP="0001327A">
      <w:pPr>
        <w:numPr>
          <w:ilvl w:val="0"/>
          <w:numId w:val="85"/>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就印度消費力方面，目前印度薪資成長很快，</w:t>
      </w:r>
      <w:r w:rsidR="001C0A49"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年一月軍公教將調薪</w:t>
      </w:r>
      <w:r w:rsidRPr="00C77E77">
        <w:rPr>
          <w:rFonts w:ascii="Times New Roman" w:eastAsia="標楷體" w:hAnsi="Times New Roman" w:cs="Times New Roman"/>
          <w:sz w:val="28"/>
          <w:szCs w:val="28"/>
        </w:rPr>
        <w:t>23%</w:t>
      </w:r>
      <w:r w:rsidRPr="00C77E77">
        <w:rPr>
          <w:rFonts w:ascii="Times New Roman" w:eastAsia="標楷體" w:hAnsi="Times New Roman" w:cs="Times New Roman"/>
          <w:sz w:val="28"/>
          <w:szCs w:val="28"/>
        </w:rPr>
        <w:t>。目前印度最高階公務員薪資約為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幣</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萬。</w:t>
      </w:r>
      <w:r w:rsidRPr="00C77E77">
        <w:rPr>
          <w:rFonts w:ascii="Times New Roman" w:eastAsia="標楷體" w:hAnsi="Times New Roman" w:cs="Times New Roman"/>
          <w:sz w:val="28"/>
          <w:szCs w:val="28"/>
        </w:rPr>
        <w:t>Dr. Narayanan</w:t>
      </w:r>
      <w:r w:rsidR="001C0A49" w:rsidRPr="00C77E77">
        <w:rPr>
          <w:rFonts w:ascii="Times New Roman" w:eastAsia="標楷體" w:hAnsi="Times New Roman" w:cs="Times New Roman"/>
          <w:sz w:val="28"/>
          <w:szCs w:val="28"/>
        </w:rPr>
        <w:t>說明，</w:t>
      </w:r>
      <w:r w:rsidR="001C0A49"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年調薪後，他的薪資將跟返</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前在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灣的薪資相同。因為印度每年都會調薪，所以他的薪資很快將超越在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灣的薪資。</w:t>
      </w:r>
    </w:p>
    <w:p w:rsidR="009664E4" w:rsidRPr="00C77E77" w:rsidRDefault="009664E4" w:rsidP="0001327A">
      <w:pPr>
        <w:numPr>
          <w:ilvl w:val="0"/>
          <w:numId w:val="85"/>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Dr. Narayanan</w:t>
      </w:r>
      <w:r w:rsidRPr="00C77E77">
        <w:rPr>
          <w:rFonts w:ascii="Times New Roman" w:eastAsia="標楷體" w:hAnsi="Times New Roman" w:cs="Times New Roman"/>
          <w:sz w:val="28"/>
          <w:szCs w:val="28"/>
        </w:rPr>
        <w:t>希望在任教的東亞系開設</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灣課程，以協助強化臺印合作交流。但根據該校程序，新課程通常需要歷時三年以上。</w:t>
      </w:r>
    </w:p>
    <w:p w:rsidR="009664E4" w:rsidRPr="00C77E77" w:rsidRDefault="009664E4" w:rsidP="0001327A">
      <w:pPr>
        <w:numPr>
          <w:ilvl w:val="0"/>
          <w:numId w:val="85"/>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有關</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印軍事工業存在合作契機，可以從部分零組件開始進行，但宜低調。</w:t>
      </w:r>
    </w:p>
    <w:p w:rsidR="009664E4" w:rsidRPr="00C77E77" w:rsidRDefault="009664E4" w:rsidP="00D81A16">
      <w:pPr>
        <w:spacing w:beforeLines="50" w:before="180" w:afterLines="50" w:after="180" w:line="360" w:lineRule="auto"/>
        <w:jc w:val="center"/>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sz w:val="28"/>
          <w:szCs w:val="28"/>
        </w:rPr>
      </w:pPr>
      <w:bookmarkStart w:id="197" w:name="_Toc466324402"/>
      <w:r w:rsidRPr="00C77E77">
        <w:rPr>
          <w:rFonts w:ascii="Times New Roman" w:eastAsia="標楷體" w:hAnsi="Times New Roman" w:cs="Times New Roman"/>
          <w:kern w:val="0"/>
          <w:sz w:val="28"/>
          <w:szCs w:val="28"/>
        </w:rPr>
        <w:t>八、會晤</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商陳惠玲女士</w:t>
      </w:r>
      <w:bookmarkEnd w:id="197"/>
    </w:p>
    <w:p w:rsidR="009664E4" w:rsidRPr="00C77E77" w:rsidRDefault="009664E4"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陳女士目前自行從事人力資源</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獵人頭</w:t>
      </w:r>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業務，先生為印度人。陳女士表示，在印度做生意就是「價格優先」，主要考量就是</w:t>
      </w:r>
      <w:r w:rsidRPr="00C77E77">
        <w:rPr>
          <w:rFonts w:ascii="Times New Roman" w:eastAsia="標楷體" w:hAnsi="Times New Roman" w:cs="Times New Roman"/>
          <w:sz w:val="28"/>
          <w:szCs w:val="28"/>
        </w:rPr>
        <w:t>price</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price</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price</w:t>
      </w:r>
      <w:r w:rsidRPr="00C77E77">
        <w:rPr>
          <w:rFonts w:ascii="Times New Roman" w:eastAsia="標楷體" w:hAnsi="Times New Roman" w:cs="Times New Roman"/>
          <w:sz w:val="28"/>
          <w:szCs w:val="28"/>
        </w:rPr>
        <w:t>。產品價格拼不過大陸的就不適合進來。印度傢俱沒有辦法作大量製造，但大陸可以，而且成本又比印度低，所以傢俱都是從大陸進到印度。</w:t>
      </w:r>
    </w:p>
    <w:p w:rsidR="009664E4" w:rsidRPr="00C77E77" w:rsidRDefault="00FD0D5A"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臺</w:t>
      </w:r>
      <w:r w:rsidR="009664E4" w:rsidRPr="00C77E77">
        <w:rPr>
          <w:rFonts w:ascii="Times New Roman" w:eastAsia="標楷體" w:hAnsi="Times New Roman" w:cs="Times New Roman"/>
          <w:sz w:val="28"/>
          <w:szCs w:val="28"/>
        </w:rPr>
        <w:t>灣與印度之間的政府關係，也比不過日本政府經濟政府間關係的能力。日本政府可以協助大企業向印度政府取得訂單，且是價格較好的訂單，</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灣比不過日本，甚至比不過大陸。</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灣的大陸工程在印度發展七年仍是虧損，缺乏政府為後援是弱點。</w:t>
      </w:r>
    </w:p>
    <w:p w:rsidR="009664E4" w:rsidRPr="00C77E77" w:rsidRDefault="00FD0D5A"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要推動智慧校園向印度作整廠輸出是可行的，不過印度的公立大學和中小學會考慮到智慧化後可能導致大量的行政人員縮減、失業，所以，智慧校園從印度的私立學校著手是可行的。特別是許多高端家庭子女就讀而學費昂貴的私立學校是可以推動智慧校園的，不過要有適當的中介者，如與印度的諮詢顧問公司合作方為可行。</w:t>
      </w:r>
    </w:p>
    <w:p w:rsidR="009664E4" w:rsidRPr="00C77E77" w:rsidRDefault="009664E4"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印度政府著重內需民生，較不重視出口貿易，甚至不歡迎只想運用印度人力資源作出口代工的外國投資。所以大陸在印度投資也是為了爭取印度內需市場，而非作出口代工。</w:t>
      </w:r>
    </w:p>
    <w:p w:rsidR="009664E4" w:rsidRPr="00C77E77" w:rsidRDefault="00FD0D5A"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灣與印度之間的旅遊觀光市場有很大的發展空間，她曾經邀請印度友人到</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灣進行深度旅遊，反應相當正面。我國政府如果要爭取印度觀光客到</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灣旅遊，可以拍攝以</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灣為背景的寶萊塢電影，將產生很好的效果。因印度人普遍不認識</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灣，但印度有許多高端旅行團的市場，</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灣可以規劃一系列的</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灣（中華）文化之旅行程，並可結合印度相關（如地產、建材、電子、自行車、半導體</w:t>
      </w:r>
      <w:r w:rsidR="009664E4" w:rsidRPr="00C77E77">
        <w:rPr>
          <w:rFonts w:ascii="Times New Roman" w:eastAsia="標楷體" w:hAnsi="Times New Roman" w:cs="Times New Roman"/>
          <w:sz w:val="28"/>
          <w:szCs w:val="28"/>
        </w:rPr>
        <w:t>…</w:t>
      </w:r>
      <w:r w:rsidR="009664E4" w:rsidRPr="00C77E77">
        <w:rPr>
          <w:rFonts w:ascii="Times New Roman" w:eastAsia="標楷體" w:hAnsi="Times New Roman" w:cs="Times New Roman"/>
          <w:sz w:val="28"/>
          <w:szCs w:val="28"/>
        </w:rPr>
        <w:t>）的會展在</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灣辦理，同時</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灣可與印度專辦高階旅行的公司合作，如此以籌辦商展加上文化之旅（甚至加上醫美）的來</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觀光行程，應有很大的市場，可吸引印度高端人士前來</w:t>
      </w: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灣開會兼旅遊。</w:t>
      </w:r>
    </w:p>
    <w:p w:rsidR="009664E4" w:rsidRPr="00C77E77" w:rsidRDefault="009664E4"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冷凍運輸的物流在印度有需要、有市場。因為印度北方的農產和水果產量大，但因印度太大，所以常在運送途中就變質壞掉了，據估計有六成的水果在運輸過程中</w:t>
      </w:r>
      <w:r w:rsidR="00D81A16" w:rsidRPr="00C77E77">
        <w:rPr>
          <w:rFonts w:ascii="Times New Roman" w:eastAsia="標楷體" w:hAnsi="Times New Roman" w:cs="Times New Roman"/>
          <w:sz w:val="28"/>
          <w:szCs w:val="28"/>
        </w:rPr>
        <w:t>壞</w:t>
      </w:r>
      <w:r w:rsidRPr="00C77E77">
        <w:rPr>
          <w:rFonts w:ascii="Times New Roman" w:eastAsia="標楷體" w:hAnsi="Times New Roman" w:cs="Times New Roman"/>
          <w:sz w:val="28"/>
          <w:szCs w:val="28"/>
        </w:rPr>
        <w:t>掉，十分可惜。因此，關於水果、農產品、畜牧產品（肉類）的生鮮冷凍運輸是印度亟需發展的產業，或者將這些農牧產品作食品加工的產業，也就是農業、智慧物流、也十分適合在印度發</w:t>
      </w:r>
      <w:r w:rsidRPr="00C77E77">
        <w:rPr>
          <w:rFonts w:ascii="Times New Roman" w:eastAsia="標楷體" w:hAnsi="Times New Roman" w:cs="Times New Roman"/>
          <w:sz w:val="28"/>
          <w:szCs w:val="28"/>
        </w:rPr>
        <w:lastRenderedPageBreak/>
        <w:t>展。</w:t>
      </w:r>
    </w:p>
    <w:p w:rsidR="009664E4" w:rsidRPr="00C77E77" w:rsidRDefault="009664E4"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印度人口眾多，民眾收入逐漸增加，生活品質提昇，中產階級人口很多，因此，對企業而言，凡與「人口紅利」有關的行業，在印度內需市場很大而印度自己卻未生產者，均適合</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灣進口或來印度投資設廠，如隱形眼鏡、塑形片等，均有很大發展空間。</w:t>
      </w:r>
    </w:p>
    <w:p w:rsidR="009664E4" w:rsidRPr="00C77E77" w:rsidRDefault="009664E4"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、太陽能光電印度自己都在發展，已無投入空間。只有關鍵電子業的關鍵零阻件貿易，從</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灣進口銷到印度還可以作，但實際項目還是要到印度熟悉市場需要。</w:t>
      </w:r>
    </w:p>
    <w:p w:rsidR="009664E4" w:rsidRPr="00C77E77" w:rsidRDefault="009664E4" w:rsidP="0001327A">
      <w:pPr>
        <w:numPr>
          <w:ilvl w:val="0"/>
          <w:numId w:val="86"/>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印度中文（華語）教學有很大的市場，因為印度政府和民眾都重視和中國大陸的經濟交流，所以想要學習中文、華語。但是又因為在安全上和政治上卻提防著中國人，所以除了學生以外，中國人來印度觀光和工作的簽證不容易取得。這也就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灣民眾很好的機會，可以來印度開設華語教學補習班，或與印度的中學、大學合作來開設中文課程，甚至可以整合若干</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灣的私立學校來印度開設中文學校。不只在德里，在孟買、加爾各答都有很多想學華話的印度人和華裔人士，所以印度的華語教學市場是很大的。她提到，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灣應多向印度輸出中文教育。</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灣的文化內涵、社會安全、飲食環境等都比中國大陸有優勢，可以吸引更多印度生。但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灣學校在印度的知名度不足，需要多到印度高中進行宣傳、利用獎學金吸引，也可以利用留學顧問公司。</w:t>
      </w:r>
    </w:p>
    <w:p w:rsidR="009664E4" w:rsidRPr="00C77E77" w:rsidRDefault="009664E4" w:rsidP="00D81A16">
      <w:pPr>
        <w:spacing w:beforeLines="50" w:before="180" w:afterLines="50" w:after="180" w:line="360" w:lineRule="auto"/>
        <w:jc w:val="center"/>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sz w:val="28"/>
          <w:szCs w:val="28"/>
        </w:rPr>
      </w:pPr>
      <w:bookmarkStart w:id="198" w:name="_Toc466324403"/>
      <w:r w:rsidRPr="00C77E77">
        <w:rPr>
          <w:rFonts w:ascii="Times New Roman" w:eastAsia="標楷體" w:hAnsi="Times New Roman" w:cs="Times New Roman"/>
          <w:kern w:val="0"/>
          <w:sz w:val="28"/>
          <w:szCs w:val="28"/>
        </w:rPr>
        <w:t>九、拜會</w:t>
      </w:r>
      <w:r w:rsidRPr="00C77E77">
        <w:rPr>
          <w:rFonts w:ascii="Times New Roman" w:eastAsia="標楷體" w:hAnsi="Times New Roman" w:cs="Times New Roman"/>
          <w:sz w:val="28"/>
          <w:szCs w:val="28"/>
        </w:rPr>
        <w:t>駐印度代表處田中光大使及資深官員</w:t>
      </w:r>
      <w:bookmarkEnd w:id="198"/>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日拜會駐印度代表處田中光大使伉儷、經濟組楊宏組長、科技組陳和賢組長、教育部陳奕達秘書等在座。</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田大使認為，南向政策可以從三個面向尋找各國有需要的東西：</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企業</w:t>
      </w:r>
      <w:r w:rsidRPr="00C77E77">
        <w:rPr>
          <w:rFonts w:ascii="Times New Roman" w:eastAsia="標楷體" w:hAnsi="Times New Roman" w:cs="Times New Roman"/>
          <w:sz w:val="28"/>
          <w:szCs w:val="28"/>
        </w:rPr>
        <w:lastRenderedPageBreak/>
        <w:t>經貿；</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人才培育；</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國家（經濟）戰略。大企業可以找印度在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留學生幫忙前進印度。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灣的新南向人才交流要從這個觀點來看，能夠培養為我企業所用的人才，不是發獎學金，作友好工作而已。</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田大使表示，日本對印度投注的資源，如在孟買跟北方城市之間捐助興建了一條高速公路，這種大的建設計畫援助，讓印度感念很多年，因而日本與印度政府之間的關係始終很好。</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田大使提出，從基本面作大格局的作法，可將我國參與</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（及</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）與推動新南向政策結合，即在</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產業溝通過程中，已盤點出可能受損害之產業，再加上已知國內已缺乏競爭力之產業，可據以整理出可以鼓勵南向發展之產業。基此，再盤點出東協及南亞（印度）各國所需要的產業及希望各國前往合作的產業。從而可以得出我國適合也有必要前往他國（特別是東協、南亞，以配合新南向）投資的產業。盤點好後，可由我政府出面與外國政府洽談合作。</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田大使建議推動新南向政策時，要讓印度政府有感並投其所好。我國要關注印度國家發展戰略，諸如</w:t>
      </w:r>
      <w:r w:rsidRPr="00C77E77">
        <w:rPr>
          <w:rFonts w:ascii="Times New Roman" w:eastAsia="標楷體" w:hAnsi="Times New Roman" w:cs="Times New Roman"/>
          <w:sz w:val="28"/>
          <w:szCs w:val="28"/>
        </w:rPr>
        <w:t>Make in India</w:t>
      </w:r>
      <w:r w:rsidRPr="00C77E77">
        <w:rPr>
          <w:rFonts w:ascii="Times New Roman" w:eastAsia="標楷體" w:hAnsi="Times New Roman" w:cs="Times New Roman"/>
          <w:sz w:val="28"/>
          <w:szCs w:val="28"/>
        </w:rPr>
        <w:t>（來印度製造）、數位印度（</w:t>
      </w:r>
      <w:r w:rsidRPr="00C77E77">
        <w:rPr>
          <w:rFonts w:ascii="Times New Roman" w:eastAsia="標楷體" w:hAnsi="Times New Roman" w:cs="Times New Roman"/>
          <w:sz w:val="28"/>
          <w:szCs w:val="28"/>
        </w:rPr>
        <w:t>digital India</w:t>
      </w:r>
      <w:r w:rsidRPr="00C77E77">
        <w:rPr>
          <w:rFonts w:ascii="Times New Roman" w:eastAsia="標楷體" w:hAnsi="Times New Roman" w:cs="Times New Roman"/>
          <w:sz w:val="28"/>
          <w:szCs w:val="28"/>
        </w:rPr>
        <w:t>）、智慧城市（</w:t>
      </w:r>
      <w:r w:rsidRPr="00C77E77">
        <w:rPr>
          <w:rFonts w:ascii="Times New Roman" w:eastAsia="標楷體" w:hAnsi="Times New Roman" w:cs="Times New Roman"/>
          <w:sz w:val="28"/>
          <w:szCs w:val="28"/>
        </w:rPr>
        <w:t>smart city</w:t>
      </w:r>
      <w:r w:rsidRPr="00C77E77">
        <w:rPr>
          <w:rFonts w:ascii="Times New Roman" w:eastAsia="標楷體" w:hAnsi="Times New Roman" w:cs="Times New Roman"/>
          <w:sz w:val="28"/>
          <w:szCs w:val="28"/>
        </w:rPr>
        <w:t>）等等，其中當然蘊含商機，也為政府間的合作帶來機會。</w:t>
      </w:r>
      <w:r w:rsidRPr="00C77E77">
        <w:rPr>
          <w:rFonts w:ascii="Times New Roman" w:eastAsia="標楷體" w:hAnsi="Times New Roman" w:cs="Times New Roman"/>
          <w:sz w:val="28"/>
          <w:szCs w:val="28"/>
        </w:rPr>
        <w:t>Make in India</w:t>
      </w:r>
      <w:r w:rsidRPr="00C77E77">
        <w:rPr>
          <w:rFonts w:ascii="Times New Roman" w:eastAsia="標楷體" w:hAnsi="Times New Roman" w:cs="Times New Roman"/>
          <w:sz w:val="28"/>
          <w:szCs w:val="28"/>
        </w:rPr>
        <w:t>的政策，即進口替代，希望發展印度的製造業，希望印度自己製造印度所需要的產品，發展自己的產業，不希望外國投資變成代工組裝出口的模式。印度也希望白領服務輸出，印度也需是要解決就業的問題，例如</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來到印度，就會造成印度的失業問題，未必是印度政府所樂見者。印度未解決就業問題前，不會全面地電子化（智慧化）、去人工化。新南向不要只要我國經濟要發展，同時也要想到須讓合作的國家得利，而不是只有</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灣得利。所以新南向政策要雙軌進行、雙行交流，要有來有往，雙方互利，從政治、教育、經貿各方面讓雙方都得利。印度對</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的要求是希望印度的會計師、律師、服務人才等等可以輸出。</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田大使提到，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灣企業來到印度要注意印度文化，例如印度的種姓制度、印度較無智財權（包括學名藥、書）的觀念、印度貧富差距懸殊（但還不致成為衝突）；來印度前要先蹲點一段時間。企業不宜單打獨鬥，要找當地的</w:t>
      </w:r>
      <w:r w:rsidRPr="00C77E77">
        <w:rPr>
          <w:rFonts w:ascii="Times New Roman" w:eastAsia="標楷體" w:hAnsi="Times New Roman" w:cs="Times New Roman"/>
          <w:sz w:val="28"/>
          <w:szCs w:val="28"/>
        </w:rPr>
        <w:t>partner</w:t>
      </w:r>
      <w:r w:rsidRPr="00C77E77">
        <w:rPr>
          <w:rFonts w:ascii="Times New Roman" w:eastAsia="標楷體" w:hAnsi="Times New Roman" w:cs="Times New Roman"/>
          <w:sz w:val="28"/>
          <w:szCs w:val="28"/>
        </w:rPr>
        <w:t>合作。大零售商進來印度是不可能，因為如果讓國際大型零售業者進來，會使得一堆印度小店倒閉而擴大失業問題。</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印度現正積極發展與東協關係，我國亦宜加速發展與東協的關係，以利從</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東協再拉近與興印度的關係。因此，應該前往東協訪問，或至多要熟悉東協的運作</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如其秘書處有很大的權力；第二個是東協有很多計畫，諸如脫貧計畫、農業改革、產業轉型等，如果以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灣的經濟實力再能夠掌握這些東協計畫和東協國家的需求，一定可以找到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灣與東協合作的有效管道。</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陳組長分析，印度太空科技有競爭力，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灣國防產業可與印度合作，甚至可以印度為跳板前往中東、非洲。</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陳組長表示，印度已請許多國家，包括</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灣在內，幫助印度發展農業。</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物種栽培方法可與印度互換，印度東北農業省適合前往進行農產品技術加工的投資，還有作物、品種的改良，以及冷鏈物流（或就地農產食品加工）等產業，不過還是要克服缺水缺電的問題。我國農會、農產運銷班、推廣班的模式，可以幫助印度農業，特別在東北農業省。農產品中，竹子可作竹材、環保用品、竹碳，香菇可以導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灣的生產製程，還有</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灣的食品加工業可以立即來印度投資，都是前景看好的產業。我國可以發揮以往在非洲的農耕隊精神來協助印度，特別是鎖定阿薩姆省作為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印合作模範區。（可由行政院決定）</w:t>
      </w:r>
    </w:p>
    <w:p w:rsidR="009664E4" w:rsidRPr="00C77E77" w:rsidRDefault="009664E4" w:rsidP="0001327A">
      <w:pPr>
        <w:numPr>
          <w:ilvl w:val="0"/>
          <w:numId w:val="87"/>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陳組長認為，印度也適合前往投資或協助貨運、航運、港口的發展。</w:t>
      </w:r>
    </w:p>
    <w:p w:rsidR="009664E4" w:rsidRPr="00C77E77" w:rsidRDefault="009664E4" w:rsidP="009664E4">
      <w:pPr>
        <w:spacing w:beforeLines="50" w:before="180" w:afterLines="50" w:after="180" w:line="500" w:lineRule="exact"/>
        <w:ind w:left="700" w:hangingChars="250" w:hanging="70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十一</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經濟部工業局和勞動部職訓中心都可以推動援外工作，協助印度的職業訓練。如勞動部職訓中心的二手設備可以送來印度設立職訓學校或中心（以往都送非洲）。如在印度</w:t>
      </w:r>
      <w:r w:rsidRPr="00C77E77">
        <w:rPr>
          <w:rFonts w:ascii="Times New Roman" w:eastAsia="標楷體" w:hAnsi="Times New Roman" w:cs="Times New Roman"/>
          <w:sz w:val="28"/>
          <w:szCs w:val="28"/>
        </w:rPr>
        <w:t>29</w:t>
      </w:r>
      <w:r w:rsidRPr="00C77E77">
        <w:rPr>
          <w:rFonts w:ascii="Times New Roman" w:eastAsia="標楷體" w:hAnsi="Times New Roman" w:cs="Times New Roman"/>
          <w:sz w:val="28"/>
          <w:szCs w:val="28"/>
        </w:rPr>
        <w:t>個州都設立職訓中心，更可以讓</w:t>
      </w:r>
      <w:r w:rsidRPr="00C77E77">
        <w:rPr>
          <w:rFonts w:ascii="Times New Roman" w:eastAsia="標楷體" w:hAnsi="Times New Roman" w:cs="Times New Roman"/>
          <w:sz w:val="28"/>
          <w:szCs w:val="28"/>
        </w:rPr>
        <w:lastRenderedPageBreak/>
        <w:t>29</w:t>
      </w:r>
      <w:r w:rsidRPr="00C77E77">
        <w:rPr>
          <w:rFonts w:ascii="Times New Roman" w:eastAsia="標楷體" w:hAnsi="Times New Roman" w:cs="Times New Roman"/>
          <w:sz w:val="28"/>
          <w:szCs w:val="28"/>
        </w:rPr>
        <w:t>州都派種子教師來學習，如此效益更大</w:t>
      </w:r>
    </w:p>
    <w:p w:rsidR="009664E4" w:rsidRPr="00C77E77" w:rsidRDefault="009664E4" w:rsidP="009664E4">
      <w:pPr>
        <w:spacing w:beforeLines="50" w:before="180" w:afterLines="50" w:after="180" w:line="500" w:lineRule="exact"/>
        <w:ind w:left="700" w:hangingChars="250" w:hanging="70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十二</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楊組長則分析印度的</w:t>
      </w:r>
      <w:r w:rsidRPr="00C77E77">
        <w:rPr>
          <w:rFonts w:ascii="Times New Roman" w:eastAsia="標楷體" w:hAnsi="Times New Roman" w:cs="Times New Roman"/>
          <w:sz w:val="28"/>
          <w:szCs w:val="28"/>
        </w:rPr>
        <w:t>Make in India</w:t>
      </w:r>
      <w:r w:rsidRPr="00C77E77">
        <w:rPr>
          <w:rFonts w:ascii="Times New Roman" w:eastAsia="標楷體" w:hAnsi="Times New Roman" w:cs="Times New Roman"/>
          <w:sz w:val="28"/>
          <w:szCs w:val="28"/>
        </w:rPr>
        <w:t>計畫有兩大意涵，第一是進口替代，其</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次則是增加就業機會，為國家發展所需。印度這個市場太複雜，但正因為複雜才有機會，所以韓國在此已深耕很多年。</w:t>
      </w:r>
    </w:p>
    <w:p w:rsidR="009664E4" w:rsidRPr="00C77E77" w:rsidRDefault="009664E4" w:rsidP="00D81A16">
      <w:pPr>
        <w:spacing w:beforeLines="50" w:before="180" w:afterLines="50" w:after="180" w:line="360" w:lineRule="auto"/>
        <w:ind w:left="700" w:hangingChars="250" w:hanging="700"/>
        <w:jc w:val="center"/>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kern w:val="0"/>
          <w:sz w:val="28"/>
          <w:szCs w:val="28"/>
        </w:rPr>
      </w:pPr>
      <w:bookmarkStart w:id="199" w:name="_Toc466324404"/>
      <w:r w:rsidRPr="00C77E77">
        <w:rPr>
          <w:rFonts w:ascii="Times New Roman" w:eastAsia="標楷體" w:hAnsi="Times New Roman" w:cs="Times New Roman"/>
          <w:kern w:val="0"/>
          <w:sz w:val="28"/>
          <w:szCs w:val="28"/>
        </w:rPr>
        <w:t>十、會晤觀察家研究基金會</w:t>
      </w:r>
      <w:r w:rsidRPr="00C77E77">
        <w:rPr>
          <w:rFonts w:ascii="Times New Roman" w:eastAsia="標楷體" w:hAnsi="Times New Roman" w:cs="Times New Roman"/>
          <w:sz w:val="28"/>
          <w:szCs w:val="28"/>
        </w:rPr>
        <w:t>資深研究員</w:t>
      </w:r>
      <w:r w:rsidRPr="00C77E77">
        <w:rPr>
          <w:rFonts w:ascii="Times New Roman" w:eastAsia="標楷體" w:hAnsi="Times New Roman" w:cs="Times New Roman"/>
          <w:kern w:val="0"/>
          <w:sz w:val="28"/>
          <w:szCs w:val="28"/>
        </w:rPr>
        <w:t>Dr. Rajeswari Pillai Rajagopalan</w:t>
      </w:r>
      <w:bookmarkEnd w:id="199"/>
    </w:p>
    <w:p w:rsidR="009664E4" w:rsidRPr="00C77E77" w:rsidRDefault="009664E4" w:rsidP="0001327A">
      <w:pPr>
        <w:numPr>
          <w:ilvl w:val="0"/>
          <w:numId w:val="8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Dr. Rajagopolan</w:t>
      </w:r>
      <w:r w:rsidRPr="00C77E77">
        <w:rPr>
          <w:rFonts w:ascii="Times New Roman" w:eastAsia="標楷體" w:hAnsi="Times New Roman" w:cs="Times New Roman"/>
          <w:sz w:val="28"/>
          <w:szCs w:val="28"/>
        </w:rPr>
        <w:t>認為，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商若不熟悉印度的經商環境或法令制度，其實可以借助印度諮商公司的力量。例如她熟識的朋友便經營</w:t>
      </w:r>
      <w:r w:rsidR="00D05A38" w:rsidRPr="00C77E77">
        <w:rPr>
          <w:rFonts w:ascii="Times New Roman" w:eastAsia="標楷體" w:hAnsi="Times New Roman" w:cs="Times New Roman"/>
          <w:sz w:val="28"/>
          <w:szCs w:val="28"/>
        </w:rPr>
        <w:t xml:space="preserve"> Koan Advisory Group </w:t>
      </w:r>
      <w:r w:rsidR="00D05A38" w:rsidRPr="00C77E77">
        <w:rPr>
          <w:rFonts w:ascii="Times New Roman" w:eastAsia="標楷體" w:hAnsi="Times New Roman" w:cs="Times New Roman"/>
          <w:sz w:val="28"/>
          <w:szCs w:val="28"/>
        </w:rPr>
        <w:t>（</w:t>
      </w:r>
      <w:hyperlink r:id="rId172" w:history="1">
        <w:r w:rsidRPr="00C77E77">
          <w:rPr>
            <w:rStyle w:val="aa"/>
            <w:rFonts w:ascii="Times New Roman" w:eastAsia="標楷體" w:hAnsi="Times New Roman" w:cs="Times New Roman"/>
            <w:sz w:val="28"/>
            <w:szCs w:val="28"/>
            <w:u w:val="none"/>
          </w:rPr>
          <w:t>http://www.koanadvisory.com/index.php</w:t>
        </w:r>
      </w:hyperlink>
      <w:r w:rsidR="00D05A38"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w:t>
      </w:r>
    </w:p>
    <w:p w:rsidR="009664E4" w:rsidRPr="00C77E77" w:rsidRDefault="009664E4" w:rsidP="0001327A">
      <w:pPr>
        <w:numPr>
          <w:ilvl w:val="0"/>
          <w:numId w:val="8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道路建設等基礎建設是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灣可以積極進軍印度的產業，但需要面臨日本的強力競爭。印度已採用日本新幹線作為印度第一條高鐵。印度東北省分的重大基礎建設，除了</w:t>
      </w:r>
      <w:r w:rsidRPr="00C77E77">
        <w:rPr>
          <w:rFonts w:ascii="Times New Roman" w:eastAsia="標楷體" w:hAnsi="Times New Roman" w:cs="Times New Roman"/>
          <w:sz w:val="28"/>
          <w:szCs w:val="28"/>
        </w:rPr>
        <w:t>Arunachal Pradesh</w:t>
      </w:r>
      <w:r w:rsidRPr="00C77E77">
        <w:rPr>
          <w:rFonts w:ascii="Times New Roman" w:eastAsia="標楷體" w:hAnsi="Times New Roman" w:cs="Times New Roman"/>
          <w:sz w:val="28"/>
          <w:szCs w:val="28"/>
        </w:rPr>
        <w:t>外，幾乎都是由日本所協助承造。中國廠商也開始進入印度的基礎建設產業，利用與印商合資的方式承造</w:t>
      </w:r>
      <w:r w:rsidRPr="00C77E77">
        <w:rPr>
          <w:rFonts w:ascii="Times New Roman" w:eastAsia="標楷體" w:hAnsi="Times New Roman" w:cs="Times New Roman"/>
          <w:sz w:val="28"/>
          <w:szCs w:val="28"/>
        </w:rPr>
        <w:t>Delhi-Jaipur</w:t>
      </w:r>
      <w:r w:rsidRPr="00C77E77">
        <w:rPr>
          <w:rFonts w:ascii="Times New Roman" w:eastAsia="標楷體" w:hAnsi="Times New Roman" w:cs="Times New Roman"/>
          <w:sz w:val="28"/>
          <w:szCs w:val="28"/>
        </w:rPr>
        <w:t>公路。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商也可以與印度廠商合夥來爭取印度市場。</w:t>
      </w:r>
    </w:p>
    <w:p w:rsidR="009664E4" w:rsidRPr="00C77E77" w:rsidRDefault="009664E4" w:rsidP="0001327A">
      <w:pPr>
        <w:numPr>
          <w:ilvl w:val="0"/>
          <w:numId w:val="8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資訊科技也是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灣可以進入印度的強項。</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灣以製造業見長，可以與印度軟體合作。</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商也可以找尋中小企業合作開發零組件，因為波音公司便是用此方式進入印度市場。</w:t>
      </w:r>
    </w:p>
    <w:p w:rsidR="009664E4" w:rsidRPr="00C77E77" w:rsidRDefault="009664E4" w:rsidP="0001327A">
      <w:pPr>
        <w:numPr>
          <w:ilvl w:val="0"/>
          <w:numId w:val="8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臺印第三個可行合作領域是食品加工業。許多印度農產品在運輸到市場前就腐爛，如能引進</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灣技術設立一些小型的食物加工保存單位，對印度農村有相當大的助益。</w:t>
      </w:r>
    </w:p>
    <w:p w:rsidR="009664E4" w:rsidRPr="00C77E77" w:rsidRDefault="009664E4" w:rsidP="0001327A">
      <w:pPr>
        <w:numPr>
          <w:ilvl w:val="0"/>
          <w:numId w:val="8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印度社會對於華語有強大需求，她本人就曾付費到私人補習班學習中文。</w:t>
      </w:r>
    </w:p>
    <w:p w:rsidR="009664E4" w:rsidRPr="00C77E77" w:rsidRDefault="00FD0D5A" w:rsidP="0001327A">
      <w:pPr>
        <w:numPr>
          <w:ilvl w:val="0"/>
          <w:numId w:val="8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印若要在軍工業進行合作有其可行性，但應從零組件開始。</w:t>
      </w:r>
    </w:p>
    <w:p w:rsidR="009664E4" w:rsidRPr="00C77E77" w:rsidRDefault="009664E4" w:rsidP="0001327A">
      <w:pPr>
        <w:numPr>
          <w:ilvl w:val="0"/>
          <w:numId w:val="89"/>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整體而言，</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灣在印度的知名度不足，應強化媒體的宣傳。</w:t>
      </w:r>
    </w:p>
    <w:p w:rsidR="009664E4" w:rsidRPr="00C77E77" w:rsidRDefault="009664E4" w:rsidP="002576FE">
      <w:pPr>
        <w:rPr>
          <w:rFonts w:ascii="Times New Roman" w:eastAsia="標楷體" w:hAnsi="Times New Roman" w:cs="Times New Roman"/>
          <w:sz w:val="28"/>
          <w:szCs w:val="28"/>
        </w:rPr>
      </w:pPr>
      <w:bookmarkStart w:id="200" w:name="_Toc466324405"/>
      <w:r w:rsidRPr="00C77E77">
        <w:rPr>
          <w:rFonts w:ascii="Times New Roman" w:eastAsia="標楷體" w:hAnsi="Times New Roman" w:cs="Times New Roman"/>
          <w:kern w:val="0"/>
          <w:sz w:val="28"/>
          <w:szCs w:val="28"/>
        </w:rPr>
        <w:t>十一、</w:t>
      </w:r>
      <w:r w:rsidRPr="00C77E77">
        <w:rPr>
          <w:rFonts w:ascii="Times New Roman" w:eastAsia="標楷體" w:hAnsi="Times New Roman" w:cs="Times New Roman"/>
          <w:sz w:val="28"/>
          <w:szCs w:val="28"/>
        </w:rPr>
        <w:t>中央社駐新德里特派員康世人先生</w:t>
      </w:r>
      <w:bookmarkEnd w:id="200"/>
    </w:p>
    <w:p w:rsidR="009664E4" w:rsidRPr="00C77E77" w:rsidRDefault="009664E4"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我國企業廠商到印度投資的大廠日漸增多，包括鴻海已到孟買投資，緯創在印度投資時間尚短但已獲利。但問題在於我政府未能提供保障，即我國與印度尚未簽署投資保障協議。</w:t>
      </w:r>
    </w:p>
    <w:p w:rsidR="009664E4" w:rsidRPr="00C77E77" w:rsidRDefault="00FD0D5A"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灣的紡織業、工具機業適合前往印度投資。</w:t>
      </w:r>
    </w:p>
    <w:p w:rsidR="009664E4" w:rsidRPr="00C77E77" w:rsidRDefault="009664E4"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一般認為到印度投資需要資金至少</w:t>
      </w:r>
      <w:r w:rsidRPr="00C77E77">
        <w:rPr>
          <w:rFonts w:ascii="Times New Roman" w:eastAsia="標楷體" w:hAnsi="Times New Roman" w:cs="Times New Roman"/>
          <w:sz w:val="28"/>
          <w:szCs w:val="28"/>
        </w:rPr>
        <w:t>5</w:t>
      </w:r>
      <w:r w:rsidR="00D81A16"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000</w:t>
      </w:r>
      <w:r w:rsidRPr="00C77E77">
        <w:rPr>
          <w:rFonts w:ascii="Times New Roman" w:eastAsia="標楷體" w:hAnsi="Times New Roman" w:cs="Times New Roman"/>
          <w:sz w:val="28"/>
          <w:szCs w:val="28"/>
        </w:rPr>
        <w:t>萬元，水電、稅法、政府行政、工人、客戶愛簽短期約等，問題很多，感覺不容易成功，使得考慮到印度投資者易打退堂鼓。</w:t>
      </w:r>
    </w:p>
    <w:p w:rsidR="009664E4" w:rsidRPr="00C77E77" w:rsidRDefault="009664E4"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經濟部應鼓勵大、小廠一起來，建立供應鏈，旗艦廠一定要到，然後中、下游廠才能一起來，如此才有生意作。</w:t>
      </w:r>
    </w:p>
    <w:p w:rsidR="009664E4" w:rsidRPr="00C77E77" w:rsidRDefault="00FD0D5A"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灣中小企業無法與日、韓大企業的資金比較，很難放膽投資（印度投資風險大，且無投保協議）。</w:t>
      </w:r>
    </w:p>
    <w:p w:rsidR="009664E4" w:rsidRPr="00C77E77" w:rsidRDefault="00FD0D5A"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664E4" w:rsidRPr="00C77E77">
        <w:rPr>
          <w:rFonts w:ascii="Times New Roman" w:eastAsia="標楷體" w:hAnsi="Times New Roman" w:cs="Times New Roman"/>
          <w:sz w:val="28"/>
          <w:szCs w:val="28"/>
        </w:rPr>
        <w:t>灣可以學日本，以補助、獎勵來激勵企業到印度投資。但需要有了解、熟悉印度法律、稅制的顧問提供諮詢和協助；此顧問的聘請或費用，宜由我政府出資。</w:t>
      </w:r>
    </w:p>
    <w:p w:rsidR="009664E4" w:rsidRPr="00C77E77" w:rsidRDefault="009664E4"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印度各州、各邦、各省的稅制不同，我政府鼓勵</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商投資時應多設法律顧問。</w:t>
      </w:r>
    </w:p>
    <w:p w:rsidR="009664E4" w:rsidRPr="00C77E77" w:rsidRDefault="009664E4"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透過民間對民間的合作，由政府找稅務顧問公司（</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促進</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印合作稅務顧問公司），協助、鼓勵</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商前進印度。</w:t>
      </w:r>
    </w:p>
    <w:p w:rsidR="009664E4" w:rsidRPr="00C77E77" w:rsidRDefault="009664E4"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我政府可以出面，促進若干小工具機產業（如農機）前來印度發展。最好由政府出面，整體跟印度談，包括紡織、造船、面板等均有機會。</w:t>
      </w:r>
    </w:p>
    <w:p w:rsidR="009664E4" w:rsidRPr="00C77E77" w:rsidRDefault="009664E4" w:rsidP="0001327A">
      <w:pPr>
        <w:numPr>
          <w:ilvl w:val="0"/>
          <w:numId w:val="90"/>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政府應該當母雞，發揮母雞帶小雞（企業）的效應。</w:t>
      </w:r>
    </w:p>
    <w:p w:rsidR="009664E4" w:rsidRPr="00C77E77" w:rsidRDefault="009664E4" w:rsidP="009664E4">
      <w:pPr>
        <w:spacing w:beforeLines="50" w:before="180" w:afterLines="50" w:after="180" w:line="500" w:lineRule="exact"/>
        <w:ind w:left="700" w:hangingChars="250" w:hanging="70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w:t>
      </w:r>
      <w:r w:rsidRPr="00C77E77">
        <w:rPr>
          <w:rFonts w:ascii="Times New Roman" w:eastAsia="標楷體" w:hAnsi="Times New Roman" w:cs="Times New Roman"/>
          <w:sz w:val="28"/>
          <w:szCs w:val="28"/>
        </w:rPr>
        <w:t>十一</w:t>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灣可與印度軍方進行華語教學合作，其效果可以很快擴大到雙方經貿層面的合作。</w:t>
      </w:r>
    </w:p>
    <w:p w:rsidR="009664E4" w:rsidRPr="00C77E77" w:rsidRDefault="009664E4" w:rsidP="00E83E57">
      <w:pPr>
        <w:spacing w:beforeLines="50" w:before="180" w:afterLines="50" w:after="180" w:line="500" w:lineRule="exact"/>
        <w:ind w:left="706" w:hangingChars="252" w:hanging="70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十二</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我駐</w:t>
      </w:r>
      <w:r w:rsidR="00E83E57" w:rsidRPr="00C77E77">
        <w:rPr>
          <w:rFonts w:ascii="Times New Roman" w:eastAsia="標楷體" w:hAnsi="Times New Roman" w:cs="Times New Roman"/>
          <w:sz w:val="28"/>
          <w:szCs w:val="28"/>
        </w:rPr>
        <w:t>印</w:t>
      </w:r>
      <w:r w:rsidRPr="00C77E77">
        <w:rPr>
          <w:rFonts w:ascii="Times New Roman" w:eastAsia="標楷體" w:hAnsi="Times New Roman" w:cs="Times New Roman"/>
          <w:sz w:val="28"/>
          <w:szCs w:val="28"/>
        </w:rPr>
        <w:t>度代表處宜定期邀請印度具影響力的智庫人員參加座談或聚餐。</w:t>
      </w:r>
    </w:p>
    <w:p w:rsidR="009664E4" w:rsidRPr="00C77E77" w:rsidRDefault="009664E4" w:rsidP="009664E4">
      <w:pPr>
        <w:spacing w:beforeLines="50" w:before="180" w:afterLines="50" w:after="180" w:line="500" w:lineRule="exact"/>
        <w:ind w:left="700" w:hangingChars="250" w:hanging="70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十三</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印度保護主義盛行，現在又推動「印度製造」（</w:t>
      </w:r>
      <w:r w:rsidRPr="00C77E77">
        <w:rPr>
          <w:rFonts w:ascii="Times New Roman" w:eastAsia="標楷體" w:hAnsi="Times New Roman" w:cs="Times New Roman"/>
          <w:sz w:val="28"/>
          <w:szCs w:val="28"/>
        </w:rPr>
        <w:t>made in India</w:t>
      </w:r>
      <w:r w:rsidRPr="00C77E77">
        <w:rPr>
          <w:rFonts w:ascii="Times New Roman" w:eastAsia="標楷體" w:hAnsi="Times New Roman" w:cs="Times New Roman"/>
          <w:sz w:val="28"/>
          <w:szCs w:val="28"/>
        </w:rPr>
        <w:t>），所以將來貿易課稅可能會愈來愈高，特別是針對「中」、日、韓提高關稅，要逼外國來印度投資。因此，</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灣企業要投資印度，比較好的方法是透過東協來印度進行投資和貿易，因為印度已與東協簽有</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w:t>
      </w:r>
    </w:p>
    <w:p w:rsidR="009664E4" w:rsidRPr="00C77E77" w:rsidRDefault="009664E4" w:rsidP="009664E4">
      <w:pPr>
        <w:pStyle w:val="13"/>
        <w:spacing w:beforeLines="50" w:before="180" w:afterLines="50" w:after="180" w:line="500" w:lineRule="exact"/>
        <w:ind w:leftChars="0" w:left="0"/>
        <w:jc w:val="both"/>
        <w:rPr>
          <w:rFonts w:ascii="Times New Roman" w:eastAsia="標楷體" w:hAnsi="Times New Roman"/>
          <w:sz w:val="28"/>
          <w:szCs w:val="28"/>
        </w:rPr>
      </w:pPr>
      <w:r w:rsidRPr="00C77E77">
        <w:rPr>
          <w:rFonts w:ascii="Times New Roman" w:eastAsia="標楷體" w:hAnsi="Times New Roman"/>
          <w:sz w:val="28"/>
          <w:szCs w:val="28"/>
        </w:rPr>
        <w:t>(</w:t>
      </w:r>
      <w:r w:rsidRPr="00C77E77">
        <w:rPr>
          <w:rFonts w:ascii="Times New Roman" w:eastAsia="標楷體" w:hAnsi="Times New Roman"/>
          <w:sz w:val="28"/>
          <w:szCs w:val="28"/>
        </w:rPr>
        <w:t>十四</w:t>
      </w:r>
      <w:r w:rsidRPr="00C77E77">
        <w:rPr>
          <w:rFonts w:ascii="Times New Roman" w:eastAsia="標楷體" w:hAnsi="Times New Roman"/>
          <w:sz w:val="28"/>
          <w:szCs w:val="28"/>
        </w:rPr>
        <w:t>)</w:t>
      </w:r>
      <w:r w:rsidRPr="00C77E77">
        <w:rPr>
          <w:rFonts w:ascii="Times New Roman" w:eastAsia="標楷體" w:hAnsi="Times New Roman"/>
          <w:sz w:val="28"/>
          <w:szCs w:val="28"/>
        </w:rPr>
        <w:t>要看印度需要什麼，</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灣可以要求交換我們要的東西。</w:t>
      </w:r>
    </w:p>
    <w:p w:rsidR="009664E4" w:rsidRPr="00C77E77" w:rsidRDefault="009664E4" w:rsidP="009664E4">
      <w:pPr>
        <w:pStyle w:val="13"/>
        <w:spacing w:beforeLines="50" w:before="180" w:afterLines="50" w:after="180" w:line="500" w:lineRule="exact"/>
        <w:ind w:leftChars="0" w:left="840" w:hangingChars="300" w:hanging="840"/>
        <w:jc w:val="both"/>
        <w:rPr>
          <w:rFonts w:ascii="Times New Roman" w:eastAsia="標楷體" w:hAnsi="Times New Roman"/>
          <w:sz w:val="28"/>
          <w:szCs w:val="28"/>
        </w:rPr>
      </w:pPr>
      <w:r w:rsidRPr="00C77E77">
        <w:rPr>
          <w:rFonts w:ascii="Times New Roman" w:eastAsia="標楷體" w:hAnsi="Times New Roman"/>
          <w:sz w:val="28"/>
          <w:szCs w:val="28"/>
        </w:rPr>
        <w:t>(</w:t>
      </w:r>
      <w:r w:rsidRPr="00C77E77">
        <w:rPr>
          <w:rFonts w:ascii="Times New Roman" w:eastAsia="標楷體" w:hAnsi="Times New Roman"/>
          <w:sz w:val="28"/>
          <w:szCs w:val="28"/>
        </w:rPr>
        <w:t>十五</w:t>
      </w:r>
      <w:r w:rsidRPr="00C77E77">
        <w:rPr>
          <w:rFonts w:ascii="Times New Roman" w:eastAsia="標楷體" w:hAnsi="Times New Roman"/>
          <w:sz w:val="28"/>
          <w:szCs w:val="28"/>
        </w:rPr>
        <w:t>)</w:t>
      </w:r>
      <w:r w:rsidRPr="00C77E77">
        <w:rPr>
          <w:rFonts w:ascii="Times New Roman" w:eastAsia="標楷體" w:hAnsi="Times New Roman"/>
          <w:sz w:val="28"/>
          <w:szCs w:val="28"/>
        </w:rPr>
        <w:t>欲招收印度學生到</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灣的大學、研究所就學，應該在獎學金、宣傳和華語中心方面著手，這是打基礎的工作。另外，除了德里，在孟買、加爾各答都有許多</w:t>
      </w:r>
      <w:r w:rsidRPr="00C77E77">
        <w:rPr>
          <w:rFonts w:ascii="Times New Roman" w:eastAsia="標楷體" w:hAnsi="Times New Roman"/>
          <w:sz w:val="28"/>
          <w:szCs w:val="28"/>
        </w:rPr>
        <w:t>19</w:t>
      </w:r>
      <w:r w:rsidRPr="00C77E77">
        <w:rPr>
          <w:rFonts w:ascii="Times New Roman" w:eastAsia="標楷體" w:hAnsi="Times New Roman"/>
          <w:sz w:val="28"/>
          <w:szCs w:val="28"/>
        </w:rPr>
        <w:t>世紀就留下來的和</w:t>
      </w:r>
      <w:r w:rsidRPr="00C77E77">
        <w:rPr>
          <w:rFonts w:ascii="Times New Roman" w:eastAsia="標楷體" w:hAnsi="Times New Roman"/>
          <w:sz w:val="28"/>
          <w:szCs w:val="28"/>
        </w:rPr>
        <w:t>1945</w:t>
      </w:r>
      <w:r w:rsidRPr="00C77E77">
        <w:rPr>
          <w:rFonts w:ascii="Times New Roman" w:eastAsia="標楷體" w:hAnsi="Times New Roman"/>
          <w:sz w:val="28"/>
          <w:szCs w:val="28"/>
        </w:rPr>
        <w:t>年以後到印度的華人，其第二代、第三代想到</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灣就學者眾，</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灣可以在印度大都市廣設華語中心說服更多華語老師前來印度授課，或者廣開印度生來</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就學之路。</w:t>
      </w:r>
    </w:p>
    <w:p w:rsidR="009664E4" w:rsidRPr="00C77E77" w:rsidRDefault="009664E4" w:rsidP="009664E4">
      <w:pPr>
        <w:pStyle w:val="13"/>
        <w:spacing w:beforeLines="50" w:before="180" w:afterLines="50" w:after="180" w:line="500" w:lineRule="exact"/>
        <w:ind w:leftChars="0" w:left="840" w:hangingChars="300" w:hanging="840"/>
        <w:jc w:val="both"/>
        <w:rPr>
          <w:rFonts w:ascii="Times New Roman" w:eastAsia="標楷體" w:hAnsi="Times New Roman"/>
          <w:sz w:val="28"/>
          <w:szCs w:val="28"/>
        </w:rPr>
      </w:pPr>
      <w:r w:rsidRPr="00C77E77">
        <w:rPr>
          <w:rFonts w:ascii="Times New Roman" w:eastAsia="標楷體" w:hAnsi="Times New Roman"/>
          <w:sz w:val="28"/>
          <w:szCs w:val="28"/>
        </w:rPr>
        <w:t>(</w:t>
      </w:r>
      <w:r w:rsidRPr="00C77E77">
        <w:rPr>
          <w:rFonts w:ascii="Times New Roman" w:eastAsia="標楷體" w:hAnsi="Times New Roman"/>
          <w:sz w:val="28"/>
          <w:szCs w:val="28"/>
        </w:rPr>
        <w:t>十六</w:t>
      </w:r>
      <w:r w:rsidRPr="00C77E77">
        <w:rPr>
          <w:rFonts w:ascii="Times New Roman" w:eastAsia="標楷體" w:hAnsi="Times New Roman"/>
          <w:sz w:val="28"/>
          <w:szCs w:val="28"/>
        </w:rPr>
        <w:t>)</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灣政府應該幫想到印度作生意的</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商作好「投資顧問」工作，要協助</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商取得正確的訊息。貿協雖在加爾各答設有據點，但還不夠，而且與印度也有距離，應該善用印度的諮詢顧問公司，與之合作較為可行。</w:t>
      </w:r>
    </w:p>
    <w:p w:rsidR="009664E4" w:rsidRPr="00C77E77" w:rsidRDefault="009664E4" w:rsidP="009664E4">
      <w:pPr>
        <w:pStyle w:val="13"/>
        <w:spacing w:beforeLines="50" w:before="180" w:afterLines="50" w:after="180" w:line="500" w:lineRule="exact"/>
        <w:ind w:leftChars="0" w:left="840" w:hangingChars="300" w:hanging="840"/>
        <w:jc w:val="both"/>
        <w:rPr>
          <w:rFonts w:ascii="Times New Roman" w:eastAsia="標楷體" w:hAnsi="Times New Roman"/>
          <w:sz w:val="28"/>
          <w:szCs w:val="28"/>
        </w:rPr>
      </w:pPr>
      <w:r w:rsidRPr="00C77E77">
        <w:rPr>
          <w:rFonts w:ascii="Times New Roman" w:eastAsia="標楷體" w:hAnsi="Times New Roman"/>
          <w:sz w:val="28"/>
          <w:szCs w:val="28"/>
        </w:rPr>
        <w:t>(</w:t>
      </w:r>
      <w:r w:rsidRPr="00C77E77">
        <w:rPr>
          <w:rFonts w:ascii="Times New Roman" w:eastAsia="標楷體" w:hAnsi="Times New Roman"/>
          <w:sz w:val="28"/>
          <w:szCs w:val="28"/>
        </w:rPr>
        <w:t>十七</w:t>
      </w:r>
      <w:r w:rsidRPr="00C77E77">
        <w:rPr>
          <w:rFonts w:ascii="Times New Roman" w:eastAsia="標楷體" w:hAnsi="Times New Roman"/>
          <w:sz w:val="28"/>
          <w:szCs w:val="28"/>
        </w:rPr>
        <w:t>)</w:t>
      </w:r>
      <w:r w:rsidRPr="00C77E77">
        <w:rPr>
          <w:rFonts w:ascii="Times New Roman" w:eastAsia="標楷體" w:hAnsi="Times New Roman"/>
          <w:sz w:val="28"/>
          <w:szCs w:val="28"/>
        </w:rPr>
        <w:t>可以將寶萊</w:t>
      </w:r>
      <w:r w:rsidR="00E83E57" w:rsidRPr="00C77E77">
        <w:rPr>
          <w:rFonts w:ascii="Times New Roman" w:eastAsia="標楷體" w:hAnsi="Times New Roman"/>
          <w:sz w:val="28"/>
          <w:szCs w:val="28"/>
        </w:rPr>
        <w:t>塢</w:t>
      </w:r>
      <w:r w:rsidRPr="00C77E77">
        <w:rPr>
          <w:rFonts w:ascii="Times New Roman" w:eastAsia="標楷體" w:hAnsi="Times New Roman"/>
          <w:sz w:val="28"/>
          <w:szCs w:val="28"/>
        </w:rPr>
        <w:t>或印度連續劇拉到</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灣拍片，為</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灣宣傳推銷。連續劇主角的片酬不像寶萊</w:t>
      </w:r>
      <w:r w:rsidR="00E83E57" w:rsidRPr="00C77E77">
        <w:rPr>
          <w:rFonts w:ascii="Times New Roman" w:eastAsia="標楷體" w:hAnsi="Times New Roman"/>
          <w:sz w:val="28"/>
          <w:szCs w:val="28"/>
        </w:rPr>
        <w:t>塢</w:t>
      </w:r>
      <w:r w:rsidRPr="00C77E77">
        <w:rPr>
          <w:rFonts w:ascii="Times New Roman" w:eastAsia="標楷體" w:hAnsi="Times New Roman"/>
          <w:sz w:val="28"/>
          <w:szCs w:val="28"/>
        </w:rPr>
        <w:t>明星那麼高，且連續劇可以反覆出現</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灣畫面，對</w:t>
      </w:r>
      <w:r w:rsidR="00FD0D5A" w:rsidRPr="00C77E77">
        <w:rPr>
          <w:rFonts w:ascii="Times New Roman" w:eastAsia="標楷體" w:hAnsi="Times New Roman"/>
          <w:sz w:val="28"/>
          <w:szCs w:val="28"/>
        </w:rPr>
        <w:t>臺</w:t>
      </w:r>
      <w:r w:rsidRPr="00C77E77">
        <w:rPr>
          <w:rFonts w:ascii="Times New Roman" w:eastAsia="標楷體" w:hAnsi="Times New Roman"/>
          <w:sz w:val="28"/>
          <w:szCs w:val="28"/>
        </w:rPr>
        <w:t>灣有幫助。</w:t>
      </w:r>
    </w:p>
    <w:p w:rsidR="009664E4" w:rsidRPr="00C77E77" w:rsidRDefault="009664E4" w:rsidP="00D81A16">
      <w:pPr>
        <w:spacing w:beforeLines="50" w:before="180" w:afterLines="50" w:after="180" w:line="360" w:lineRule="auto"/>
        <w:jc w:val="center"/>
        <w:rPr>
          <w:rFonts w:ascii="Times New Roman" w:eastAsia="標楷體" w:hAnsi="Times New Roman" w:cs="Times New Roman"/>
          <w:sz w:val="28"/>
          <w:szCs w:val="28"/>
        </w:rPr>
      </w:pPr>
    </w:p>
    <w:p w:rsidR="009664E4" w:rsidRPr="00C77E77" w:rsidRDefault="009664E4" w:rsidP="002576FE">
      <w:pPr>
        <w:rPr>
          <w:rFonts w:ascii="Times New Roman" w:eastAsia="標楷體" w:hAnsi="Times New Roman" w:cs="Times New Roman"/>
          <w:kern w:val="0"/>
          <w:sz w:val="28"/>
          <w:szCs w:val="28"/>
        </w:rPr>
      </w:pPr>
      <w:bookmarkStart w:id="201" w:name="_Toc466324406"/>
      <w:r w:rsidRPr="00C77E77">
        <w:rPr>
          <w:rFonts w:ascii="Times New Roman" w:eastAsia="標楷體" w:hAnsi="Times New Roman" w:cs="Times New Roman"/>
          <w:sz w:val="28"/>
          <w:szCs w:val="28"/>
        </w:rPr>
        <w:t>十二、會晤印度國際經濟關係研究委員會資深研究員</w:t>
      </w:r>
      <w:r w:rsidRPr="00C77E77">
        <w:rPr>
          <w:rFonts w:ascii="Times New Roman" w:eastAsia="標楷體" w:hAnsi="Times New Roman" w:cs="Times New Roman"/>
          <w:kern w:val="0"/>
          <w:sz w:val="28"/>
          <w:szCs w:val="28"/>
        </w:rPr>
        <w:t>Prof. Arpita Mukherjee</w:t>
      </w:r>
      <w:bookmarkEnd w:id="201"/>
      <w:r w:rsidRPr="00C77E77">
        <w:rPr>
          <w:rFonts w:ascii="Times New Roman" w:eastAsia="標楷體" w:hAnsi="Times New Roman" w:cs="Times New Roman"/>
          <w:kern w:val="0"/>
          <w:sz w:val="28"/>
          <w:szCs w:val="28"/>
        </w:rPr>
        <w:t xml:space="preserve"> </w:t>
      </w:r>
    </w:p>
    <w:p w:rsidR="009664E4" w:rsidRPr="00C77E77" w:rsidRDefault="009664E4" w:rsidP="0001327A">
      <w:pPr>
        <w:numPr>
          <w:ilvl w:val="0"/>
          <w:numId w:val="88"/>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kern w:val="0"/>
          <w:sz w:val="28"/>
          <w:szCs w:val="28"/>
        </w:rPr>
        <w:lastRenderedPageBreak/>
        <w:t>Prof. Mukherjee</w:t>
      </w:r>
      <w:r w:rsidRPr="00C77E77">
        <w:rPr>
          <w:rFonts w:ascii="Times New Roman" w:eastAsia="標楷體" w:hAnsi="Times New Roman" w:cs="Times New Roman"/>
          <w:kern w:val="0"/>
          <w:sz w:val="28"/>
          <w:szCs w:val="28"/>
        </w:rPr>
        <w:t>是臺印經濟合作協議</w:t>
      </w:r>
      <w:r w:rsidR="003569D3" w:rsidRPr="00C77E77">
        <w:rPr>
          <w:rFonts w:ascii="Times New Roman" w:eastAsia="標楷體" w:hAnsi="Times New Roman" w:cs="Times New Roman"/>
          <w:kern w:val="0"/>
          <w:sz w:val="28"/>
          <w:szCs w:val="28"/>
        </w:rPr>
        <w:t>（</w:t>
      </w:r>
      <w:r w:rsidR="003569D3" w:rsidRPr="00C77E77">
        <w:rPr>
          <w:rFonts w:ascii="Times New Roman" w:eastAsia="標楷體" w:hAnsi="Times New Roman" w:cs="Times New Roman"/>
          <w:kern w:val="0"/>
          <w:sz w:val="28"/>
          <w:szCs w:val="28"/>
        </w:rPr>
        <w:t>ECA</w:t>
      </w:r>
      <w:r w:rsidR="003569D3" w:rsidRPr="00C77E77">
        <w:rPr>
          <w:rFonts w:ascii="Times New Roman" w:eastAsia="標楷體" w:hAnsi="Times New Roman" w:cs="Times New Roman"/>
          <w:kern w:val="0"/>
          <w:sz w:val="28"/>
          <w:szCs w:val="28"/>
        </w:rPr>
        <w:t>）</w:t>
      </w:r>
      <w:r w:rsidRPr="00C77E77">
        <w:rPr>
          <w:rFonts w:ascii="Times New Roman" w:eastAsia="標楷體" w:hAnsi="Times New Roman" w:cs="Times New Roman"/>
          <w:kern w:val="0"/>
          <w:sz w:val="28"/>
          <w:szCs w:val="28"/>
        </w:rPr>
        <w:t>可行性研究的印方負責人。印度目前無法與</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灣簽署</w:t>
      </w:r>
      <w:r w:rsidRPr="00C77E77">
        <w:rPr>
          <w:rFonts w:ascii="Times New Roman" w:eastAsia="標楷體" w:hAnsi="Times New Roman" w:cs="Times New Roman"/>
          <w:kern w:val="0"/>
          <w:sz w:val="28"/>
          <w:szCs w:val="28"/>
        </w:rPr>
        <w:t>ECA</w:t>
      </w:r>
      <w:r w:rsidRPr="00C77E77">
        <w:rPr>
          <w:rFonts w:ascii="Times New Roman" w:eastAsia="標楷體" w:hAnsi="Times New Roman" w:cs="Times New Roman"/>
          <w:kern w:val="0"/>
          <w:sz w:val="28"/>
          <w:szCs w:val="28"/>
        </w:rPr>
        <w:t>的問題很簡單，在印度與中國簽署類似協議前，不會與</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灣簽署。中國是超強</w:t>
      </w:r>
      <w:r w:rsidR="00D05A38" w:rsidRPr="00C77E77">
        <w:rPr>
          <w:rFonts w:ascii="Times New Roman" w:eastAsia="標楷體" w:hAnsi="Times New Roman" w:cs="Times New Roman"/>
          <w:kern w:val="0"/>
          <w:sz w:val="28"/>
          <w:szCs w:val="28"/>
        </w:rPr>
        <w:t>（</w:t>
      </w:r>
      <w:r w:rsidR="00D05A38" w:rsidRPr="00C77E77">
        <w:rPr>
          <w:rFonts w:ascii="Times New Roman" w:eastAsia="標楷體" w:hAnsi="Times New Roman" w:cs="Times New Roman"/>
          <w:kern w:val="0"/>
          <w:sz w:val="28"/>
          <w:szCs w:val="28"/>
        </w:rPr>
        <w:t>super powers</w:t>
      </w:r>
      <w:r w:rsidR="00D05A38" w:rsidRPr="00C77E77">
        <w:rPr>
          <w:rFonts w:ascii="Times New Roman" w:eastAsia="標楷體" w:hAnsi="Times New Roman" w:cs="Times New Roman"/>
          <w:kern w:val="0"/>
          <w:sz w:val="28"/>
          <w:szCs w:val="28"/>
        </w:rPr>
        <w:t>）</w:t>
      </w:r>
      <w:r w:rsidRPr="00C77E77">
        <w:rPr>
          <w:rFonts w:ascii="Times New Roman" w:eastAsia="標楷體" w:hAnsi="Times New Roman" w:cs="Times New Roman"/>
          <w:kern w:val="0"/>
          <w:sz w:val="28"/>
          <w:szCs w:val="28"/>
        </w:rPr>
        <w:t>運用其影響力阻止印度進入</w:t>
      </w:r>
      <w:r w:rsidRPr="00C77E77">
        <w:rPr>
          <w:rFonts w:ascii="Times New Roman" w:eastAsia="標楷體" w:hAnsi="Times New Roman" w:cs="Times New Roman"/>
          <w:kern w:val="0"/>
          <w:sz w:val="28"/>
          <w:szCs w:val="28"/>
        </w:rPr>
        <w:t>NSG</w:t>
      </w:r>
      <w:r w:rsidRPr="00C77E77">
        <w:rPr>
          <w:rFonts w:ascii="Times New Roman" w:eastAsia="標楷體" w:hAnsi="Times New Roman" w:cs="Times New Roman"/>
          <w:kern w:val="0"/>
          <w:sz w:val="28"/>
          <w:szCs w:val="28"/>
        </w:rPr>
        <w:t>，所以印度必須要考慮這些問題。而印度國內處理</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灣事務的官員通常也是負責處理中國事務者，所以常會以中國為重。</w:t>
      </w:r>
    </w:p>
    <w:p w:rsidR="009664E4" w:rsidRPr="00C77E77" w:rsidRDefault="009664E4" w:rsidP="0001327A">
      <w:pPr>
        <w:numPr>
          <w:ilvl w:val="0"/>
          <w:numId w:val="88"/>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kern w:val="0"/>
          <w:sz w:val="28"/>
          <w:szCs w:val="28"/>
        </w:rPr>
        <w:t>她分析認為，簽署</w:t>
      </w:r>
      <w:r w:rsidRPr="00C77E77">
        <w:rPr>
          <w:rFonts w:ascii="Times New Roman" w:eastAsia="標楷體" w:hAnsi="Times New Roman" w:cs="Times New Roman"/>
          <w:kern w:val="0"/>
          <w:sz w:val="28"/>
          <w:szCs w:val="28"/>
        </w:rPr>
        <w:t>FTA</w:t>
      </w:r>
      <w:r w:rsidRPr="00C77E77">
        <w:rPr>
          <w:rFonts w:ascii="Times New Roman" w:eastAsia="標楷體" w:hAnsi="Times New Roman" w:cs="Times New Roman"/>
          <w:kern w:val="0"/>
          <w:sz w:val="28"/>
          <w:szCs w:val="28"/>
        </w:rPr>
        <w:t>時，國內通常要需要進行改革，但印度其實無此準備。印度雖然已與東協簽署</w:t>
      </w:r>
      <w:r w:rsidRPr="00C77E77">
        <w:rPr>
          <w:rFonts w:ascii="Times New Roman" w:eastAsia="標楷體" w:hAnsi="Times New Roman" w:cs="Times New Roman"/>
          <w:kern w:val="0"/>
          <w:sz w:val="28"/>
          <w:szCs w:val="28"/>
        </w:rPr>
        <w:t>FTA</w:t>
      </w:r>
      <w:r w:rsidRPr="00C77E77">
        <w:rPr>
          <w:rFonts w:ascii="Times New Roman" w:eastAsia="標楷體" w:hAnsi="Times New Roman" w:cs="Times New Roman"/>
          <w:kern w:val="0"/>
          <w:sz w:val="28"/>
          <w:szCs w:val="28"/>
        </w:rPr>
        <w:t>，但並非是高標準的協議，印度也未從中獲利。印度在</w:t>
      </w:r>
      <w:r w:rsidRPr="00C77E77">
        <w:rPr>
          <w:rFonts w:ascii="Times New Roman" w:eastAsia="標楷體" w:hAnsi="Times New Roman" w:cs="Times New Roman"/>
          <w:kern w:val="0"/>
          <w:sz w:val="28"/>
          <w:szCs w:val="28"/>
        </w:rPr>
        <w:t>RCEP</w:t>
      </w:r>
      <w:r w:rsidRPr="00C77E77">
        <w:rPr>
          <w:rFonts w:ascii="Times New Roman" w:eastAsia="標楷體" w:hAnsi="Times New Roman" w:cs="Times New Roman"/>
          <w:kern w:val="0"/>
          <w:sz w:val="28"/>
          <w:szCs w:val="28"/>
        </w:rPr>
        <w:t>面對許多國家要求開放。在目前的狀況下，印度也沒有條件加入</w:t>
      </w:r>
      <w:r w:rsidRPr="00C77E77">
        <w:rPr>
          <w:rFonts w:ascii="Times New Roman" w:eastAsia="標楷體" w:hAnsi="Times New Roman" w:cs="Times New Roman"/>
          <w:kern w:val="0"/>
          <w:sz w:val="28"/>
          <w:szCs w:val="28"/>
        </w:rPr>
        <w:t>TPP</w:t>
      </w:r>
      <w:r w:rsidRPr="00C77E77">
        <w:rPr>
          <w:rFonts w:ascii="Times New Roman" w:eastAsia="標楷體" w:hAnsi="Times New Roman" w:cs="Times New Roman"/>
          <w:kern w:val="0"/>
          <w:sz w:val="28"/>
          <w:szCs w:val="28"/>
        </w:rPr>
        <w:t>，相關國家也未邀請印度參加。印度雖然與歐盟恢復</w:t>
      </w:r>
      <w:r w:rsidRPr="00C77E77">
        <w:rPr>
          <w:rFonts w:ascii="Times New Roman" w:eastAsia="標楷體" w:hAnsi="Times New Roman" w:cs="Times New Roman"/>
          <w:kern w:val="0"/>
          <w:sz w:val="28"/>
          <w:szCs w:val="28"/>
        </w:rPr>
        <w:t>FTA</w:t>
      </w:r>
      <w:r w:rsidRPr="00C77E77">
        <w:rPr>
          <w:rFonts w:ascii="Times New Roman" w:eastAsia="標楷體" w:hAnsi="Times New Roman" w:cs="Times New Roman"/>
          <w:kern w:val="0"/>
          <w:sz w:val="28"/>
          <w:szCs w:val="28"/>
        </w:rPr>
        <w:t>的談判，但還在很初期的階段。</w:t>
      </w:r>
    </w:p>
    <w:p w:rsidR="009664E4" w:rsidRPr="00C77E77" w:rsidRDefault="009664E4" w:rsidP="0001327A">
      <w:pPr>
        <w:numPr>
          <w:ilvl w:val="0"/>
          <w:numId w:val="88"/>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她認為，</w:t>
      </w:r>
      <w:r w:rsidRPr="00C77E77">
        <w:rPr>
          <w:rFonts w:ascii="Times New Roman" w:eastAsia="標楷體" w:hAnsi="Times New Roman" w:cs="Times New Roman"/>
          <w:kern w:val="0"/>
          <w:sz w:val="28"/>
          <w:szCs w:val="28"/>
        </w:rPr>
        <w:t>印度莫迪政府尚未有明顯的經濟改革成果。但若國家商品服務税（</w:t>
      </w:r>
      <w:r w:rsidRPr="00C77E77">
        <w:rPr>
          <w:rFonts w:ascii="Times New Roman" w:eastAsia="標楷體" w:hAnsi="Times New Roman" w:cs="Times New Roman"/>
          <w:kern w:val="0"/>
          <w:sz w:val="28"/>
          <w:szCs w:val="28"/>
        </w:rPr>
        <w:t>goods-and-services tax</w:t>
      </w:r>
      <w:r w:rsidR="00E83E57" w:rsidRPr="00C77E77">
        <w:rPr>
          <w:rFonts w:ascii="Times New Roman" w:eastAsia="標楷體" w:hAnsi="Times New Roman" w:cs="Times New Roman"/>
          <w:kern w:val="0"/>
          <w:sz w:val="28"/>
          <w:szCs w:val="28"/>
        </w:rPr>
        <w:t xml:space="preserve">, </w:t>
      </w:r>
      <w:r w:rsidRPr="00C77E77">
        <w:rPr>
          <w:rFonts w:ascii="Times New Roman" w:eastAsia="標楷體" w:hAnsi="Times New Roman" w:cs="Times New Roman"/>
          <w:kern w:val="0"/>
          <w:sz w:val="28"/>
          <w:szCs w:val="28"/>
        </w:rPr>
        <w:t>GST</w:t>
      </w:r>
      <w:r w:rsidRPr="00C77E77">
        <w:rPr>
          <w:rFonts w:ascii="Times New Roman" w:eastAsia="標楷體" w:hAnsi="Times New Roman" w:cs="Times New Roman"/>
          <w:kern w:val="0"/>
          <w:sz w:val="28"/>
          <w:szCs w:val="28"/>
        </w:rPr>
        <w:t>）的改革可以順利完成，將是重大成就。</w:t>
      </w:r>
    </w:p>
    <w:p w:rsidR="009664E4" w:rsidRPr="00C77E77" w:rsidRDefault="009664E4" w:rsidP="0001327A">
      <w:pPr>
        <w:numPr>
          <w:ilvl w:val="0"/>
          <w:numId w:val="88"/>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kern w:val="0"/>
          <w:sz w:val="28"/>
          <w:szCs w:val="28"/>
        </w:rPr>
        <w:t>印度國內的鋼鐵業有很強的遊說力量，反對外國鋼鐵業進入。有關中鋼面臨進口原料稅比日韓廠商高的問題，</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灣方面可以直接跟印度中央洽談有利的稅賦條件。</w:t>
      </w:r>
    </w:p>
    <w:p w:rsidR="009664E4" w:rsidRPr="00C77E77" w:rsidRDefault="009664E4" w:rsidP="0001327A">
      <w:pPr>
        <w:numPr>
          <w:ilvl w:val="0"/>
          <w:numId w:val="88"/>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kern w:val="0"/>
          <w:sz w:val="28"/>
          <w:szCs w:val="28"/>
        </w:rPr>
        <w:t>即使</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印簽署</w:t>
      </w:r>
      <w:r w:rsidRPr="00C77E77">
        <w:rPr>
          <w:rFonts w:ascii="Times New Roman" w:eastAsia="標楷體" w:hAnsi="Times New Roman" w:cs="Times New Roman"/>
          <w:kern w:val="0"/>
          <w:sz w:val="28"/>
          <w:szCs w:val="28"/>
        </w:rPr>
        <w:t>ECA</w:t>
      </w:r>
      <w:r w:rsidRPr="00C77E77">
        <w:rPr>
          <w:rFonts w:ascii="Times New Roman" w:eastAsia="標楷體" w:hAnsi="Times New Roman" w:cs="Times New Roman"/>
          <w:kern w:val="0"/>
          <w:sz w:val="28"/>
          <w:szCs w:val="28"/>
        </w:rPr>
        <w:t>也未必能解決所有</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商遇到的問題。有些問題是需要跟地方政府直接洽談。</w:t>
      </w:r>
    </w:p>
    <w:p w:rsidR="009664E4" w:rsidRPr="00C77E77" w:rsidRDefault="009664E4" w:rsidP="0001327A">
      <w:pPr>
        <w:numPr>
          <w:ilvl w:val="0"/>
          <w:numId w:val="88"/>
        </w:num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她</w:t>
      </w:r>
      <w:r w:rsidRPr="00C77E77">
        <w:rPr>
          <w:rFonts w:ascii="Times New Roman" w:eastAsia="標楷體" w:hAnsi="Times New Roman" w:cs="Times New Roman"/>
          <w:kern w:val="0"/>
          <w:sz w:val="28"/>
          <w:szCs w:val="28"/>
        </w:rPr>
        <w:t>建議</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灣方面要考慮在沒有</w:t>
      </w:r>
      <w:r w:rsidRPr="00C77E77">
        <w:rPr>
          <w:rFonts w:ascii="Times New Roman" w:eastAsia="標楷體" w:hAnsi="Times New Roman" w:cs="Times New Roman"/>
          <w:kern w:val="0"/>
          <w:sz w:val="28"/>
          <w:szCs w:val="28"/>
        </w:rPr>
        <w:t>ECA</w:t>
      </w:r>
      <w:r w:rsidRPr="00C77E77">
        <w:rPr>
          <w:rFonts w:ascii="Times New Roman" w:eastAsia="標楷體" w:hAnsi="Times New Roman" w:cs="Times New Roman"/>
          <w:kern w:val="0"/>
          <w:sz w:val="28"/>
          <w:szCs w:val="28"/>
        </w:rPr>
        <w:t>的情況下，如何與印度發展經貿關係、在印度投資及成立產業聚落等。</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灣產品有非常好的品質。</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灣的科技及創新也為印度所喜。</w:t>
      </w:r>
      <w:r w:rsidRPr="00C77E77">
        <w:rPr>
          <w:rFonts w:ascii="Times New Roman" w:eastAsia="標楷體" w:hAnsi="Times New Roman" w:cs="Times New Roman"/>
          <w:sz w:val="28"/>
          <w:szCs w:val="28"/>
        </w:rPr>
        <w:t>但</w:t>
      </w:r>
      <w:r w:rsidR="00FD0D5A" w:rsidRPr="00C77E77">
        <w:rPr>
          <w:rFonts w:ascii="Times New Roman" w:eastAsia="標楷體" w:hAnsi="Times New Roman" w:cs="Times New Roman"/>
          <w:kern w:val="0"/>
          <w:sz w:val="28"/>
          <w:szCs w:val="28"/>
        </w:rPr>
        <w:t>臺</w:t>
      </w:r>
      <w:r w:rsidRPr="00C77E77">
        <w:rPr>
          <w:rFonts w:ascii="Times New Roman" w:eastAsia="標楷體" w:hAnsi="Times New Roman" w:cs="Times New Roman"/>
          <w:kern w:val="0"/>
          <w:sz w:val="28"/>
          <w:szCs w:val="28"/>
        </w:rPr>
        <w:t>灣對印度的投資額仍小，故整體影響力有限。</w:t>
      </w:r>
      <w:bookmarkEnd w:id="188"/>
    </w:p>
    <w:p w:rsidR="009664E4" w:rsidRPr="00C77E77" w:rsidRDefault="009664E4" w:rsidP="002576FE">
      <w:pPr>
        <w:rPr>
          <w:rFonts w:ascii="Times New Roman" w:eastAsia="標楷體" w:hAnsi="Times New Roman" w:cs="Times New Roman"/>
          <w:b/>
          <w:sz w:val="28"/>
          <w:szCs w:val="28"/>
        </w:rPr>
      </w:pPr>
      <w:bookmarkStart w:id="202" w:name="_Toc466324407"/>
      <w:r w:rsidRPr="00C77E77">
        <w:rPr>
          <w:rFonts w:ascii="Times New Roman" w:eastAsia="標楷體" w:hAnsi="Times New Roman" w:cs="Times New Roman"/>
          <w:b/>
          <w:sz w:val="28"/>
          <w:szCs w:val="28"/>
        </w:rPr>
        <w:t>參、訪問心得</w:t>
      </w:r>
      <w:bookmarkEnd w:id="202"/>
    </w:p>
    <w:p w:rsidR="009664E4" w:rsidRPr="00C77E77" w:rsidRDefault="009664E4" w:rsidP="009664E4">
      <w:pPr>
        <w:spacing w:beforeLines="50" w:before="180" w:afterLines="50" w:after="180" w:line="500" w:lineRule="exact"/>
        <w:ind w:left="420" w:hangingChars="150" w:hanging="4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一、印度市場困難度高，對價格敏感、稅務繁雜。但具有相當的潛能，因此仍然</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有相當大的吸引力。廠商可透過諮詢印度顧問公司、與印度夥伴合作等方式，降低前往印度的困難。</w:t>
      </w:r>
    </w:p>
    <w:p w:rsidR="009664E4" w:rsidRPr="00C77E77" w:rsidRDefault="009664E4" w:rsidP="009664E4">
      <w:pPr>
        <w:spacing w:beforeLines="50" w:before="180" w:afterLines="50" w:after="180" w:line="500" w:lineRule="exact"/>
        <w:ind w:left="420" w:hangingChars="150" w:hanging="4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二、印方期待</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灣對印度增強投資。</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商前進印度時應尋求與</w:t>
      </w:r>
      <w:r w:rsidRPr="00C77E77">
        <w:rPr>
          <w:rFonts w:ascii="Times New Roman" w:eastAsia="標楷體" w:hAnsi="Times New Roman" w:cs="Times New Roman"/>
          <w:sz w:val="28"/>
          <w:szCs w:val="28"/>
        </w:rPr>
        <w:t>Make in India</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Digital India</w:t>
      </w:r>
      <w:r w:rsidRPr="00C77E77">
        <w:rPr>
          <w:rFonts w:ascii="Times New Roman" w:eastAsia="標楷體" w:hAnsi="Times New Roman" w:cs="Times New Roman"/>
          <w:sz w:val="28"/>
          <w:szCs w:val="28"/>
        </w:rPr>
        <w:t>等印度國家型建設方案接軌。</w:t>
      </w:r>
    </w:p>
    <w:p w:rsidR="009664E4" w:rsidRPr="00C77E77" w:rsidRDefault="009664E4" w:rsidP="009664E4">
      <w:pPr>
        <w:spacing w:beforeLines="50" w:before="180" w:afterLines="50" w:after="180" w:line="500" w:lineRule="exact"/>
        <w:ind w:left="420" w:hangingChars="150" w:hanging="4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三、資訊科技</w:t>
      </w:r>
      <w:r w:rsidRPr="00C77E77">
        <w:rPr>
          <w:rFonts w:ascii="Times New Roman" w:eastAsia="標楷體" w:hAnsi="Times New Roman" w:cs="Times New Roman"/>
          <w:sz w:val="28"/>
          <w:szCs w:val="28"/>
        </w:rPr>
        <w:t>(IT)</w:t>
      </w:r>
      <w:r w:rsidRPr="00C77E77">
        <w:rPr>
          <w:rFonts w:ascii="Times New Roman" w:eastAsia="標楷體" w:hAnsi="Times New Roman" w:cs="Times New Roman"/>
          <w:sz w:val="28"/>
          <w:szCs w:val="28"/>
        </w:rPr>
        <w:t>、食品加工、農業、綠色產業、基礎建設、物流、</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零組件、技職教育、華語文教育等領域是訪談中被提及的可行合作領域。智慧校園在印度有可行性，但需考量價格及推廣標的學校。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灣的系統輸出要考量印度當地的特殊需求，如是否會降低就業率等。</w:t>
      </w:r>
    </w:p>
    <w:p w:rsidR="009664E4" w:rsidRPr="00C77E77" w:rsidRDefault="009664E4" w:rsidP="009664E4">
      <w:pPr>
        <w:spacing w:beforeLines="50" w:before="180" w:afterLines="50" w:after="180" w:line="500" w:lineRule="exact"/>
        <w:ind w:left="420" w:hangingChars="150" w:hanging="4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四、目前簽訂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印經濟合作協議</w:t>
      </w:r>
      <w:r w:rsidRPr="00C77E77">
        <w:rPr>
          <w:rFonts w:ascii="Times New Roman" w:eastAsia="標楷體" w:hAnsi="Times New Roman" w:cs="Times New Roman"/>
          <w:sz w:val="28"/>
          <w:szCs w:val="28"/>
        </w:rPr>
        <w:t>(ECA)</w:t>
      </w:r>
      <w:r w:rsidRPr="00C77E77">
        <w:rPr>
          <w:rFonts w:ascii="Times New Roman" w:eastAsia="標楷體" w:hAnsi="Times New Roman" w:cs="Times New Roman"/>
          <w:sz w:val="28"/>
          <w:szCs w:val="28"/>
        </w:rPr>
        <w:t>的可能性不高，應思考其他方式補強。</w:t>
      </w:r>
    </w:p>
    <w:p w:rsidR="009664E4" w:rsidRPr="00C77E77" w:rsidRDefault="009664E4" w:rsidP="009664E4">
      <w:pPr>
        <w:spacing w:beforeLines="50" w:before="180" w:afterLines="50" w:after="180" w:line="500" w:lineRule="exact"/>
        <w:ind w:left="420" w:hangingChars="150" w:hanging="4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五、年輕一代的印度學者中，關注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印關係者有限，長期而言並不利雙方關係發展。</w:t>
      </w:r>
    </w:p>
    <w:p w:rsidR="009664E4" w:rsidRPr="00C77E77" w:rsidRDefault="009664E4" w:rsidP="00D81A16">
      <w:pPr>
        <w:spacing w:beforeLines="50" w:before="180" w:afterLines="50" w:after="180" w:line="500" w:lineRule="exact"/>
        <w:ind w:left="420" w:hangingChars="150" w:hanging="42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六、印度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商會的資源不足，現行功能以社交為主，較無法提供商業資訊交流等功能，政府需協助強化。</w:t>
      </w:r>
    </w:p>
    <w:p w:rsidR="00D81A16" w:rsidRPr="00C77E77" w:rsidRDefault="00D81A16">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D81A16" w:rsidRPr="00C77E77" w:rsidRDefault="00A80488" w:rsidP="00542B30">
      <w:pPr>
        <w:pStyle w:val="1"/>
        <w:rPr>
          <w:rFonts w:ascii="Times New Roman" w:eastAsia="標楷體" w:hAnsi="Times New Roman" w:cs="Times New Roman"/>
          <w:sz w:val="36"/>
          <w:szCs w:val="36"/>
        </w:rPr>
      </w:pPr>
      <w:bookmarkStart w:id="203" w:name="_Toc470676337"/>
      <w:r w:rsidRPr="00C77E77">
        <w:rPr>
          <w:rFonts w:ascii="Times New Roman" w:eastAsia="標楷體" w:hAnsi="Times New Roman" w:cs="Times New Roman"/>
          <w:sz w:val="36"/>
          <w:szCs w:val="36"/>
        </w:rPr>
        <w:lastRenderedPageBreak/>
        <w:t>附錄十</w:t>
      </w:r>
      <w:r w:rsidR="00D81A16" w:rsidRPr="00C77E77">
        <w:rPr>
          <w:rFonts w:ascii="Times New Roman" w:eastAsia="標楷體" w:hAnsi="Times New Roman" w:cs="Times New Roman"/>
          <w:sz w:val="36"/>
          <w:szCs w:val="36"/>
        </w:rPr>
        <w:t>：</w:t>
      </w:r>
      <w:r w:rsidR="00542B30" w:rsidRPr="00C77E77">
        <w:rPr>
          <w:rFonts w:ascii="Times New Roman" w:eastAsia="標楷體" w:hAnsi="Times New Roman" w:cs="Times New Roman"/>
          <w:sz w:val="36"/>
          <w:szCs w:val="36"/>
        </w:rPr>
        <w:t>出國報告書</w:t>
      </w:r>
      <w:r w:rsidR="00542B30" w:rsidRPr="00C77E77">
        <w:rPr>
          <w:rFonts w:ascii="Times New Roman" w:eastAsia="標楷體" w:hAnsi="Times New Roman" w:cs="Times New Roman"/>
          <w:sz w:val="36"/>
          <w:szCs w:val="36"/>
        </w:rPr>
        <w:t>─</w:t>
      </w:r>
      <w:r w:rsidR="00542B30" w:rsidRPr="00C77E77">
        <w:rPr>
          <w:rFonts w:ascii="Times New Roman" w:eastAsia="標楷體" w:hAnsi="Times New Roman" w:cs="Times New Roman"/>
          <w:sz w:val="36"/>
          <w:szCs w:val="36"/>
        </w:rPr>
        <w:t>印尼</w:t>
      </w:r>
      <w:bookmarkEnd w:id="203"/>
    </w:p>
    <w:p w:rsidR="00D81A16" w:rsidRPr="00C77E77" w:rsidRDefault="00D81A16" w:rsidP="0001327A">
      <w:pPr>
        <w:pStyle w:val="ab"/>
        <w:numPr>
          <w:ilvl w:val="0"/>
          <w:numId w:val="113"/>
        </w:numPr>
        <w:ind w:leftChars="0"/>
        <w:rPr>
          <w:rFonts w:ascii="Times New Roman" w:eastAsia="標楷體" w:hAnsi="Times New Roman" w:cs="Times New Roman"/>
          <w:b/>
          <w:sz w:val="28"/>
          <w:szCs w:val="28"/>
        </w:rPr>
      </w:pPr>
      <w:bookmarkStart w:id="204" w:name="_Toc464056252"/>
      <w:r w:rsidRPr="00C77E77">
        <w:rPr>
          <w:rFonts w:ascii="Times New Roman" w:eastAsia="標楷體" w:hAnsi="Times New Roman" w:cs="Times New Roman"/>
          <w:b/>
          <w:sz w:val="28"/>
          <w:szCs w:val="28"/>
        </w:rPr>
        <w:t>背景說明</w:t>
      </w:r>
      <w:bookmarkEnd w:id="204"/>
    </w:p>
    <w:p w:rsidR="00D81A16" w:rsidRPr="00C77E77" w:rsidRDefault="00D81A16" w:rsidP="00D81A16">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為打破過往臺灣對外輸出關鍵零組件等「中間財」薄利化出口模式，經濟部在行政院「系統整合藍海出口」政策決議指導下，於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年成立「系統整合推動平臺」，挑選雲端系統、智慧物流、電子化政府、智慧校園、智慧健康、綠色運輸、電子收費、石化、太陽能、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照明等十大具有出口實績與潛力產業，加上新政府重點推動之電子商務及新農業，列為現階段我國主要「</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」產業南向發展方案。為提供政府制訂政策之建言，有必要拜會並瞭解我國於印尼投資設廠之相關業者對於南向政策之評估看法、佈局策略，及所面臨之困難。</w:t>
      </w:r>
    </w:p>
    <w:p w:rsidR="00D81A16" w:rsidRPr="00C77E77" w:rsidRDefault="00FD0D5A" w:rsidP="00D81A16">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灣經濟研究院新興市場發展研究中心承接國家發展委員會的「東南亞及南亞經濟合作策略計畫」，為深入瞭解</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十大系統輸出」、新農業及電子商務等十二項產業拓展東協及印度市場之現況和面臨的困難，故而前往印尼訪問相關智庫與拜訪相關業者，希望能夠瞭解該十二項產業在政府「新南向政策」下與東協和印度雙向合作之機會與挑戰，以及印尼對於我國推動該十二項產業過程中可能的反應和行動，從而才能據以探討我國「</w:t>
      </w:r>
      <w:r w:rsidR="00D81A16" w:rsidRPr="00C77E77">
        <w:rPr>
          <w:rFonts w:ascii="Times New Roman" w:eastAsia="標楷體" w:hAnsi="Times New Roman" w:cs="Times New Roman"/>
          <w:sz w:val="28"/>
          <w:szCs w:val="28"/>
        </w:rPr>
        <w:t>10+2</w:t>
      </w:r>
      <w:r w:rsidR="00D81A16" w:rsidRPr="00C77E77">
        <w:rPr>
          <w:rFonts w:ascii="Times New Roman" w:eastAsia="標楷體" w:hAnsi="Times New Roman" w:cs="Times New Roman"/>
          <w:sz w:val="28"/>
          <w:szCs w:val="28"/>
        </w:rPr>
        <w:t>」產業南向發展方案之可行途徑。</w:t>
      </w:r>
    </w:p>
    <w:p w:rsidR="00D81A16" w:rsidRPr="00C77E77" w:rsidRDefault="00D81A16" w:rsidP="00D81A16">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本次訪問的單位與人士包括：雅加達</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貿中心廖主任俊生、萬隆臺灣工商聯誼會李理事長政德、萬隆臺灣工商聯誼會張秘書展銘、雅加達臺灣工商聯誼總會周總會長宗和、雅加達臺灣工商聯誼總會賴理事長維信、雅加達臺灣工商聯誼總會曾秘書長裕</w:t>
      </w:r>
      <w:r w:rsidRPr="00C77E77">
        <w:rPr>
          <w:rFonts w:ascii="Times New Roman" w:eastAsia="標楷體" w:hAnsi="Times New Roman" w:cs="Times New Roman"/>
          <w:color w:val="000000" w:themeColor="text1"/>
          <w:sz w:val="28"/>
          <w:szCs w:val="28"/>
        </w:rPr>
        <w:t>華、黃財務長俊傑、中國信託銀行</w:t>
      </w:r>
      <w:r w:rsidRPr="00C77E77">
        <w:rPr>
          <w:rFonts w:ascii="Times New Roman" w:eastAsia="標楷體" w:hAnsi="Times New Roman" w:cs="Times New Roman"/>
          <w:color w:val="000000" w:themeColor="text1"/>
          <w:sz w:val="28"/>
          <w:szCs w:val="28"/>
        </w:rPr>
        <w:t>(CTBC)</w:t>
      </w:r>
      <w:r w:rsidRPr="00C77E77">
        <w:rPr>
          <w:rFonts w:ascii="Times New Roman" w:eastAsia="標楷體" w:hAnsi="Times New Roman" w:cs="Times New Roman"/>
          <w:color w:val="000000" w:themeColor="text1"/>
          <w:sz w:val="28"/>
          <w:szCs w:val="28"/>
        </w:rPr>
        <w:t>石總經理家林、哈比比研</w:t>
      </w:r>
      <w:r w:rsidRPr="00C77E77">
        <w:rPr>
          <w:rFonts w:ascii="Times New Roman" w:eastAsia="標楷體" w:hAnsi="Times New Roman" w:cs="Times New Roman"/>
          <w:sz w:val="28"/>
          <w:szCs w:val="28"/>
        </w:rPr>
        <w:t>究中心（</w:t>
      </w:r>
      <w:r w:rsidRPr="00C77E77">
        <w:rPr>
          <w:rFonts w:ascii="Times New Roman" w:eastAsia="標楷體" w:hAnsi="Times New Roman" w:cs="Times New Roman"/>
          <w:sz w:val="28"/>
          <w:szCs w:val="28"/>
        </w:rPr>
        <w:t>Habibie Center</w:t>
      </w:r>
      <w:r w:rsidRPr="00C77E77">
        <w:rPr>
          <w:rFonts w:ascii="Times New Roman" w:eastAsia="標楷體" w:hAnsi="Times New Roman" w:cs="Times New Roman"/>
          <w:sz w:val="28"/>
          <w:szCs w:val="28"/>
        </w:rPr>
        <w:t>）研究員</w:t>
      </w:r>
      <w:r w:rsidRPr="00C77E77">
        <w:rPr>
          <w:rFonts w:ascii="Times New Roman" w:eastAsia="標楷體" w:hAnsi="Times New Roman" w:cs="Times New Roman"/>
          <w:sz w:val="28"/>
          <w:szCs w:val="28"/>
        </w:rPr>
        <w:t>Alexander C. Chandra</w:t>
      </w:r>
      <w:r w:rsidRPr="00C77E77">
        <w:rPr>
          <w:rFonts w:ascii="Times New Roman" w:eastAsia="標楷體" w:hAnsi="Times New Roman" w:cs="Times New Roman"/>
          <w:sz w:val="28"/>
          <w:szCs w:val="28"/>
        </w:rPr>
        <w:t>、印尼漢學研究中心（</w:t>
      </w:r>
      <w:r w:rsidRPr="00C77E77">
        <w:rPr>
          <w:rFonts w:ascii="Times New Roman" w:eastAsia="標楷體" w:hAnsi="Times New Roman" w:cs="Times New Roman"/>
          <w:sz w:val="28"/>
          <w:szCs w:val="28"/>
        </w:rPr>
        <w:t>Center for Chinese Studies-Indonesia</w:t>
      </w:r>
      <w:r w:rsidRPr="00C77E77">
        <w:rPr>
          <w:rFonts w:ascii="Times New Roman" w:eastAsia="標楷體" w:hAnsi="Times New Roman" w:cs="Times New Roman"/>
          <w:sz w:val="28"/>
          <w:szCs w:val="28"/>
        </w:rPr>
        <w:t>）主任</w:t>
      </w:r>
      <w:r w:rsidRPr="00C77E77">
        <w:rPr>
          <w:rFonts w:ascii="Times New Roman" w:eastAsia="標楷體" w:hAnsi="Times New Roman" w:cs="Times New Roman"/>
          <w:sz w:val="28"/>
          <w:szCs w:val="28"/>
        </w:rPr>
        <w:t>Rene L. Pattiradjawane</w:t>
      </w:r>
      <w:r w:rsidRPr="00C77E77">
        <w:rPr>
          <w:rFonts w:ascii="Times New Roman" w:eastAsia="標楷體" w:hAnsi="Times New Roman" w:cs="Times New Roman"/>
          <w:sz w:val="28"/>
          <w:szCs w:val="28"/>
        </w:rPr>
        <w:t>、駐印尼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北經濟貿易代表處副代表兼經濟組組長蔡允中、駐</w:t>
      </w:r>
      <w:r w:rsidRPr="00C77E77">
        <w:rPr>
          <w:rFonts w:ascii="Times New Roman" w:eastAsia="標楷體" w:hAnsi="Times New Roman" w:cs="Times New Roman"/>
          <w:sz w:val="28"/>
          <w:szCs w:val="28"/>
        </w:rPr>
        <w:lastRenderedPageBreak/>
        <w:t>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北經濟貿易代表處經濟組廖浩志一等秘書等相關官員、學者、業界代表，針對當前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灣、印尼雙邊投資貿易現況與發展情勢進行討論，俾利我國「</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」產業南向發展規劃妥慎行動方案，擬定相關可行策略，以加速相關雙邊合作進程。</w:t>
      </w:r>
    </w:p>
    <w:p w:rsidR="00D81A16" w:rsidRPr="00C77E77" w:rsidRDefault="00D81A16" w:rsidP="00D81A16">
      <w:pPr>
        <w:widowControl/>
        <w:spacing w:beforeLines="50" w:before="180" w:afterLines="50" w:after="180" w:line="500" w:lineRule="exact"/>
        <w:ind w:firstLineChars="200" w:firstLine="56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表</w:t>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SEQ </w:instrText>
      </w:r>
      <w:r w:rsidRPr="00C77E77">
        <w:rPr>
          <w:rFonts w:ascii="Times New Roman" w:eastAsia="標楷體" w:hAnsi="Times New Roman" w:cs="Times New Roman"/>
          <w:sz w:val="28"/>
          <w:szCs w:val="28"/>
        </w:rPr>
        <w:instrText>表</w:instrText>
      </w:r>
      <w:r w:rsidRPr="00C77E77">
        <w:rPr>
          <w:rFonts w:ascii="Times New Roman" w:eastAsia="標楷體" w:hAnsi="Times New Roman" w:cs="Times New Roman"/>
          <w:sz w:val="28"/>
          <w:szCs w:val="28"/>
        </w:rPr>
        <w:instrText xml:space="preserve"> \* ARABIC </w:instrText>
      </w:r>
      <w:r w:rsidRPr="00C77E77">
        <w:rPr>
          <w:rFonts w:ascii="Times New Roman" w:eastAsia="標楷體" w:hAnsi="Times New Roman" w:cs="Times New Roman"/>
          <w:sz w:val="28"/>
          <w:szCs w:val="28"/>
        </w:rPr>
        <w:fldChar w:fldCharType="separate"/>
      </w:r>
      <w:r w:rsidR="00D45A64" w:rsidRPr="00C77E77">
        <w:rPr>
          <w:rFonts w:ascii="Times New Roman" w:eastAsia="標楷體" w:hAnsi="Times New Roman" w:cs="Times New Roman"/>
          <w:noProof/>
          <w:sz w:val="28"/>
          <w:szCs w:val="28"/>
        </w:rPr>
        <w:t>3</w:t>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t>、訪問團成員名單</w:t>
      </w:r>
    </w:p>
    <w:tbl>
      <w:tblPr>
        <w:tblStyle w:val="af4"/>
        <w:tblW w:w="0" w:type="auto"/>
        <w:jc w:val="center"/>
        <w:tblLook w:val="04A0" w:firstRow="1" w:lastRow="0" w:firstColumn="1" w:lastColumn="0" w:noHBand="0" w:noVBand="1"/>
      </w:tblPr>
      <w:tblGrid>
        <w:gridCol w:w="2765"/>
        <w:gridCol w:w="1236"/>
        <w:gridCol w:w="1516"/>
      </w:tblGrid>
      <w:tr w:rsidR="00D81A16" w:rsidRPr="00C77E77" w:rsidTr="00D81A16">
        <w:trPr>
          <w:jc w:val="center"/>
        </w:trPr>
        <w:tc>
          <w:tcPr>
            <w:tcW w:w="2765" w:type="dxa"/>
          </w:tcPr>
          <w:p w:rsidR="00D81A16" w:rsidRPr="00C77E77" w:rsidRDefault="00D81A16" w:rsidP="00D81A16">
            <w:pPr>
              <w:snapToGrid w:val="0"/>
              <w:spacing w:beforeLines="50" w:before="180" w:afterLines="50" w:after="18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服務單位</w:t>
            </w:r>
          </w:p>
        </w:tc>
        <w:tc>
          <w:tcPr>
            <w:tcW w:w="1236" w:type="dxa"/>
          </w:tcPr>
          <w:p w:rsidR="00D81A16" w:rsidRPr="00C77E77" w:rsidRDefault="00D81A16" w:rsidP="00D81A16">
            <w:pPr>
              <w:snapToGrid w:val="0"/>
              <w:spacing w:beforeLines="50" w:before="180" w:afterLines="50" w:after="18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姓名</w:t>
            </w:r>
          </w:p>
        </w:tc>
        <w:tc>
          <w:tcPr>
            <w:tcW w:w="1516" w:type="dxa"/>
          </w:tcPr>
          <w:p w:rsidR="00D81A16" w:rsidRPr="00C77E77" w:rsidRDefault="00D81A16" w:rsidP="00D81A16">
            <w:pPr>
              <w:snapToGrid w:val="0"/>
              <w:spacing w:beforeLines="50" w:before="180" w:afterLines="50" w:after="18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職稱</w:t>
            </w:r>
          </w:p>
        </w:tc>
      </w:tr>
      <w:tr w:rsidR="00D81A16" w:rsidRPr="00C77E77" w:rsidTr="00D81A16">
        <w:trPr>
          <w:jc w:val="center"/>
        </w:trPr>
        <w:tc>
          <w:tcPr>
            <w:tcW w:w="2765" w:type="dxa"/>
          </w:tcPr>
          <w:p w:rsidR="00D81A16" w:rsidRPr="00C77E77" w:rsidRDefault="00FD0D5A" w:rsidP="00D81A16">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灣經濟研究院</w:t>
            </w:r>
          </w:p>
        </w:tc>
        <w:tc>
          <w:tcPr>
            <w:tcW w:w="1236" w:type="dxa"/>
          </w:tcPr>
          <w:p w:rsidR="00D81A16" w:rsidRPr="00C77E77" w:rsidRDefault="00D81A16" w:rsidP="00D81A16">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譚瑾瑜</w:t>
            </w:r>
          </w:p>
        </w:tc>
        <w:tc>
          <w:tcPr>
            <w:tcW w:w="1516" w:type="dxa"/>
          </w:tcPr>
          <w:p w:rsidR="00D81A16" w:rsidRPr="00C77E77" w:rsidRDefault="00D81A16" w:rsidP="00D81A16">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主任</w:t>
            </w:r>
          </w:p>
        </w:tc>
      </w:tr>
      <w:tr w:rsidR="00D81A16" w:rsidRPr="00C77E77" w:rsidTr="00D81A16">
        <w:trPr>
          <w:jc w:val="center"/>
        </w:trPr>
        <w:tc>
          <w:tcPr>
            <w:tcW w:w="2765" w:type="dxa"/>
          </w:tcPr>
          <w:p w:rsidR="00D81A16" w:rsidRPr="00C77E77" w:rsidRDefault="00FD0D5A" w:rsidP="00D81A16">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灣經濟研究院</w:t>
            </w:r>
          </w:p>
        </w:tc>
        <w:tc>
          <w:tcPr>
            <w:tcW w:w="1236" w:type="dxa"/>
          </w:tcPr>
          <w:p w:rsidR="00D81A16" w:rsidRPr="00C77E77" w:rsidRDefault="00D81A16" w:rsidP="00D81A16">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林祈昱</w:t>
            </w:r>
          </w:p>
        </w:tc>
        <w:tc>
          <w:tcPr>
            <w:tcW w:w="1516" w:type="dxa"/>
          </w:tcPr>
          <w:p w:rsidR="00D81A16" w:rsidRPr="00C77E77" w:rsidRDefault="00D81A16" w:rsidP="00D81A16">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副研究員</w:t>
            </w:r>
          </w:p>
        </w:tc>
      </w:tr>
    </w:tbl>
    <w:p w:rsidR="00D81A16" w:rsidRPr="00C77E77" w:rsidRDefault="00D81A16" w:rsidP="00D81A16">
      <w:pPr>
        <w:snapToGrid w:val="0"/>
        <w:spacing w:beforeLines="50" w:before="180" w:afterLines="50" w:after="180"/>
        <w:jc w:val="both"/>
        <w:rPr>
          <w:rFonts w:ascii="Times New Roman" w:eastAsia="標楷體" w:hAnsi="Times New Roman" w:cs="Times New Roman"/>
          <w:b/>
          <w:sz w:val="28"/>
          <w:szCs w:val="28"/>
        </w:rPr>
      </w:pPr>
    </w:p>
    <w:p w:rsidR="00D81A16" w:rsidRPr="00C77E77" w:rsidRDefault="00D81A16" w:rsidP="00D81A16">
      <w:pPr>
        <w:snapToGrid w:val="0"/>
        <w:spacing w:beforeLines="50" w:before="180" w:afterLines="50" w:after="180" w:line="5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表</w:t>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SEQ </w:instrText>
      </w:r>
      <w:r w:rsidRPr="00C77E77">
        <w:rPr>
          <w:rFonts w:ascii="Times New Roman" w:eastAsia="標楷體" w:hAnsi="Times New Roman" w:cs="Times New Roman"/>
          <w:sz w:val="28"/>
          <w:szCs w:val="28"/>
        </w:rPr>
        <w:instrText>表</w:instrText>
      </w:r>
      <w:r w:rsidRPr="00C77E77">
        <w:rPr>
          <w:rFonts w:ascii="Times New Roman" w:eastAsia="標楷體" w:hAnsi="Times New Roman" w:cs="Times New Roman"/>
          <w:sz w:val="28"/>
          <w:szCs w:val="28"/>
        </w:rPr>
        <w:instrText xml:space="preserve"> \* ARABIC </w:instrText>
      </w:r>
      <w:r w:rsidRPr="00C77E77">
        <w:rPr>
          <w:rFonts w:ascii="Times New Roman" w:eastAsia="標楷體" w:hAnsi="Times New Roman" w:cs="Times New Roman"/>
          <w:sz w:val="28"/>
          <w:szCs w:val="28"/>
        </w:rPr>
        <w:fldChar w:fldCharType="separate"/>
      </w:r>
      <w:r w:rsidR="00D45A64" w:rsidRPr="00C77E77">
        <w:rPr>
          <w:rFonts w:ascii="Times New Roman" w:eastAsia="標楷體" w:hAnsi="Times New Roman" w:cs="Times New Roman"/>
          <w:noProof/>
          <w:sz w:val="28"/>
          <w:szCs w:val="28"/>
        </w:rPr>
        <w:t>4</w:t>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灣經濟研究院訪問團赴印尼」行程</w:t>
      </w:r>
    </w:p>
    <w:tbl>
      <w:tblPr>
        <w:tblStyle w:val="af4"/>
        <w:tblW w:w="8789" w:type="dxa"/>
        <w:jc w:val="center"/>
        <w:tblLook w:val="01E0" w:firstRow="1" w:lastRow="1" w:firstColumn="1" w:lastColumn="1" w:noHBand="0" w:noVBand="0"/>
      </w:tblPr>
      <w:tblGrid>
        <w:gridCol w:w="1321"/>
        <w:gridCol w:w="1371"/>
        <w:gridCol w:w="6097"/>
      </w:tblGrid>
      <w:tr w:rsidR="00D81A16" w:rsidRPr="00C77E77" w:rsidTr="00707BEB">
        <w:trPr>
          <w:trHeight w:val="360"/>
          <w:jc w:val="center"/>
        </w:trPr>
        <w:tc>
          <w:tcPr>
            <w:tcW w:w="1321" w:type="dxa"/>
            <w:hideMark/>
          </w:tcPr>
          <w:p w:rsidR="00D81A16" w:rsidRPr="00C77E77" w:rsidRDefault="00D81A16" w:rsidP="004218E4">
            <w:pPr>
              <w:spacing w:line="400" w:lineRule="exact"/>
              <w:jc w:val="center"/>
              <w:rPr>
                <w:rFonts w:ascii="Times New Roman" w:eastAsia="標楷體" w:hAnsi="Times New Roman" w:cs="Times New Roman"/>
                <w:b/>
                <w:color w:val="000000"/>
                <w:sz w:val="28"/>
                <w:szCs w:val="28"/>
              </w:rPr>
            </w:pPr>
            <w:r w:rsidRPr="00C77E77">
              <w:rPr>
                <w:rFonts w:ascii="Times New Roman" w:eastAsia="標楷體" w:hAnsi="Times New Roman" w:cs="Times New Roman"/>
                <w:b/>
                <w:color w:val="000000"/>
                <w:sz w:val="28"/>
                <w:szCs w:val="28"/>
              </w:rPr>
              <w:t>日期</w:t>
            </w:r>
          </w:p>
        </w:tc>
        <w:tc>
          <w:tcPr>
            <w:tcW w:w="1371" w:type="dxa"/>
            <w:hideMark/>
          </w:tcPr>
          <w:p w:rsidR="00D81A16" w:rsidRPr="00C77E77" w:rsidRDefault="00D81A16" w:rsidP="004218E4">
            <w:pPr>
              <w:spacing w:line="400" w:lineRule="exact"/>
              <w:jc w:val="center"/>
              <w:rPr>
                <w:rFonts w:ascii="Times New Roman" w:eastAsia="標楷體" w:hAnsi="Times New Roman" w:cs="Times New Roman"/>
                <w:b/>
                <w:color w:val="000000"/>
                <w:sz w:val="28"/>
                <w:szCs w:val="28"/>
              </w:rPr>
            </w:pPr>
            <w:r w:rsidRPr="00C77E77">
              <w:rPr>
                <w:rFonts w:ascii="Times New Roman" w:eastAsia="標楷體" w:hAnsi="Times New Roman" w:cs="Times New Roman"/>
                <w:b/>
                <w:color w:val="000000"/>
                <w:sz w:val="28"/>
                <w:szCs w:val="28"/>
              </w:rPr>
              <w:t>時間</w:t>
            </w:r>
          </w:p>
        </w:tc>
        <w:tc>
          <w:tcPr>
            <w:tcW w:w="6097" w:type="dxa"/>
            <w:hideMark/>
          </w:tcPr>
          <w:p w:rsidR="00D81A16" w:rsidRPr="00C77E77" w:rsidRDefault="00D81A16" w:rsidP="004218E4">
            <w:pPr>
              <w:spacing w:line="400" w:lineRule="exact"/>
              <w:jc w:val="center"/>
              <w:rPr>
                <w:rFonts w:ascii="Times New Roman" w:eastAsia="標楷體" w:hAnsi="Times New Roman" w:cs="Times New Roman"/>
                <w:b/>
                <w:color w:val="000000"/>
                <w:sz w:val="28"/>
                <w:szCs w:val="28"/>
              </w:rPr>
            </w:pPr>
            <w:r w:rsidRPr="00C77E77">
              <w:rPr>
                <w:rFonts w:ascii="Times New Roman" w:eastAsia="標楷體" w:hAnsi="Times New Roman" w:cs="Times New Roman"/>
                <w:b/>
                <w:color w:val="000000"/>
                <w:sz w:val="28"/>
                <w:szCs w:val="28"/>
              </w:rPr>
              <w:t>活動內容</w:t>
            </w:r>
          </w:p>
        </w:tc>
      </w:tr>
      <w:tr w:rsidR="00D81A16" w:rsidRPr="00C77E77" w:rsidTr="00707BEB">
        <w:trPr>
          <w:trHeight w:val="481"/>
          <w:jc w:val="center"/>
        </w:trPr>
        <w:tc>
          <w:tcPr>
            <w:tcW w:w="1321" w:type="dxa"/>
            <w:vMerge w:val="restart"/>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10/03(</w:t>
            </w:r>
            <w:r w:rsidRPr="00C77E77">
              <w:rPr>
                <w:rFonts w:ascii="Times New Roman" w:eastAsia="標楷體" w:hAnsi="Times New Roman" w:cs="Times New Roman"/>
                <w:color w:val="000000"/>
                <w:sz w:val="28"/>
                <w:szCs w:val="28"/>
              </w:rPr>
              <w:t>一</w:t>
            </w:r>
            <w:r w:rsidRPr="00C77E77">
              <w:rPr>
                <w:rFonts w:ascii="Times New Roman" w:eastAsia="標楷體" w:hAnsi="Times New Roman" w:cs="Times New Roman"/>
                <w:color w:val="000000"/>
                <w:sz w:val="28"/>
                <w:szCs w:val="28"/>
              </w:rPr>
              <w:t>)</w:t>
            </w:r>
          </w:p>
        </w:tc>
        <w:tc>
          <w:tcPr>
            <w:tcW w:w="1371" w:type="dxa"/>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上午</w:t>
            </w:r>
          </w:p>
        </w:tc>
        <w:tc>
          <w:tcPr>
            <w:tcW w:w="6097" w:type="dxa"/>
          </w:tcPr>
          <w:p w:rsidR="00D81A16" w:rsidRPr="00C77E77" w:rsidRDefault="00FD0D5A"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臺</w:t>
            </w:r>
            <w:r w:rsidR="00D81A16" w:rsidRPr="00C77E77">
              <w:rPr>
                <w:rFonts w:ascii="Times New Roman" w:eastAsia="標楷體" w:hAnsi="Times New Roman" w:cs="Times New Roman"/>
                <w:color w:val="000000"/>
                <w:sz w:val="28"/>
                <w:szCs w:val="28"/>
              </w:rPr>
              <w:t>經院訪團</w:t>
            </w:r>
            <w:r w:rsidR="00D81A16" w:rsidRPr="00C77E77">
              <w:rPr>
                <w:rFonts w:ascii="Times New Roman" w:eastAsia="標楷體" w:hAnsi="Times New Roman" w:cs="Times New Roman"/>
                <w:color w:val="000000"/>
                <w:sz w:val="28"/>
                <w:szCs w:val="28"/>
              </w:rPr>
              <w:t xml:space="preserve"> </w:t>
            </w:r>
            <w:r w:rsidR="00D81A16" w:rsidRPr="00C77E77">
              <w:rPr>
                <w:rFonts w:ascii="Times New Roman" w:eastAsia="標楷體" w:hAnsi="Times New Roman" w:cs="Times New Roman"/>
                <w:color w:val="000000"/>
                <w:sz w:val="28"/>
                <w:szCs w:val="28"/>
              </w:rPr>
              <w:t>搭乘華航【</w:t>
            </w:r>
            <w:r w:rsidR="00D81A16" w:rsidRPr="00C77E77">
              <w:rPr>
                <w:rFonts w:ascii="Times New Roman" w:eastAsia="標楷體" w:hAnsi="Times New Roman" w:cs="Times New Roman"/>
                <w:color w:val="000000"/>
                <w:sz w:val="28"/>
                <w:szCs w:val="28"/>
              </w:rPr>
              <w:t>BR237</w:t>
            </w:r>
            <w:r w:rsidR="00D81A16" w:rsidRPr="00C77E77">
              <w:rPr>
                <w:rFonts w:ascii="Times New Roman" w:eastAsia="標楷體" w:hAnsi="Times New Roman" w:cs="Times New Roman"/>
                <w:color w:val="000000"/>
                <w:sz w:val="28"/>
                <w:szCs w:val="28"/>
              </w:rPr>
              <w:t>】班機飛雅加達</w:t>
            </w:r>
          </w:p>
          <w:p w:rsidR="00D81A16" w:rsidRPr="00C77E77" w:rsidRDefault="00FD0D5A"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臺</w:t>
            </w:r>
            <w:r w:rsidR="00D81A16" w:rsidRPr="00C77E77">
              <w:rPr>
                <w:rFonts w:ascii="Times New Roman" w:eastAsia="標楷體" w:hAnsi="Times New Roman" w:cs="Times New Roman"/>
                <w:color w:val="000000"/>
                <w:sz w:val="28"/>
                <w:szCs w:val="28"/>
              </w:rPr>
              <w:t>北【</w:t>
            </w:r>
            <w:r w:rsidR="00D81A16" w:rsidRPr="00C77E77">
              <w:rPr>
                <w:rFonts w:ascii="Times New Roman" w:eastAsia="標楷體" w:hAnsi="Times New Roman" w:cs="Times New Roman"/>
                <w:color w:val="000000"/>
                <w:sz w:val="28"/>
                <w:szCs w:val="28"/>
              </w:rPr>
              <w:t>09</w:t>
            </w:r>
            <w:r w:rsidR="00D81A16" w:rsidRPr="00C77E77">
              <w:rPr>
                <w:rFonts w:ascii="Times New Roman" w:eastAsia="標楷體" w:hAnsi="Times New Roman" w:cs="Times New Roman"/>
                <w:color w:val="000000"/>
                <w:sz w:val="28"/>
                <w:szCs w:val="28"/>
              </w:rPr>
              <w:t>：</w:t>
            </w:r>
            <w:r w:rsidR="00D81A16" w:rsidRPr="00C77E77">
              <w:rPr>
                <w:rFonts w:ascii="Times New Roman" w:eastAsia="標楷體" w:hAnsi="Times New Roman" w:cs="Times New Roman"/>
                <w:color w:val="000000"/>
                <w:sz w:val="28"/>
                <w:szCs w:val="28"/>
              </w:rPr>
              <w:t>00 pm</w:t>
            </w:r>
            <w:r w:rsidR="00D81A16" w:rsidRPr="00C77E77">
              <w:rPr>
                <w:rFonts w:ascii="Times New Roman" w:eastAsia="標楷體" w:hAnsi="Times New Roman" w:cs="Times New Roman"/>
                <w:color w:val="000000"/>
                <w:sz w:val="28"/>
                <w:szCs w:val="28"/>
              </w:rPr>
              <w:t>】飛抵雅加達【</w:t>
            </w:r>
            <w:r w:rsidR="00D81A16" w:rsidRPr="00C77E77">
              <w:rPr>
                <w:rFonts w:ascii="Times New Roman" w:eastAsia="標楷體" w:hAnsi="Times New Roman" w:cs="Times New Roman"/>
                <w:color w:val="000000"/>
                <w:sz w:val="28"/>
                <w:szCs w:val="28"/>
              </w:rPr>
              <w:t>13</w:t>
            </w:r>
            <w:r w:rsidR="00D81A16" w:rsidRPr="00C77E77">
              <w:rPr>
                <w:rFonts w:ascii="Times New Roman" w:eastAsia="標楷體" w:hAnsi="Times New Roman" w:cs="Times New Roman"/>
                <w:color w:val="000000"/>
                <w:sz w:val="28"/>
                <w:szCs w:val="28"/>
              </w:rPr>
              <w:t>：</w:t>
            </w:r>
            <w:r w:rsidR="00D81A16" w:rsidRPr="00C77E77">
              <w:rPr>
                <w:rFonts w:ascii="Times New Roman" w:eastAsia="標楷體" w:hAnsi="Times New Roman" w:cs="Times New Roman"/>
                <w:color w:val="000000"/>
                <w:sz w:val="28"/>
                <w:szCs w:val="28"/>
              </w:rPr>
              <w:t>20 pm</w:t>
            </w:r>
            <w:r w:rsidR="00D81A16" w:rsidRPr="00C77E77">
              <w:rPr>
                <w:rFonts w:ascii="Times New Roman" w:eastAsia="標楷體" w:hAnsi="Times New Roman" w:cs="Times New Roman"/>
                <w:color w:val="000000"/>
                <w:sz w:val="28"/>
                <w:szCs w:val="28"/>
              </w:rPr>
              <w:t>】</w:t>
            </w:r>
          </w:p>
        </w:tc>
      </w:tr>
      <w:tr w:rsidR="00D81A16" w:rsidRPr="00C77E77" w:rsidTr="00707BEB">
        <w:trPr>
          <w:trHeight w:val="260"/>
          <w:jc w:val="center"/>
        </w:trPr>
        <w:tc>
          <w:tcPr>
            <w:tcW w:w="1321" w:type="dxa"/>
            <w:vMerge/>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hideMark/>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下午</w:t>
            </w:r>
          </w:p>
        </w:tc>
        <w:tc>
          <w:tcPr>
            <w:tcW w:w="6097" w:type="dxa"/>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check in</w:t>
            </w:r>
            <w:r w:rsidRPr="00C77E77">
              <w:rPr>
                <w:rFonts w:ascii="Times New Roman" w:eastAsia="標楷體" w:hAnsi="Times New Roman" w:cs="Times New Roman"/>
                <w:color w:val="000000"/>
                <w:sz w:val="28"/>
                <w:szCs w:val="28"/>
              </w:rPr>
              <w:t>飯店</w:t>
            </w:r>
          </w:p>
        </w:tc>
      </w:tr>
      <w:tr w:rsidR="00D81A16" w:rsidRPr="00C77E77" w:rsidTr="00707BEB">
        <w:trPr>
          <w:trHeight w:val="260"/>
          <w:jc w:val="center"/>
        </w:trPr>
        <w:tc>
          <w:tcPr>
            <w:tcW w:w="1321" w:type="dxa"/>
            <w:vMerge/>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1630</w:t>
            </w:r>
          </w:p>
        </w:tc>
        <w:tc>
          <w:tcPr>
            <w:tcW w:w="6097" w:type="dxa"/>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拜會</w:t>
            </w:r>
            <w:r w:rsidRPr="00C77E77">
              <w:rPr>
                <w:rFonts w:ascii="Times New Roman" w:eastAsia="標楷體" w:hAnsi="Times New Roman" w:cs="Times New Roman"/>
                <w:sz w:val="28"/>
                <w:szCs w:val="28"/>
              </w:rPr>
              <w:t>雅加達</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貿中心廖主任俊生</w:t>
            </w:r>
          </w:p>
        </w:tc>
      </w:tr>
      <w:tr w:rsidR="00D81A16" w:rsidRPr="00C77E77" w:rsidTr="00707BEB">
        <w:trPr>
          <w:trHeight w:val="260"/>
          <w:jc w:val="center"/>
        </w:trPr>
        <w:tc>
          <w:tcPr>
            <w:tcW w:w="1321" w:type="dxa"/>
            <w:vMerge/>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1830</w:t>
            </w:r>
          </w:p>
        </w:tc>
        <w:tc>
          <w:tcPr>
            <w:tcW w:w="6097" w:type="dxa"/>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與</w:t>
            </w:r>
            <w:r w:rsidRPr="00C77E77">
              <w:rPr>
                <w:rFonts w:ascii="Times New Roman" w:eastAsia="標楷體" w:hAnsi="Times New Roman" w:cs="Times New Roman"/>
                <w:sz w:val="28"/>
                <w:szCs w:val="28"/>
              </w:rPr>
              <w:t>駐印尼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北經濟貿易代表處經濟組廖浩志一等秘書餐敘</w:t>
            </w:r>
          </w:p>
        </w:tc>
      </w:tr>
      <w:tr w:rsidR="00D81A16" w:rsidRPr="00C77E77" w:rsidTr="00707BEB">
        <w:trPr>
          <w:trHeight w:val="260"/>
          <w:jc w:val="center"/>
        </w:trPr>
        <w:tc>
          <w:tcPr>
            <w:tcW w:w="1321" w:type="dxa"/>
            <w:vMerge/>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住宿</w:t>
            </w:r>
          </w:p>
        </w:tc>
        <w:tc>
          <w:tcPr>
            <w:tcW w:w="6097" w:type="dxa"/>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飯店</w:t>
            </w:r>
          </w:p>
        </w:tc>
      </w:tr>
      <w:tr w:rsidR="00D81A16" w:rsidRPr="00C77E77" w:rsidTr="00707BEB">
        <w:trPr>
          <w:trHeight w:val="353"/>
          <w:jc w:val="center"/>
        </w:trPr>
        <w:tc>
          <w:tcPr>
            <w:tcW w:w="1321" w:type="dxa"/>
            <w:vMerge w:val="restart"/>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10/04(</w:t>
            </w:r>
            <w:r w:rsidRPr="00C77E77">
              <w:rPr>
                <w:rFonts w:ascii="Times New Roman" w:eastAsia="標楷體" w:hAnsi="Times New Roman" w:cs="Times New Roman"/>
                <w:color w:val="000000"/>
                <w:sz w:val="28"/>
                <w:szCs w:val="28"/>
              </w:rPr>
              <w:t>二</w:t>
            </w:r>
            <w:r w:rsidRPr="00C77E77">
              <w:rPr>
                <w:rFonts w:ascii="Times New Roman" w:eastAsia="標楷體" w:hAnsi="Times New Roman" w:cs="Times New Roman"/>
                <w:color w:val="000000"/>
                <w:sz w:val="28"/>
                <w:szCs w:val="28"/>
              </w:rPr>
              <w:t>)</w:t>
            </w:r>
          </w:p>
        </w:tc>
        <w:tc>
          <w:tcPr>
            <w:tcW w:w="1371" w:type="dxa"/>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上午</w:t>
            </w:r>
          </w:p>
        </w:tc>
        <w:tc>
          <w:tcPr>
            <w:tcW w:w="6097" w:type="dxa"/>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sz w:val="28"/>
                <w:szCs w:val="28"/>
              </w:rPr>
              <w:t>出發往萬隆（單趟車程約</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小時）</w:t>
            </w:r>
          </w:p>
        </w:tc>
      </w:tr>
      <w:tr w:rsidR="00D81A16" w:rsidRPr="00C77E77" w:rsidTr="00707BEB">
        <w:trPr>
          <w:trHeight w:val="353"/>
          <w:jc w:val="center"/>
        </w:trPr>
        <w:tc>
          <w:tcPr>
            <w:tcW w:w="0" w:type="auto"/>
            <w:vMerge/>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hideMark/>
          </w:tcPr>
          <w:p w:rsidR="00D81A16" w:rsidRPr="00C77E77" w:rsidRDefault="00D81A16" w:rsidP="004218E4">
            <w:pPr>
              <w:spacing w:line="4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下午</w:t>
            </w:r>
          </w:p>
        </w:tc>
        <w:tc>
          <w:tcPr>
            <w:tcW w:w="6097" w:type="dxa"/>
            <w:hideMark/>
          </w:tcPr>
          <w:p w:rsidR="00D81A16" w:rsidRPr="00C77E77" w:rsidRDefault="00D81A16" w:rsidP="004218E4">
            <w:pPr>
              <w:spacing w:line="4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拜會萬隆臺灣工商聯誼會李理事長政德、張秘書展銘</w:t>
            </w:r>
          </w:p>
        </w:tc>
      </w:tr>
      <w:tr w:rsidR="00D81A16" w:rsidRPr="00C77E77" w:rsidTr="00707BEB">
        <w:trPr>
          <w:trHeight w:val="353"/>
          <w:jc w:val="center"/>
        </w:trPr>
        <w:tc>
          <w:tcPr>
            <w:tcW w:w="0" w:type="auto"/>
            <w:vMerge/>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hideMark/>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住宿</w:t>
            </w:r>
          </w:p>
        </w:tc>
        <w:tc>
          <w:tcPr>
            <w:tcW w:w="6097" w:type="dxa"/>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飯店</w:t>
            </w:r>
          </w:p>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r>
      <w:tr w:rsidR="00D81A16" w:rsidRPr="00C77E77" w:rsidTr="00707BEB">
        <w:trPr>
          <w:trHeight w:val="380"/>
          <w:jc w:val="center"/>
        </w:trPr>
        <w:tc>
          <w:tcPr>
            <w:tcW w:w="1321" w:type="dxa"/>
            <w:vMerge w:val="restart"/>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10/05(</w:t>
            </w:r>
            <w:r w:rsidRPr="00C77E77">
              <w:rPr>
                <w:rFonts w:ascii="Times New Roman" w:eastAsia="標楷體" w:hAnsi="Times New Roman" w:cs="Times New Roman"/>
                <w:color w:val="000000"/>
                <w:sz w:val="28"/>
                <w:szCs w:val="28"/>
              </w:rPr>
              <w:t>三</w:t>
            </w:r>
            <w:r w:rsidRPr="00C77E77">
              <w:rPr>
                <w:rFonts w:ascii="Times New Roman" w:eastAsia="標楷體" w:hAnsi="Times New Roman" w:cs="Times New Roman"/>
                <w:color w:val="000000"/>
                <w:sz w:val="28"/>
                <w:szCs w:val="28"/>
              </w:rPr>
              <w:t>)</w:t>
            </w:r>
          </w:p>
        </w:tc>
        <w:tc>
          <w:tcPr>
            <w:tcW w:w="1371" w:type="dxa"/>
            <w:hideMark/>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上午</w:t>
            </w:r>
          </w:p>
        </w:tc>
        <w:tc>
          <w:tcPr>
            <w:tcW w:w="6097" w:type="dxa"/>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sz w:val="28"/>
                <w:szCs w:val="28"/>
              </w:rPr>
              <w:t>拜會雅加達臺灣工商聯誼</w:t>
            </w:r>
            <w:r w:rsidRPr="00C77E77">
              <w:rPr>
                <w:rFonts w:ascii="Times New Roman" w:eastAsia="標楷體" w:hAnsi="Times New Roman" w:cs="Times New Roman"/>
                <w:color w:val="000000" w:themeColor="text1"/>
                <w:sz w:val="28"/>
                <w:szCs w:val="28"/>
              </w:rPr>
              <w:t>總會周總會長宗和、賴理事長維信、曾秘書長裕華、黃財務長俊傑</w:t>
            </w:r>
          </w:p>
        </w:tc>
      </w:tr>
      <w:tr w:rsidR="00D81A16" w:rsidRPr="00C77E77" w:rsidTr="00707BEB">
        <w:trPr>
          <w:trHeight w:val="340"/>
          <w:jc w:val="center"/>
        </w:trPr>
        <w:tc>
          <w:tcPr>
            <w:tcW w:w="0" w:type="auto"/>
            <w:vMerge/>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hideMark/>
          </w:tcPr>
          <w:p w:rsidR="00D81A16" w:rsidRPr="00C77E77" w:rsidRDefault="00D81A16" w:rsidP="004218E4">
            <w:pPr>
              <w:spacing w:line="400" w:lineRule="exact"/>
              <w:jc w:val="center"/>
              <w:rPr>
                <w:rFonts w:ascii="Times New Roman" w:eastAsia="標楷體" w:hAnsi="Times New Roman" w:cs="Times New Roman"/>
                <w:sz w:val="28"/>
                <w:szCs w:val="28"/>
              </w:rPr>
            </w:pPr>
            <w:r w:rsidRPr="00C77E77">
              <w:rPr>
                <w:rFonts w:ascii="Times New Roman" w:eastAsia="標楷體" w:hAnsi="Times New Roman" w:cs="Times New Roman"/>
                <w:color w:val="000000"/>
                <w:sz w:val="28"/>
                <w:szCs w:val="28"/>
              </w:rPr>
              <w:t>下午</w:t>
            </w:r>
          </w:p>
        </w:tc>
        <w:tc>
          <w:tcPr>
            <w:tcW w:w="6097" w:type="dxa"/>
            <w:hideMark/>
          </w:tcPr>
          <w:p w:rsidR="00D81A16" w:rsidRPr="00C77E77" w:rsidRDefault="00D81A16" w:rsidP="004218E4">
            <w:pPr>
              <w:spacing w:line="400" w:lineRule="exact"/>
              <w:jc w:val="both"/>
              <w:rPr>
                <w:rFonts w:ascii="Times New Roman" w:eastAsia="標楷體" w:hAnsi="Times New Roman" w:cs="Times New Roman"/>
                <w:sz w:val="28"/>
                <w:szCs w:val="28"/>
              </w:rPr>
            </w:pPr>
            <w:r w:rsidRPr="00C77E77">
              <w:rPr>
                <w:rFonts w:ascii="Times New Roman" w:eastAsia="標楷體" w:hAnsi="Times New Roman" w:cs="Times New Roman"/>
                <w:color w:val="000000"/>
                <w:sz w:val="28"/>
                <w:szCs w:val="28"/>
              </w:rPr>
              <w:t>拜會</w:t>
            </w:r>
            <w:r w:rsidRPr="00C77E77">
              <w:rPr>
                <w:rFonts w:ascii="Times New Roman" w:eastAsia="標楷體" w:hAnsi="Times New Roman" w:cs="Times New Roman"/>
                <w:sz w:val="28"/>
                <w:szCs w:val="28"/>
              </w:rPr>
              <w:t>中國信託銀行</w:t>
            </w:r>
            <w:r w:rsidRPr="00C77E77">
              <w:rPr>
                <w:rFonts w:ascii="Times New Roman" w:eastAsia="標楷體" w:hAnsi="Times New Roman" w:cs="Times New Roman"/>
                <w:sz w:val="28"/>
                <w:szCs w:val="28"/>
              </w:rPr>
              <w:t>(CTBC)</w:t>
            </w:r>
            <w:r w:rsidRPr="00C77E77">
              <w:rPr>
                <w:rFonts w:ascii="Times New Roman" w:eastAsia="標楷體" w:hAnsi="Times New Roman" w:cs="Times New Roman"/>
                <w:sz w:val="28"/>
                <w:szCs w:val="28"/>
              </w:rPr>
              <w:t>石總經理家林</w:t>
            </w:r>
          </w:p>
        </w:tc>
      </w:tr>
      <w:tr w:rsidR="00D81A16" w:rsidRPr="00C77E77" w:rsidTr="00707BEB">
        <w:trPr>
          <w:trHeight w:val="340"/>
          <w:jc w:val="center"/>
        </w:trPr>
        <w:tc>
          <w:tcPr>
            <w:tcW w:w="0" w:type="auto"/>
            <w:vMerge/>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hideMark/>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住宿</w:t>
            </w:r>
          </w:p>
        </w:tc>
        <w:tc>
          <w:tcPr>
            <w:tcW w:w="6097" w:type="dxa"/>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飯店</w:t>
            </w:r>
          </w:p>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r>
      <w:tr w:rsidR="00D81A16" w:rsidRPr="00C77E77" w:rsidTr="00707BEB">
        <w:trPr>
          <w:trHeight w:val="435"/>
          <w:jc w:val="center"/>
        </w:trPr>
        <w:tc>
          <w:tcPr>
            <w:tcW w:w="1321" w:type="dxa"/>
            <w:vMerge w:val="restart"/>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lastRenderedPageBreak/>
              <w:t>10/06(</w:t>
            </w:r>
            <w:r w:rsidRPr="00C77E77">
              <w:rPr>
                <w:rFonts w:ascii="Times New Roman" w:eastAsia="標楷體" w:hAnsi="Times New Roman" w:cs="Times New Roman"/>
                <w:color w:val="000000"/>
                <w:sz w:val="28"/>
                <w:szCs w:val="28"/>
              </w:rPr>
              <w:t>四</w:t>
            </w:r>
            <w:r w:rsidRPr="00C77E77">
              <w:rPr>
                <w:rFonts w:ascii="Times New Roman" w:eastAsia="標楷體" w:hAnsi="Times New Roman" w:cs="Times New Roman"/>
                <w:color w:val="000000"/>
                <w:sz w:val="28"/>
                <w:szCs w:val="28"/>
              </w:rPr>
              <w:t>)</w:t>
            </w:r>
          </w:p>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hideMark/>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中午</w:t>
            </w:r>
          </w:p>
        </w:tc>
        <w:tc>
          <w:tcPr>
            <w:tcW w:w="6097" w:type="dxa"/>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sz w:val="28"/>
                <w:szCs w:val="28"/>
              </w:rPr>
              <w:t>拜會哈比比研究中心（</w:t>
            </w:r>
            <w:r w:rsidRPr="00C77E77">
              <w:rPr>
                <w:rFonts w:ascii="Times New Roman" w:eastAsia="標楷體" w:hAnsi="Times New Roman" w:cs="Times New Roman"/>
                <w:sz w:val="28"/>
                <w:szCs w:val="28"/>
              </w:rPr>
              <w:t>Habibie Center</w:t>
            </w:r>
            <w:r w:rsidRPr="00C77E77">
              <w:rPr>
                <w:rFonts w:ascii="Times New Roman" w:eastAsia="標楷體" w:hAnsi="Times New Roman" w:cs="Times New Roman"/>
                <w:sz w:val="28"/>
                <w:szCs w:val="28"/>
              </w:rPr>
              <w:t>）研究員</w:t>
            </w:r>
            <w:r w:rsidRPr="00C77E77">
              <w:rPr>
                <w:rFonts w:ascii="Times New Roman" w:eastAsia="標楷體" w:hAnsi="Times New Roman" w:cs="Times New Roman"/>
                <w:sz w:val="28"/>
                <w:szCs w:val="28"/>
              </w:rPr>
              <w:t>Alexander C. Chandra</w:t>
            </w:r>
            <w:r w:rsidRPr="00C77E77">
              <w:rPr>
                <w:rFonts w:ascii="Times New Roman" w:eastAsia="標楷體" w:hAnsi="Times New Roman" w:cs="Times New Roman"/>
                <w:sz w:val="28"/>
                <w:szCs w:val="28"/>
              </w:rPr>
              <w:t>、印尼漢學研究中心（</w:t>
            </w:r>
            <w:r w:rsidRPr="00C77E77">
              <w:rPr>
                <w:rFonts w:ascii="Times New Roman" w:eastAsia="標楷體" w:hAnsi="Times New Roman" w:cs="Times New Roman"/>
                <w:sz w:val="28"/>
                <w:szCs w:val="28"/>
              </w:rPr>
              <w:t>Center for Chinese Studies-Indonesia</w:t>
            </w:r>
            <w:r w:rsidRPr="00C77E77">
              <w:rPr>
                <w:rFonts w:ascii="Times New Roman" w:eastAsia="標楷體" w:hAnsi="Times New Roman" w:cs="Times New Roman"/>
                <w:sz w:val="28"/>
                <w:szCs w:val="28"/>
              </w:rPr>
              <w:t>）主任</w:t>
            </w:r>
            <w:r w:rsidRPr="00C77E77">
              <w:rPr>
                <w:rFonts w:ascii="Times New Roman" w:eastAsia="標楷體" w:hAnsi="Times New Roman" w:cs="Times New Roman"/>
                <w:sz w:val="28"/>
                <w:szCs w:val="28"/>
              </w:rPr>
              <w:t>Rene L. Pattiradjawane</w:t>
            </w:r>
          </w:p>
        </w:tc>
      </w:tr>
      <w:tr w:rsidR="00D81A16" w:rsidRPr="00C77E77" w:rsidTr="00707BEB">
        <w:trPr>
          <w:trHeight w:val="880"/>
          <w:jc w:val="center"/>
        </w:trPr>
        <w:tc>
          <w:tcPr>
            <w:tcW w:w="0" w:type="auto"/>
            <w:vMerge/>
            <w:hideMark/>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hideMark/>
          </w:tcPr>
          <w:p w:rsidR="00D81A16" w:rsidRPr="00C77E77" w:rsidRDefault="00D81A16" w:rsidP="004218E4">
            <w:pPr>
              <w:spacing w:line="400" w:lineRule="exact"/>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t>住宿</w:t>
            </w:r>
          </w:p>
        </w:tc>
        <w:tc>
          <w:tcPr>
            <w:tcW w:w="6097" w:type="dxa"/>
            <w:hideMark/>
          </w:tcPr>
          <w:p w:rsidR="00D81A16" w:rsidRPr="00C77E77" w:rsidRDefault="00D81A16" w:rsidP="004218E4">
            <w:pPr>
              <w:spacing w:line="4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飯店</w:t>
            </w:r>
          </w:p>
        </w:tc>
      </w:tr>
      <w:tr w:rsidR="00D81A16" w:rsidRPr="00C77E77" w:rsidTr="00707BEB">
        <w:trPr>
          <w:trHeight w:val="435"/>
          <w:jc w:val="center"/>
        </w:trPr>
        <w:tc>
          <w:tcPr>
            <w:tcW w:w="1321" w:type="dxa"/>
            <w:vMerge w:val="restart"/>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10/07(</w:t>
            </w:r>
            <w:r w:rsidRPr="00C77E77">
              <w:rPr>
                <w:rFonts w:ascii="Times New Roman" w:eastAsia="標楷體" w:hAnsi="Times New Roman" w:cs="Times New Roman"/>
                <w:color w:val="000000"/>
                <w:sz w:val="28"/>
                <w:szCs w:val="28"/>
              </w:rPr>
              <w:t>五</w:t>
            </w:r>
            <w:r w:rsidRPr="00C77E77">
              <w:rPr>
                <w:rFonts w:ascii="Times New Roman" w:eastAsia="標楷體" w:hAnsi="Times New Roman" w:cs="Times New Roman"/>
                <w:color w:val="000000"/>
                <w:sz w:val="28"/>
                <w:szCs w:val="28"/>
              </w:rPr>
              <w:t>)</w:t>
            </w:r>
          </w:p>
        </w:tc>
        <w:tc>
          <w:tcPr>
            <w:tcW w:w="1371" w:type="dxa"/>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上午</w:t>
            </w:r>
          </w:p>
        </w:tc>
        <w:tc>
          <w:tcPr>
            <w:tcW w:w="6097" w:type="dxa"/>
          </w:tcPr>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拜會</w:t>
            </w:r>
            <w:r w:rsidRPr="00C77E77">
              <w:rPr>
                <w:rFonts w:ascii="Times New Roman" w:eastAsia="標楷體" w:hAnsi="Times New Roman" w:cs="Times New Roman"/>
                <w:sz w:val="28"/>
                <w:szCs w:val="28"/>
              </w:rPr>
              <w:t>駐印尼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北經濟貿易代表處副代表兼經濟組組長蔡允中</w:t>
            </w:r>
          </w:p>
        </w:tc>
      </w:tr>
      <w:tr w:rsidR="00D81A16" w:rsidRPr="00C77E77" w:rsidTr="00707BEB">
        <w:trPr>
          <w:trHeight w:val="1465"/>
          <w:jc w:val="center"/>
        </w:trPr>
        <w:tc>
          <w:tcPr>
            <w:tcW w:w="1321" w:type="dxa"/>
            <w:vMerge/>
          </w:tcPr>
          <w:p w:rsidR="00D81A16" w:rsidRPr="00C77E77" w:rsidRDefault="00D81A16" w:rsidP="004218E4">
            <w:pPr>
              <w:spacing w:line="400" w:lineRule="exact"/>
              <w:jc w:val="both"/>
              <w:rPr>
                <w:rFonts w:ascii="Times New Roman" w:eastAsia="標楷體" w:hAnsi="Times New Roman" w:cs="Times New Roman"/>
                <w:color w:val="000000"/>
                <w:sz w:val="28"/>
                <w:szCs w:val="28"/>
              </w:rPr>
            </w:pPr>
          </w:p>
        </w:tc>
        <w:tc>
          <w:tcPr>
            <w:tcW w:w="1371" w:type="dxa"/>
          </w:tcPr>
          <w:p w:rsidR="00D81A16" w:rsidRPr="00C77E77" w:rsidRDefault="00D81A16" w:rsidP="004218E4">
            <w:pPr>
              <w:spacing w:line="400" w:lineRule="exact"/>
              <w:jc w:val="center"/>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10:00pm</w:t>
            </w:r>
          </w:p>
        </w:tc>
        <w:tc>
          <w:tcPr>
            <w:tcW w:w="6097" w:type="dxa"/>
          </w:tcPr>
          <w:p w:rsidR="00D81A16" w:rsidRPr="00C77E77" w:rsidRDefault="00FD0D5A"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臺</w:t>
            </w:r>
            <w:r w:rsidR="00D81A16" w:rsidRPr="00C77E77">
              <w:rPr>
                <w:rFonts w:ascii="Times New Roman" w:eastAsia="標楷體" w:hAnsi="Times New Roman" w:cs="Times New Roman"/>
                <w:color w:val="000000"/>
                <w:sz w:val="28"/>
                <w:szCs w:val="28"/>
              </w:rPr>
              <w:t>經院譚瑾瑜主任、林祈昱搭乘長榮【</w:t>
            </w:r>
            <w:r w:rsidR="00D81A16" w:rsidRPr="00C77E77">
              <w:rPr>
                <w:rFonts w:ascii="Times New Roman" w:eastAsia="標楷體" w:hAnsi="Times New Roman" w:cs="Times New Roman"/>
                <w:color w:val="000000"/>
                <w:sz w:val="28"/>
                <w:szCs w:val="28"/>
              </w:rPr>
              <w:t>BR238</w:t>
            </w:r>
            <w:r w:rsidR="00D81A16" w:rsidRPr="00C77E77">
              <w:rPr>
                <w:rFonts w:ascii="Times New Roman" w:eastAsia="標楷體" w:hAnsi="Times New Roman" w:cs="Times New Roman"/>
                <w:color w:val="000000"/>
                <w:sz w:val="28"/>
                <w:szCs w:val="28"/>
              </w:rPr>
              <w:t>】班機飛</w:t>
            </w:r>
            <w:r w:rsidRPr="00C77E77">
              <w:rPr>
                <w:rFonts w:ascii="Times New Roman" w:eastAsia="標楷體" w:hAnsi="Times New Roman" w:cs="Times New Roman"/>
                <w:color w:val="000000"/>
                <w:sz w:val="28"/>
                <w:szCs w:val="28"/>
              </w:rPr>
              <w:t>臺</w:t>
            </w:r>
            <w:r w:rsidR="00D81A16" w:rsidRPr="00C77E77">
              <w:rPr>
                <w:rFonts w:ascii="Times New Roman" w:eastAsia="標楷體" w:hAnsi="Times New Roman" w:cs="Times New Roman"/>
                <w:color w:val="000000"/>
                <w:sz w:val="28"/>
                <w:szCs w:val="28"/>
              </w:rPr>
              <w:t>北</w:t>
            </w:r>
          </w:p>
          <w:p w:rsidR="00D81A16" w:rsidRPr="00C77E77" w:rsidRDefault="00D81A16" w:rsidP="004218E4">
            <w:pPr>
              <w:spacing w:line="400" w:lineRule="exact"/>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雅加達【</w:t>
            </w:r>
            <w:r w:rsidRPr="00C77E77">
              <w:rPr>
                <w:rFonts w:ascii="Times New Roman" w:eastAsia="標楷體" w:hAnsi="Times New Roman" w:cs="Times New Roman"/>
                <w:color w:val="000000"/>
                <w:sz w:val="28"/>
                <w:szCs w:val="28"/>
              </w:rPr>
              <w:t>14:20 pm</w:t>
            </w:r>
            <w:r w:rsidRPr="00C77E77">
              <w:rPr>
                <w:rFonts w:ascii="Times New Roman" w:eastAsia="標楷體" w:hAnsi="Times New Roman" w:cs="Times New Roman"/>
                <w:color w:val="000000"/>
                <w:sz w:val="28"/>
                <w:szCs w:val="28"/>
              </w:rPr>
              <w:t>】抵</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北【</w:t>
            </w:r>
            <w:r w:rsidRPr="00C77E77">
              <w:rPr>
                <w:rFonts w:ascii="Times New Roman" w:eastAsia="標楷體" w:hAnsi="Times New Roman" w:cs="Times New Roman"/>
                <w:color w:val="000000"/>
                <w:sz w:val="28"/>
                <w:szCs w:val="28"/>
              </w:rPr>
              <w:t>20:45 pm</w:t>
            </w:r>
            <w:r w:rsidRPr="00C77E77">
              <w:rPr>
                <w:rFonts w:ascii="Times New Roman" w:eastAsia="標楷體" w:hAnsi="Times New Roman" w:cs="Times New Roman"/>
                <w:color w:val="000000"/>
                <w:sz w:val="28"/>
                <w:szCs w:val="28"/>
              </w:rPr>
              <w:t>】</w:t>
            </w:r>
          </w:p>
        </w:tc>
      </w:tr>
    </w:tbl>
    <w:p w:rsidR="00D81A16" w:rsidRPr="00C77E77" w:rsidRDefault="00D81A16" w:rsidP="0001327A">
      <w:pPr>
        <w:pStyle w:val="ab"/>
        <w:numPr>
          <w:ilvl w:val="0"/>
          <w:numId w:val="113"/>
        </w:numPr>
        <w:ind w:leftChars="0"/>
        <w:rPr>
          <w:rFonts w:ascii="Times New Roman" w:eastAsia="標楷體" w:hAnsi="Times New Roman" w:cs="Times New Roman"/>
          <w:b/>
          <w:sz w:val="28"/>
          <w:szCs w:val="28"/>
        </w:rPr>
      </w:pPr>
      <w:bookmarkStart w:id="205" w:name="_Toc464056253"/>
      <w:r w:rsidRPr="00C77E77">
        <w:rPr>
          <w:rFonts w:ascii="Times New Roman" w:eastAsia="標楷體" w:hAnsi="Times New Roman" w:cs="Times New Roman"/>
          <w:b/>
          <w:sz w:val="28"/>
          <w:szCs w:val="28"/>
        </w:rPr>
        <w:t>會議內容</w:t>
      </w:r>
      <w:bookmarkEnd w:id="205"/>
    </w:p>
    <w:p w:rsidR="00D81A16" w:rsidRPr="00C77E77" w:rsidRDefault="00D81A16" w:rsidP="0001327A">
      <w:pPr>
        <w:pStyle w:val="ab"/>
        <w:numPr>
          <w:ilvl w:val="0"/>
          <w:numId w:val="114"/>
        </w:numPr>
        <w:ind w:leftChars="0"/>
        <w:rPr>
          <w:rFonts w:ascii="Times New Roman" w:eastAsia="標楷體" w:hAnsi="Times New Roman" w:cs="Times New Roman"/>
          <w:sz w:val="28"/>
          <w:szCs w:val="28"/>
        </w:rPr>
      </w:pPr>
      <w:bookmarkStart w:id="206" w:name="_Toc464056254"/>
      <w:r w:rsidRPr="00C77E77">
        <w:rPr>
          <w:rFonts w:ascii="Times New Roman" w:eastAsia="標楷體" w:hAnsi="Times New Roman" w:cs="Times New Roman"/>
          <w:color w:val="000000"/>
          <w:sz w:val="28"/>
          <w:szCs w:val="28"/>
        </w:rPr>
        <w:t>拜訪外貿協會雅加達</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貿中心</w:t>
      </w:r>
      <w:bookmarkEnd w:id="206"/>
    </w:p>
    <w:p w:rsidR="00D81A16" w:rsidRPr="00C77E77" w:rsidRDefault="00D81A16" w:rsidP="0001327A">
      <w:pPr>
        <w:pStyle w:val="ab"/>
        <w:numPr>
          <w:ilvl w:val="0"/>
          <w:numId w:val="115"/>
        </w:numPr>
        <w:ind w:leftChars="0"/>
        <w:rPr>
          <w:rFonts w:ascii="Times New Roman" w:eastAsia="標楷體" w:hAnsi="Times New Roman" w:cs="Times New Roman"/>
          <w:sz w:val="28"/>
          <w:szCs w:val="28"/>
        </w:rPr>
      </w:pPr>
      <w:r w:rsidRPr="00C77E77">
        <w:rPr>
          <w:rFonts w:ascii="Times New Roman" w:eastAsia="標楷體" w:hAnsi="Times New Roman" w:cs="Times New Roman"/>
          <w:sz w:val="28"/>
          <w:szCs w:val="28"/>
        </w:rPr>
        <w:t>會議重點</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目前全球貿易出口拓銷挑戰的難度越來越高，受到東協經濟共同體</w:t>
      </w:r>
      <w:r w:rsidRPr="00C77E77">
        <w:rPr>
          <w:rFonts w:ascii="Times New Roman" w:eastAsia="標楷體" w:hAnsi="Times New Roman" w:cs="Times New Roman"/>
          <w:sz w:val="28"/>
          <w:szCs w:val="28"/>
        </w:rPr>
        <w:t>(the Asean Economic Community</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AEC)</w:t>
      </w:r>
      <w:r w:rsidRPr="00C77E77">
        <w:rPr>
          <w:rFonts w:ascii="Times New Roman" w:eastAsia="標楷體" w:hAnsi="Times New Roman" w:cs="Times New Roman"/>
          <w:sz w:val="28"/>
          <w:szCs w:val="28"/>
        </w:rPr>
        <w:t>衝擊，臺灣廠商更需駐外代表處、經濟組及外貿協會的共同合作提供經貿拓銷協助。外貿協會透過多種管道協助進軍印尼市場的我國廠商，強化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灣整體品牌形象。</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本次拜會雅加達</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貿中心廖俊生主任、陳瑾緻經理。廖俊生主任表示，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貿中心主要任務是協助</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灣廠商拓展印尼市場，並就近服務印尼廠商，提供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灣貿易及投資機會資訊。外貿協會除了提供臺灣廠商前來印尼的拓銷資訊及建議之外，並加強洽邀印尼買主前往</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灣參觀</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北國際專業展及採購洽談會，瞭解我國具競爭優勢產業或潛在商機的產業，如精緻農業、機械製造業、綠能節能、醫材等。</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同時，外貿協會也透過</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灣精品在印尼各地的旗艦型推廣活動，讓印尼當地買主及消費者肯定來自</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灣的品牌及產品。例如由經濟部國際貿易局主</w:t>
      </w:r>
      <w:r w:rsidRPr="00C77E77">
        <w:rPr>
          <w:rFonts w:ascii="Times New Roman" w:eastAsia="標楷體" w:hAnsi="Times New Roman" w:cs="Times New Roman"/>
          <w:sz w:val="28"/>
          <w:szCs w:val="28"/>
        </w:rPr>
        <w:lastRenderedPageBreak/>
        <w:t>辦、外貿協會執行的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灣精品愛心公益路跑</w:t>
      </w:r>
      <w:r w:rsidRPr="00C77E77">
        <w:rPr>
          <w:rFonts w:ascii="Times New Roman" w:eastAsia="標楷體" w:hAnsi="Times New Roman" w:cs="Times New Roman"/>
          <w:sz w:val="28"/>
          <w:szCs w:val="28"/>
        </w:rPr>
        <w:t xml:space="preserve"> (Taiwan Excellence Happy Run)</w:t>
      </w:r>
      <w:r w:rsidRPr="00C77E77">
        <w:rPr>
          <w:rFonts w:ascii="Times New Roman" w:eastAsia="標楷體" w:hAnsi="Times New Roman" w:cs="Times New Roman"/>
          <w:sz w:val="28"/>
          <w:szCs w:val="28"/>
        </w:rPr>
        <w:t>活動已經舉辦三屆，每屆吸引的印尼民眾參加及印尼主流媒體到場採訪的數量越來越多。希望不斷透過與我國廠商交流互動，能促成臺灣優質產品及科技進步能在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、印雙方的進一步合作。</w:t>
      </w:r>
    </w:p>
    <w:p w:rsidR="00D81A16" w:rsidRPr="00C77E77" w:rsidRDefault="00D81A16" w:rsidP="00D81A16">
      <w:pPr>
        <w:spacing w:beforeLines="50" w:before="180" w:afterLines="50" w:after="180" w:line="360" w:lineRule="auto"/>
        <w:ind w:firstLineChars="200" w:firstLine="561"/>
        <w:jc w:val="center"/>
        <w:rPr>
          <w:rFonts w:ascii="Times New Roman" w:eastAsia="標楷體" w:hAnsi="Times New Roman" w:cs="Times New Roman"/>
          <w:b/>
          <w:sz w:val="28"/>
          <w:szCs w:val="28"/>
        </w:rPr>
      </w:pPr>
    </w:p>
    <w:p w:rsidR="00D81A16" w:rsidRPr="00C77E77" w:rsidRDefault="00D81A16" w:rsidP="0001327A">
      <w:pPr>
        <w:pStyle w:val="ab"/>
        <w:numPr>
          <w:ilvl w:val="0"/>
          <w:numId w:val="114"/>
        </w:numPr>
        <w:ind w:leftChars="0"/>
        <w:rPr>
          <w:rFonts w:ascii="Times New Roman" w:eastAsia="標楷體" w:hAnsi="Times New Roman" w:cs="Times New Roman"/>
          <w:sz w:val="28"/>
          <w:szCs w:val="28"/>
        </w:rPr>
      </w:pPr>
      <w:bookmarkStart w:id="207" w:name="_Toc464056255"/>
      <w:r w:rsidRPr="00C77E77">
        <w:rPr>
          <w:rFonts w:ascii="Times New Roman" w:eastAsia="標楷體" w:hAnsi="Times New Roman" w:cs="Times New Roman"/>
          <w:sz w:val="28"/>
          <w:szCs w:val="28"/>
        </w:rPr>
        <w:t>訪談駐印尼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北經濟貿易代表處經濟組廖浩志一等秘書</w:t>
      </w:r>
      <w:bookmarkEnd w:id="207"/>
    </w:p>
    <w:p w:rsidR="00D81A16" w:rsidRPr="00C77E77" w:rsidRDefault="00D81A16" w:rsidP="0001327A">
      <w:pPr>
        <w:pStyle w:val="ab"/>
        <w:numPr>
          <w:ilvl w:val="0"/>
          <w:numId w:val="115"/>
        </w:numPr>
        <w:ind w:leftChars="0"/>
        <w:rPr>
          <w:rFonts w:ascii="Times New Roman" w:eastAsia="標楷體" w:hAnsi="Times New Roman" w:cs="Times New Roman"/>
          <w:sz w:val="28"/>
          <w:szCs w:val="28"/>
        </w:rPr>
      </w:pPr>
      <w:r w:rsidRPr="00C77E77">
        <w:rPr>
          <w:rFonts w:ascii="Times New Roman" w:eastAsia="標楷體" w:hAnsi="Times New Roman" w:cs="Times New Roman"/>
          <w:sz w:val="28"/>
          <w:szCs w:val="28"/>
        </w:rPr>
        <w:t>會議重點</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廖浩志一等秘書曾派駐莫斯科、倫敦，外派經驗豐富；也曾任經濟部國貿局東協科科長、雙一組科員等，對東南亞國家政治經濟情況知之甚詳。</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對於「</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加</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產業」，廖一等秘書直言政府樣樣雨露均霑的作法，導致找不到重點產業而激不起浪花，建議應該要集中資源與力量培養幾個大的產業，建立印尼對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灣的好感與信賴感。</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新南向政策的推動情況，廖一等秘書表示外館的規劃需要調整。以經濟組來說，設有一個組長、三個秘書，幾乎都是處理辦公室的文書工作。如果能在秘書下面配一到兩個當地人，協助蒐集資料，才能徹底了解當地的情況</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廖一等秘書指出，印尼在東協中是個相對保守的市場，印尼政府希望外國進來投資，而不是一直進口外國的東西，這樣才能增加就業機會等利多。所以不斷設置國家檢驗、關稅等種種投資障礙。</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因此，</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灣對外國提出簽署</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的理由必須更加充實，因為在現實的外交處境中，除了來自中國大陸的壓力以外，更重要的是東協國家本身就比較希望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灣過去投資，而不是跟外國進口物品。所以不跟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灣簽</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，東協國家可以拿享有東協關稅優惠為由吸引</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商過去投資；換言之，對東協國家而言，跟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灣簽</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並不具誘因。</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灣應該要思考如何說服外國相信簽了</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lastRenderedPageBreak/>
        <w:t>後會獲利。</w:t>
      </w:r>
    </w:p>
    <w:p w:rsidR="00707BEB" w:rsidRPr="00C77E77" w:rsidRDefault="00707BEB" w:rsidP="00D81A16">
      <w:pPr>
        <w:spacing w:beforeLines="50" w:before="180" w:afterLines="50" w:after="180" w:line="500" w:lineRule="exact"/>
        <w:jc w:val="both"/>
        <w:rPr>
          <w:rFonts w:ascii="Times New Roman" w:eastAsia="標楷體" w:hAnsi="Times New Roman" w:cs="Times New Roman"/>
          <w:sz w:val="26"/>
          <w:szCs w:val="26"/>
        </w:rPr>
      </w:pPr>
    </w:p>
    <w:p w:rsidR="00D81A16" w:rsidRPr="00C77E77" w:rsidRDefault="00D81A16" w:rsidP="0001327A">
      <w:pPr>
        <w:pStyle w:val="ab"/>
        <w:numPr>
          <w:ilvl w:val="0"/>
          <w:numId w:val="114"/>
        </w:numPr>
        <w:ind w:leftChars="0"/>
        <w:rPr>
          <w:rFonts w:ascii="Times New Roman" w:eastAsia="標楷體" w:hAnsi="Times New Roman" w:cs="Times New Roman"/>
          <w:sz w:val="28"/>
          <w:szCs w:val="28"/>
        </w:rPr>
      </w:pPr>
      <w:bookmarkStart w:id="208" w:name="_Toc464056256"/>
      <w:r w:rsidRPr="00C77E77">
        <w:rPr>
          <w:rFonts w:ascii="Times New Roman" w:eastAsia="標楷體" w:hAnsi="Times New Roman" w:cs="Times New Roman"/>
          <w:sz w:val="28"/>
          <w:szCs w:val="28"/>
        </w:rPr>
        <w:t>拜會萬隆臺灣工商聯誼會</w:t>
      </w:r>
      <w:bookmarkEnd w:id="208"/>
    </w:p>
    <w:p w:rsidR="00D81A16" w:rsidRPr="00C77E77" w:rsidRDefault="00D81A16" w:rsidP="0001327A">
      <w:pPr>
        <w:pStyle w:val="ab"/>
        <w:numPr>
          <w:ilvl w:val="0"/>
          <w:numId w:val="115"/>
        </w:numPr>
        <w:ind w:leftChars="0"/>
        <w:rPr>
          <w:rFonts w:ascii="Times New Roman" w:eastAsia="標楷體" w:hAnsi="Times New Roman" w:cs="Times New Roman"/>
          <w:sz w:val="28"/>
          <w:szCs w:val="28"/>
        </w:rPr>
      </w:pPr>
      <w:r w:rsidRPr="00C77E77">
        <w:rPr>
          <w:rFonts w:ascii="Times New Roman" w:eastAsia="標楷體" w:hAnsi="Times New Roman" w:cs="Times New Roman"/>
          <w:sz w:val="28"/>
          <w:szCs w:val="28"/>
        </w:rPr>
        <w:t>會議重點</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印尼萬隆地區是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紡織業的中心，因氣候涼爽舒適，可以省掉大筆空調費用成本。萬隆臺灣工商聯誼會宗旨是加強會員彼此間之聯繫與協調、提供會員有關印尼法令之服務及諮詢、協助會員間彼此交換商情資訊、促進對印尼之投資、協助解決會員在印尼投資或營商所遭遇之困難並謀求會員之權力。</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本次拜會萬隆臺灣工商聯誼會李理事長政德、張秘書展銘。李理事長政德從事紡織相關業超過</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年，在萬隆經商已超過</w:t>
      </w:r>
      <w:r w:rsidRPr="00C77E77">
        <w:rPr>
          <w:rFonts w:ascii="Times New Roman" w:eastAsia="標楷體" w:hAnsi="Times New Roman" w:cs="Times New Roman"/>
          <w:sz w:val="28"/>
          <w:szCs w:val="28"/>
        </w:rPr>
        <w:t>27</w:t>
      </w:r>
      <w:r w:rsidRPr="00C77E77">
        <w:rPr>
          <w:rFonts w:ascii="Times New Roman" w:eastAsia="標楷體" w:hAnsi="Times New Roman" w:cs="Times New Roman"/>
          <w:sz w:val="28"/>
          <w:szCs w:val="28"/>
        </w:rPr>
        <w:t>年，擁有專業技術。目前萬隆的染織工廠員工</w:t>
      </w:r>
      <w:r w:rsidRPr="00C77E77">
        <w:rPr>
          <w:rFonts w:ascii="Times New Roman" w:eastAsia="標楷體" w:hAnsi="Times New Roman" w:cs="Times New Roman"/>
          <w:sz w:val="28"/>
          <w:szCs w:val="28"/>
        </w:rPr>
        <w:t>500</w:t>
      </w:r>
      <w:r w:rsidRPr="00C77E77">
        <w:rPr>
          <w:rFonts w:ascii="Times New Roman" w:eastAsia="標楷體" w:hAnsi="Times New Roman" w:cs="Times New Roman"/>
          <w:sz w:val="28"/>
          <w:szCs w:val="28"/>
        </w:rPr>
        <w:t>人，華人</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人，分別作會計、收帳、總務、業務。他表示印尼人的製造能力很弱，一次只能作一件事，在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灣良率如果有</w:t>
      </w:r>
      <w:r w:rsidRPr="00C77E77">
        <w:rPr>
          <w:rFonts w:ascii="Times New Roman" w:eastAsia="標楷體" w:hAnsi="Times New Roman" w:cs="Times New Roman"/>
          <w:sz w:val="28"/>
          <w:szCs w:val="28"/>
        </w:rPr>
        <w:t>95</w:t>
      </w:r>
      <w:r w:rsidRPr="00C77E77">
        <w:rPr>
          <w:rFonts w:ascii="Times New Roman" w:eastAsia="標楷體" w:hAnsi="Times New Roman" w:cs="Times New Roman"/>
          <w:sz w:val="28"/>
          <w:szCs w:val="28"/>
        </w:rPr>
        <w:t>％，印尼只有</w:t>
      </w:r>
      <w:r w:rsidRPr="00C77E77">
        <w:rPr>
          <w:rFonts w:ascii="Times New Roman" w:eastAsia="標楷體" w:hAnsi="Times New Roman" w:cs="Times New Roman"/>
          <w:sz w:val="28"/>
          <w:szCs w:val="28"/>
        </w:rPr>
        <w:t>85</w:t>
      </w:r>
      <w:r w:rsidRPr="00C77E77">
        <w:rPr>
          <w:rFonts w:ascii="Times New Roman" w:eastAsia="標楷體" w:hAnsi="Times New Roman" w:cs="Times New Roman"/>
          <w:sz w:val="28"/>
          <w:szCs w:val="28"/>
        </w:rPr>
        <w:t>％。同時在管理上也要了解特殊的文化習慣。</w:t>
      </w: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印尼人不加班、絕對準時下班，需要定時祈禱等。</w:t>
      </w:r>
      <w:r w:rsidRPr="00C77E77">
        <w:rPr>
          <w:rFonts w:ascii="Times New Roman" w:eastAsia="標楷體" w:hAnsi="Times New Roman" w:cs="Times New Roman"/>
          <w:sz w:val="28"/>
          <w:szCs w:val="28"/>
        </w:rPr>
        <w:t xml:space="preserve"> </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張秘書展銘服務於僑務諮詢委員柯昭治（亞洲臺商總會前總會長）的公司，從事紡織廠零件的進出口貿易。他表示印尼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商幾乎都是單打獨鬥、自力更生，很少受到政府協助。政府唯一能作的，就是加速</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的簽署降低關稅。</w:t>
      </w:r>
    </w:p>
    <w:p w:rsidR="00D81A16" w:rsidRPr="00C77E77" w:rsidRDefault="00D81A16" w:rsidP="00D81A16">
      <w:pPr>
        <w:spacing w:beforeLines="50" w:before="180" w:afterLines="50" w:after="180" w:line="360" w:lineRule="auto"/>
        <w:ind w:firstLineChars="200" w:firstLine="560"/>
        <w:jc w:val="center"/>
        <w:rPr>
          <w:rFonts w:ascii="Times New Roman" w:eastAsia="標楷體" w:hAnsi="Times New Roman" w:cs="Times New Roman"/>
          <w:sz w:val="28"/>
          <w:szCs w:val="28"/>
        </w:rPr>
      </w:pPr>
    </w:p>
    <w:p w:rsidR="00D81A16" w:rsidRPr="00C77E77" w:rsidRDefault="00D81A16" w:rsidP="0001327A">
      <w:pPr>
        <w:pStyle w:val="ab"/>
        <w:numPr>
          <w:ilvl w:val="0"/>
          <w:numId w:val="114"/>
        </w:numPr>
        <w:ind w:leftChars="0"/>
        <w:rPr>
          <w:rFonts w:ascii="Times New Roman" w:eastAsia="標楷體" w:hAnsi="Times New Roman" w:cs="Times New Roman"/>
          <w:sz w:val="28"/>
          <w:szCs w:val="28"/>
        </w:rPr>
      </w:pPr>
      <w:bookmarkStart w:id="209" w:name="_Toc464056257"/>
      <w:r w:rsidRPr="00C77E77">
        <w:rPr>
          <w:rFonts w:ascii="Times New Roman" w:eastAsia="標楷體" w:hAnsi="Times New Roman" w:cs="Times New Roman"/>
          <w:sz w:val="28"/>
          <w:szCs w:val="28"/>
        </w:rPr>
        <w:t>拜會雅加達臺灣工商聯誼總會</w:t>
      </w:r>
      <w:bookmarkEnd w:id="209"/>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灣工商聯誼會」的組成已有十多年的時間。最早起源於</w:t>
      </w:r>
      <w:r w:rsidRPr="00C77E77">
        <w:rPr>
          <w:rFonts w:ascii="Times New Roman" w:eastAsia="標楷體" w:hAnsi="Times New Roman" w:cs="Times New Roman"/>
          <w:sz w:val="28"/>
          <w:szCs w:val="28"/>
        </w:rPr>
        <w:t>1990</w:t>
      </w:r>
      <w:r w:rsidRPr="00C77E77">
        <w:rPr>
          <w:rFonts w:ascii="Times New Roman" w:eastAsia="標楷體" w:hAnsi="Times New Roman" w:cs="Times New Roman"/>
          <w:sz w:val="28"/>
          <w:szCs w:val="28"/>
        </w:rPr>
        <w:t>年年底，我國旅印尼廠商先成立「雅加達地區</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灣工商聯誼會」，另於次年</w:t>
      </w:r>
      <w:r w:rsidRPr="00C77E77">
        <w:rPr>
          <w:rFonts w:ascii="Times New Roman" w:eastAsia="標楷體" w:hAnsi="Times New Roman" w:cs="Times New Roman"/>
          <w:sz w:val="28"/>
          <w:szCs w:val="28"/>
        </w:rPr>
        <w:lastRenderedPageBreak/>
        <w:t>六月成立「萬隆地區</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灣工商聯誼會」，第二年二月復再成立「泗水地區</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灣工商聯誼會」；</w:t>
      </w:r>
      <w:r w:rsidRPr="00C77E77">
        <w:rPr>
          <w:rFonts w:ascii="Times New Roman" w:eastAsia="標楷體" w:hAnsi="Times New Roman" w:cs="Times New Roman"/>
          <w:sz w:val="28"/>
          <w:szCs w:val="28"/>
        </w:rPr>
        <w:t>1998</w:t>
      </w:r>
      <w:r w:rsidRPr="00C77E77">
        <w:rPr>
          <w:rFonts w:ascii="Times New Roman" w:eastAsia="標楷體" w:hAnsi="Times New Roman" w:cs="Times New Roman"/>
          <w:sz w:val="28"/>
          <w:szCs w:val="28"/>
        </w:rPr>
        <w:t>年成立「巴譚島</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灣工商聯誼會」、印尼籐家具生產中心之井里汶亦於同年八月設立「井里汶</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灣工商聯誼會」。此外棉蘭、三寶瓏、錫江、萬雅佬等地工商聯誼會亦紛紛成立聯誼社團。因此為整合印尼各地區</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商聯誼會發揮整體</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商力量，「印尼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灣工商聯誼會」就在這個宗旨下成立。希望透過組織的整體力量，將</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商在印尼投資設廠所遭遇之困難，透過社團組織的管道加以反映。</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本次拜會雅加達臺灣工商聯誼總會周總會長宗和、賴理事長維信、曾秘書長裕華、黃財務長俊傑。</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周宗和總會長表示，跟其他東協國家相比，印尼是政策很保守的國家，就算外界看來這邊到處都充滿了機會，但因為印尼政府不斷透過調整關稅、要求品質檢驗、甚至將在地製造率提高到</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％等各項投資障礙，所以實際上並不是容易打入的市場。雖然這次政府的新南向政策很認真，但是那些</w:t>
      </w:r>
      <w:r w:rsidR="00E83E57" w:rsidRPr="00C77E77">
        <w:rPr>
          <w:rFonts w:ascii="Times New Roman" w:eastAsia="標楷體" w:hAnsi="Times New Roman" w:cs="Times New Roman"/>
          <w:sz w:val="28"/>
          <w:szCs w:val="28"/>
        </w:rPr>
        <w:t>被冠以智慧</w:t>
      </w:r>
      <w:r w:rsidRPr="00C77E77">
        <w:rPr>
          <w:rFonts w:ascii="Times New Roman" w:eastAsia="標楷體" w:hAnsi="Times New Roman" w:cs="Times New Roman"/>
          <w:sz w:val="28"/>
          <w:szCs w:val="28"/>
        </w:rPr>
        <w:t>之</w:t>
      </w:r>
      <w:r w:rsidR="00E83E57" w:rsidRPr="00C77E77">
        <w:rPr>
          <w:rFonts w:ascii="Times New Roman" w:eastAsia="標楷體" w:hAnsi="Times New Roman" w:cs="Times New Roman"/>
          <w:sz w:val="28"/>
          <w:szCs w:val="28"/>
        </w:rPr>
        <w:t>名</w:t>
      </w:r>
      <w:r w:rsidRPr="00C77E77">
        <w:rPr>
          <w:rFonts w:ascii="Times New Roman" w:eastAsia="標楷體" w:hAnsi="Times New Roman" w:cs="Times New Roman"/>
          <w:sz w:val="28"/>
          <w:szCs w:val="28"/>
        </w:rPr>
        <w:t>的產業對現階段的印尼來說都太先進了。其中最有潛力的是精緻農業，包括：農委會、農科院等陸續都來考察，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商也會大力支持。</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賴維信理事長也表示新農業的機會非常好。過去政府只有支援技術，但是現在農科院已經過來考察，並且規劃了六個細目去執行，包括進行專業技術的協助、品種改良生物技術，還協助銷售、專利等。另外，在醫療方面也有機會，印尼華人目前都是去新加坡、馬來西亞就醫。</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灣政府應該思考在健保體系之外進行設計，包括協助國際保險體系的接軌，以及在各大醫院空出一個國際樓層和專區，爭取讓印尼華人到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灣就醫、體檢的數量。</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賴理事長也建議那些長期打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灣本土市場的品牌，若有心佈局印尼市場的話，可以選擇在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灣本土發展工業</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灣打國際盃；然後把工業</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的機器半成品運到印尼的加工廠組裝，打印尼的內需市場。這樣是能夠擁有自己品牌與製造鏈的最有效方式。</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全世界的觀光勝地幾乎都很難找到東南亞國家的導遊或清真餐廳，建議</w:t>
      </w:r>
      <w:r w:rsidRPr="00C77E77">
        <w:rPr>
          <w:rFonts w:ascii="Times New Roman" w:eastAsia="標楷體" w:hAnsi="Times New Roman" w:cs="Times New Roman"/>
          <w:sz w:val="28"/>
          <w:szCs w:val="28"/>
        </w:rPr>
        <w:lastRenderedPageBreak/>
        <w:t>政府多加培養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灣的外配，因為外配沒有語言隔閡而且最瞭解哪裡有適合飲食的餐廳。政府應該開設免費訓練課程，或以補助形式鼓勵旅行社接待來自東南亞的團客。</w:t>
      </w:r>
    </w:p>
    <w:p w:rsidR="00D81A16" w:rsidRPr="00C77E77" w:rsidRDefault="00D81A16" w:rsidP="00D81A16">
      <w:pPr>
        <w:pStyle w:val="aff3"/>
        <w:spacing w:beforeLines="50" w:before="180" w:afterLines="50" w:after="180" w:line="500" w:lineRule="exact"/>
        <w:ind w:firstLine="480"/>
        <w:jc w:val="both"/>
        <w:rPr>
          <w:rFonts w:cs="Times New Roman"/>
          <w:sz w:val="28"/>
          <w:szCs w:val="28"/>
        </w:rPr>
      </w:pPr>
      <w:r w:rsidRPr="00C77E77">
        <w:rPr>
          <w:rFonts w:cs="Times New Roman"/>
          <w:sz w:val="28"/>
          <w:szCs w:val="28"/>
        </w:rPr>
        <w:t>曾裕華秘書長表示，</w:t>
      </w:r>
      <w:r w:rsidR="00FD0D5A" w:rsidRPr="00C77E77">
        <w:rPr>
          <w:rFonts w:cs="Times New Roman"/>
          <w:sz w:val="28"/>
          <w:szCs w:val="28"/>
        </w:rPr>
        <w:t>臺</w:t>
      </w:r>
      <w:r w:rsidRPr="00C77E77">
        <w:rPr>
          <w:rFonts w:cs="Times New Roman"/>
          <w:sz w:val="28"/>
          <w:szCs w:val="28"/>
        </w:rPr>
        <w:t>灣想打金融亞洲杯是沒有勝算的，因為</w:t>
      </w:r>
      <w:r w:rsidR="00FD0D5A" w:rsidRPr="00C77E77">
        <w:rPr>
          <w:rFonts w:cs="Times New Roman"/>
          <w:sz w:val="28"/>
          <w:szCs w:val="28"/>
        </w:rPr>
        <w:t>臺</w:t>
      </w:r>
      <w:r w:rsidRPr="00C77E77">
        <w:rPr>
          <w:rFonts w:cs="Times New Roman"/>
          <w:sz w:val="28"/>
          <w:szCs w:val="28"/>
        </w:rPr>
        <w:t>商銀行的數量多、規模小、沒有國際競爭力，所以中國信託銀行的利息很高（印尼盾</w:t>
      </w:r>
      <w:r w:rsidRPr="00C77E77">
        <w:rPr>
          <w:rFonts w:cs="Times New Roman"/>
          <w:sz w:val="28"/>
          <w:szCs w:val="28"/>
        </w:rPr>
        <w:t>12</w:t>
      </w:r>
      <w:r w:rsidRPr="00C77E77">
        <w:rPr>
          <w:rFonts w:cs="Times New Roman"/>
          <w:sz w:val="28"/>
          <w:szCs w:val="28"/>
        </w:rPr>
        <w:t>％，美金</w:t>
      </w:r>
      <w:r w:rsidRPr="00C77E77">
        <w:rPr>
          <w:rFonts w:cs="Times New Roman"/>
          <w:sz w:val="28"/>
          <w:szCs w:val="28"/>
        </w:rPr>
        <w:t>5</w:t>
      </w:r>
      <w:r w:rsidRPr="00C77E77">
        <w:rPr>
          <w:rFonts w:cs="Times New Roman"/>
          <w:sz w:val="28"/>
          <w:szCs w:val="28"/>
        </w:rPr>
        <w:t>％），完全打不贏印尼當地的銀行或其他外資銀行。中國信託銀行的主要財源是借款給要到</w:t>
      </w:r>
      <w:r w:rsidR="00FD0D5A" w:rsidRPr="00C77E77">
        <w:rPr>
          <w:rFonts w:cs="Times New Roman"/>
          <w:sz w:val="28"/>
          <w:szCs w:val="28"/>
        </w:rPr>
        <w:t>臺</w:t>
      </w:r>
      <w:r w:rsidRPr="00C77E77">
        <w:rPr>
          <w:rFonts w:cs="Times New Roman"/>
          <w:sz w:val="28"/>
          <w:szCs w:val="28"/>
        </w:rPr>
        <w:t>灣工作的印尼勞工，而</w:t>
      </w:r>
      <w:r w:rsidR="00FD0D5A" w:rsidRPr="00C77E77">
        <w:rPr>
          <w:rFonts w:cs="Times New Roman"/>
          <w:sz w:val="28"/>
          <w:szCs w:val="28"/>
        </w:rPr>
        <w:t>臺</w:t>
      </w:r>
      <w:r w:rsidRPr="00C77E77">
        <w:rPr>
          <w:rFonts w:cs="Times New Roman"/>
          <w:sz w:val="28"/>
          <w:szCs w:val="28"/>
        </w:rPr>
        <w:t>商只有在需要繳</w:t>
      </w:r>
      <w:r w:rsidR="00FD0D5A" w:rsidRPr="00C77E77">
        <w:rPr>
          <w:rFonts w:cs="Times New Roman"/>
          <w:sz w:val="28"/>
          <w:szCs w:val="28"/>
        </w:rPr>
        <w:t>臺</w:t>
      </w:r>
      <w:r w:rsidRPr="00C77E77">
        <w:rPr>
          <w:rFonts w:cs="Times New Roman"/>
          <w:sz w:val="28"/>
          <w:szCs w:val="28"/>
        </w:rPr>
        <w:t>商學校的學費時才會去中國信託銀行。建議</w:t>
      </w:r>
      <w:r w:rsidR="00FD0D5A" w:rsidRPr="00C77E77">
        <w:rPr>
          <w:rFonts w:cs="Times New Roman"/>
          <w:sz w:val="28"/>
          <w:szCs w:val="28"/>
        </w:rPr>
        <w:t>臺</w:t>
      </w:r>
      <w:r w:rsidRPr="00C77E77">
        <w:rPr>
          <w:rFonts w:cs="Times New Roman"/>
          <w:sz w:val="28"/>
          <w:szCs w:val="28"/>
        </w:rPr>
        <w:t>灣的銀行必須整併到</w:t>
      </w:r>
      <w:r w:rsidRPr="00C77E77">
        <w:rPr>
          <w:rFonts w:cs="Times New Roman"/>
          <w:sz w:val="28"/>
          <w:szCs w:val="28"/>
        </w:rPr>
        <w:t>5~10</w:t>
      </w:r>
      <w:r w:rsidRPr="00C77E77">
        <w:rPr>
          <w:rFonts w:cs="Times New Roman"/>
          <w:sz w:val="28"/>
          <w:szCs w:val="28"/>
        </w:rPr>
        <w:t>家，才能提昇競爭力。</w:t>
      </w:r>
    </w:p>
    <w:p w:rsidR="00D81A16" w:rsidRPr="00C77E77" w:rsidRDefault="00D81A16" w:rsidP="00D81A16">
      <w:pPr>
        <w:spacing w:beforeLines="50" w:before="180" w:afterLines="50" w:after="18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ab/>
      </w:r>
      <w:r w:rsidRPr="00C77E77">
        <w:rPr>
          <w:rFonts w:ascii="Times New Roman" w:eastAsia="標楷體" w:hAnsi="Times New Roman" w:cs="Times New Roman"/>
          <w:sz w:val="28"/>
          <w:szCs w:val="28"/>
        </w:rPr>
        <w:t>黃財務長俊傑表示，雖然印尼正在規劃電子化政府，但是困難重重。因為印尼一個人可以持有好幾個身份證，加上政府、企業內部貪污問題嚴重、查稅問題紛擾，都延緩了電子化進程。同樣的，電子商務、智慧物流雖然在成長中，例如現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商是找長榮跟華航的配合商進行冷鏈物流，但是要能夠發展還需要很長一段時間。不過，印尼也有特殊的配送行業，最有名的是可以電話預約</w:t>
      </w:r>
      <w:r w:rsidRPr="00C77E77">
        <w:rPr>
          <w:rFonts w:ascii="Times New Roman" w:eastAsia="標楷體" w:hAnsi="Times New Roman" w:cs="Times New Roman"/>
          <w:sz w:val="28"/>
          <w:szCs w:val="28"/>
        </w:rPr>
        <w:t>Go-Jek</w:t>
      </w:r>
      <w:r w:rsidRPr="00C77E77">
        <w:rPr>
          <w:rFonts w:ascii="Times New Roman" w:eastAsia="標楷體" w:hAnsi="Times New Roman" w:cs="Times New Roman"/>
          <w:sz w:val="28"/>
          <w:szCs w:val="28"/>
        </w:rPr>
        <w:t>綠騎士軍團利用摩托車運送物品。</w:t>
      </w:r>
    </w:p>
    <w:p w:rsidR="00D81A16" w:rsidRPr="00C77E77" w:rsidRDefault="00D81A16" w:rsidP="00D81A16">
      <w:pPr>
        <w:pStyle w:val="aff3"/>
        <w:spacing w:beforeLines="50" w:before="180" w:afterLines="50" w:after="180" w:line="360" w:lineRule="auto"/>
        <w:ind w:firstLine="482"/>
        <w:jc w:val="both"/>
        <w:rPr>
          <w:rFonts w:cs="Times New Roman"/>
          <w:color w:val="FF0000"/>
          <w:sz w:val="28"/>
          <w:szCs w:val="28"/>
        </w:rPr>
      </w:pPr>
    </w:p>
    <w:p w:rsidR="00D81A16" w:rsidRPr="00C77E77" w:rsidRDefault="00D81A16" w:rsidP="0001327A">
      <w:pPr>
        <w:pStyle w:val="ab"/>
        <w:numPr>
          <w:ilvl w:val="0"/>
          <w:numId w:val="114"/>
        </w:numPr>
        <w:ind w:leftChars="0"/>
        <w:rPr>
          <w:rFonts w:ascii="Times New Roman" w:eastAsia="標楷體" w:hAnsi="Times New Roman" w:cs="Times New Roman"/>
          <w:color w:val="000000" w:themeColor="text1"/>
          <w:sz w:val="28"/>
          <w:szCs w:val="28"/>
        </w:rPr>
      </w:pPr>
      <w:bookmarkStart w:id="210" w:name="_Toc464056258"/>
      <w:r w:rsidRPr="00C77E77">
        <w:rPr>
          <w:rFonts w:ascii="Times New Roman" w:eastAsia="標楷體" w:hAnsi="Times New Roman" w:cs="Times New Roman"/>
          <w:color w:val="000000" w:themeColor="text1"/>
          <w:sz w:val="28"/>
          <w:szCs w:val="28"/>
        </w:rPr>
        <w:t>拜訪中國信託商業銀行印尼子行</w:t>
      </w:r>
      <w:bookmarkEnd w:id="210"/>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中國信託印尼子行（</w:t>
      </w:r>
      <w:r w:rsidRPr="00C77E77">
        <w:rPr>
          <w:rFonts w:ascii="Times New Roman" w:eastAsia="標楷體" w:hAnsi="Times New Roman" w:cs="Times New Roman"/>
          <w:sz w:val="28"/>
          <w:szCs w:val="28"/>
        </w:rPr>
        <w:t>Bank Chinatrust Indonesia</w:t>
      </w:r>
      <w:r w:rsidRPr="00C77E77">
        <w:rPr>
          <w:rFonts w:ascii="Times New Roman" w:eastAsia="標楷體" w:hAnsi="Times New Roman" w:cs="Times New Roman"/>
          <w:sz w:val="28"/>
          <w:szCs w:val="28"/>
        </w:rPr>
        <w:t>）成立於</w:t>
      </w:r>
      <w:r w:rsidRPr="00C77E77">
        <w:rPr>
          <w:rFonts w:ascii="Times New Roman" w:eastAsia="標楷體" w:hAnsi="Times New Roman" w:cs="Times New Roman"/>
          <w:sz w:val="28"/>
          <w:szCs w:val="28"/>
        </w:rPr>
        <w:t>1997</w:t>
      </w:r>
      <w:r w:rsidRPr="00C77E77">
        <w:rPr>
          <w:rFonts w:ascii="Times New Roman" w:eastAsia="標楷體" w:hAnsi="Times New Roman" w:cs="Times New Roman"/>
          <w:sz w:val="28"/>
          <w:szCs w:val="28"/>
        </w:rPr>
        <w:t>年，為中國信託銀行持股</w:t>
      </w:r>
      <w:r w:rsidRPr="00C77E77">
        <w:rPr>
          <w:rFonts w:ascii="Times New Roman" w:eastAsia="標楷體" w:hAnsi="Times New Roman" w:cs="Times New Roman"/>
          <w:sz w:val="28"/>
          <w:szCs w:val="28"/>
        </w:rPr>
        <w:t>99%</w:t>
      </w:r>
      <w:r w:rsidRPr="00C77E77">
        <w:rPr>
          <w:rFonts w:ascii="Times New Roman" w:eastAsia="標楷體" w:hAnsi="Times New Roman" w:cs="Times New Roman"/>
          <w:sz w:val="28"/>
          <w:szCs w:val="28"/>
        </w:rPr>
        <w:t>的子行，也是印尼當地唯一臺資銀行，目前在大雅加達區、萬隆、泗水等地設有</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個據點。。</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本次拜會石家林總經理，他表示無論「</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」產業，或醫療、汽車製造等在印尼都很有機會，但是由於印尼文官體系龐大、政治民主亂象頻生、中央地方關係複雜等因素，增加了很多風險。建議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灣政府要跟國營企業合作，營造相輔相成的氣勢，才能提高印尼人的品牌辨識度。同時政府應該要給印尼好處，取得印尼政府對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灣的信任跟支持，才有辦法跳脫政治外交的困境，</w:t>
      </w:r>
      <w:r w:rsidRPr="00C77E77">
        <w:rPr>
          <w:rFonts w:ascii="Times New Roman" w:eastAsia="標楷體" w:hAnsi="Times New Roman" w:cs="Times New Roman"/>
          <w:sz w:val="28"/>
          <w:szCs w:val="28"/>
        </w:rPr>
        <w:lastRenderedPageBreak/>
        <w:t>以及一中原則的限制，進而讓印尼政府願意協助</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商解決問題。</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至於消費性的產品如豪大雞排、日出茶太等，則不需要政府出面，因為一來這些產業的產值太小對增進兩國關係幫助不大，二來讓企業自己洽談比較實際。</w:t>
      </w:r>
    </w:p>
    <w:p w:rsidR="00D81A16" w:rsidRPr="00C77E77" w:rsidRDefault="00D81A16" w:rsidP="00D81A16">
      <w:pPr>
        <w:spacing w:beforeLines="50" w:before="180" w:afterLines="50" w:after="180" w:line="360" w:lineRule="auto"/>
        <w:ind w:firstLineChars="200" w:firstLine="560"/>
        <w:jc w:val="center"/>
        <w:rPr>
          <w:rFonts w:ascii="Times New Roman" w:eastAsia="標楷體" w:hAnsi="Times New Roman" w:cs="Times New Roman"/>
          <w:sz w:val="28"/>
          <w:szCs w:val="28"/>
        </w:rPr>
      </w:pPr>
    </w:p>
    <w:p w:rsidR="00D81A16" w:rsidRPr="00C77E77" w:rsidRDefault="00D81A16" w:rsidP="0001327A">
      <w:pPr>
        <w:pStyle w:val="ab"/>
        <w:numPr>
          <w:ilvl w:val="0"/>
          <w:numId w:val="114"/>
        </w:numPr>
        <w:ind w:leftChars="0"/>
        <w:rPr>
          <w:rFonts w:ascii="Times New Roman" w:eastAsia="標楷體" w:hAnsi="Times New Roman" w:cs="Times New Roman"/>
          <w:kern w:val="52"/>
          <w:sz w:val="28"/>
          <w:szCs w:val="28"/>
        </w:rPr>
      </w:pPr>
      <w:bookmarkStart w:id="211" w:name="_Toc464056259"/>
      <w:r w:rsidRPr="00C77E77">
        <w:rPr>
          <w:rFonts w:ascii="Times New Roman" w:eastAsia="標楷體" w:hAnsi="Times New Roman" w:cs="Times New Roman"/>
          <w:sz w:val="28"/>
          <w:szCs w:val="28"/>
        </w:rPr>
        <w:t>拜訪</w:t>
      </w:r>
      <w:r w:rsidRPr="00C77E77">
        <w:rPr>
          <w:rFonts w:ascii="Times New Roman" w:eastAsia="標楷體" w:hAnsi="Times New Roman" w:cs="Times New Roman"/>
          <w:sz w:val="28"/>
          <w:szCs w:val="28"/>
        </w:rPr>
        <w:t>Habibie Center</w:t>
      </w:r>
      <w:bookmarkEnd w:id="211"/>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印尼重要智庫「哈比比中心」係一非政府、非營利的獨立研究機構，致力於民主發展與人權推動之研究。</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哈比比中心研究員</w:t>
      </w:r>
      <w:r w:rsidRPr="00C77E77">
        <w:rPr>
          <w:rFonts w:ascii="Times New Roman" w:eastAsia="標楷體" w:hAnsi="Times New Roman" w:cs="Times New Roman"/>
          <w:sz w:val="28"/>
          <w:szCs w:val="28"/>
        </w:rPr>
        <w:t>Alexander Chandra</w:t>
      </w:r>
      <w:r w:rsidRPr="00C77E77">
        <w:rPr>
          <w:rFonts w:ascii="Times New Roman" w:eastAsia="標楷體" w:hAnsi="Times New Roman" w:cs="Times New Roman"/>
          <w:sz w:val="28"/>
          <w:szCs w:val="28"/>
        </w:rPr>
        <w:t>剛卸下東協企業諮詢委員會（</w:t>
      </w:r>
      <w:r w:rsidRPr="00C77E77">
        <w:rPr>
          <w:rFonts w:ascii="Times New Roman" w:eastAsia="標楷體" w:hAnsi="Times New Roman" w:cs="Times New Roman"/>
          <w:sz w:val="28"/>
          <w:szCs w:val="28"/>
        </w:rPr>
        <w:t>ASEAN Business Advisory Council</w:t>
      </w:r>
      <w:r w:rsidRPr="00C77E77">
        <w:rPr>
          <w:rFonts w:ascii="Times New Roman" w:eastAsia="標楷體" w:hAnsi="Times New Roman" w:cs="Times New Roman"/>
          <w:sz w:val="28"/>
          <w:szCs w:val="28"/>
        </w:rPr>
        <w:t>）執行長</w:t>
      </w:r>
      <w:r w:rsidRPr="00C77E77">
        <w:rPr>
          <w:rFonts w:ascii="Times New Roman" w:eastAsia="標楷體" w:hAnsi="Times New Roman" w:cs="Times New Roman"/>
          <w:sz w:val="28"/>
          <w:szCs w:val="28"/>
        </w:rPr>
        <w:t>(executive director)</w:t>
      </w:r>
      <w:r w:rsidRPr="00C77E77">
        <w:rPr>
          <w:rFonts w:ascii="Times New Roman" w:eastAsia="標楷體" w:hAnsi="Times New Roman" w:cs="Times New Roman"/>
          <w:sz w:val="28"/>
          <w:szCs w:val="28"/>
        </w:rPr>
        <w:t>的職務。</w:t>
      </w:r>
      <w:r w:rsidRPr="00C77E77">
        <w:rPr>
          <w:rStyle w:val="a9"/>
          <w:rFonts w:ascii="Times New Roman" w:eastAsia="標楷體" w:hAnsi="Times New Roman" w:cs="Times New Roman"/>
          <w:sz w:val="28"/>
          <w:szCs w:val="28"/>
        </w:rPr>
        <w:footnoteReference w:id="169"/>
      </w:r>
      <w:r w:rsidRPr="00C77E77">
        <w:rPr>
          <w:rFonts w:ascii="Times New Roman" w:eastAsia="標楷體" w:hAnsi="Times New Roman" w:cs="Times New Roman"/>
          <w:sz w:val="28"/>
          <w:szCs w:val="28"/>
        </w:rPr>
        <w:t>他表示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灣如果繼續在經濟方面努力，印尼政府就不會有一中問題的顧慮，但若牽涉到政治問題就絕對推不動。例如，絕對不可能成功設置</w:t>
      </w:r>
      <w:r w:rsidRPr="00C77E77">
        <w:rPr>
          <w:rFonts w:ascii="Times New Roman" w:eastAsia="標楷體" w:hAnsi="Times New Roman" w:cs="Times New Roman"/>
          <w:sz w:val="28"/>
          <w:szCs w:val="28"/>
        </w:rPr>
        <w:t>Taiwan-ASEAN</w:t>
      </w:r>
      <w:r w:rsidRPr="00C77E77">
        <w:rPr>
          <w:rFonts w:ascii="Times New Roman" w:eastAsia="標楷體" w:hAnsi="Times New Roman" w:cs="Times New Roman"/>
          <w:sz w:val="28"/>
          <w:szCs w:val="28"/>
        </w:rPr>
        <w:t>窗口，因為這表示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灣跟東協有正式的外交關係，或者表示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灣是東協的一部分，跟中國關係良好的寮國、</w:t>
      </w:r>
      <w:r w:rsidR="00CE7F9D" w:rsidRPr="00C77E77">
        <w:rPr>
          <w:rFonts w:ascii="Times New Roman" w:eastAsia="標楷體" w:hAnsi="Times New Roman" w:cs="Times New Roman"/>
          <w:sz w:val="28"/>
          <w:szCs w:val="28"/>
        </w:rPr>
        <w:t>柬埔寨</w:t>
      </w:r>
      <w:r w:rsidRPr="00C77E77">
        <w:rPr>
          <w:rFonts w:ascii="Times New Roman" w:eastAsia="標楷體" w:hAnsi="Times New Roman" w:cs="Times New Roman"/>
          <w:sz w:val="28"/>
          <w:szCs w:val="28"/>
        </w:rPr>
        <w:t>一定會跳出來反對。他認為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灣應該要務實的強化自己的經濟實力與影響力，不主動去爭外交上的正式名稱，而讓自己強大到讓東協國家願意主動替</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灣發聲。例如，在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灣舉辦東協國家的企業媒合會，並且利用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灣本身的東南亞人士，了解東協國家的民情想法、消費習慣，設法找到打入東協國家市場的正確切入點。等到成功造就很多企業合作機會後，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灣已經藉由商業活動擴大在東協的實質經濟影響力了，這時東協國家就會主動幫</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灣爭取國際曝光機會和國際合作空間。</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印尼漢學研究中心（</w:t>
      </w:r>
      <w:r w:rsidRPr="00C77E77">
        <w:rPr>
          <w:rFonts w:ascii="Times New Roman" w:eastAsia="標楷體" w:hAnsi="Times New Roman" w:cs="Times New Roman"/>
          <w:sz w:val="28"/>
          <w:szCs w:val="28"/>
        </w:rPr>
        <w:t>Center for Chinese Studies-Indonesia</w:t>
      </w:r>
      <w:r w:rsidRPr="00C77E77">
        <w:rPr>
          <w:rFonts w:ascii="Times New Roman" w:eastAsia="標楷體" w:hAnsi="Times New Roman" w:cs="Times New Roman"/>
          <w:sz w:val="28"/>
          <w:szCs w:val="28"/>
        </w:rPr>
        <w:t>）的主任</w:t>
      </w:r>
      <w:r w:rsidRPr="00C77E77">
        <w:rPr>
          <w:rFonts w:ascii="Times New Roman" w:eastAsia="標楷體" w:hAnsi="Times New Roman" w:cs="Times New Roman"/>
          <w:sz w:val="28"/>
          <w:szCs w:val="28"/>
        </w:rPr>
        <w:t>Rene L. Pattiradjawane</w:t>
      </w:r>
      <w:r w:rsidRPr="00C77E77">
        <w:rPr>
          <w:rFonts w:ascii="Times New Roman" w:eastAsia="標楷體" w:hAnsi="Times New Roman" w:cs="Times New Roman"/>
          <w:sz w:val="28"/>
          <w:szCs w:val="28"/>
        </w:rPr>
        <w:t>曾經在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灣師範大學學習，是印尼研究中國與</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灣問題的專家。</w:t>
      </w:r>
      <w:r w:rsidRPr="00C77E77">
        <w:rPr>
          <w:rFonts w:ascii="Times New Roman" w:eastAsia="標楷體" w:hAnsi="Times New Roman" w:cs="Times New Roman"/>
          <w:sz w:val="28"/>
          <w:szCs w:val="28"/>
        </w:rPr>
        <w:lastRenderedPageBreak/>
        <w:t>他認為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新南向政策一定要聚焦在經濟領域，跟印尼政府提出非常具體的政策尋求雙方合作機會，但是不要談政治問題。他表示印尼的政治體系、社會結構、貪腐問題等都非常複雜，因此像是電子化政府這種涉及人身機密的議題，都不容易達成；石化產業牽涉的層面更大，推動的困難度更高。</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而發展電子商務的前提是先有電子化政府，短期很難見效，但是因為中國大陸的阿里巴巴已經非常積極著手電子商務，所以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灣不應該再慢下去，不過最重要的還是要有具體的推動方案，制定清晰的發展目標與步驟。</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至於智慧校園、智慧醫療等智慧產業，</w:t>
      </w:r>
      <w:r w:rsidRPr="00C77E77">
        <w:rPr>
          <w:rFonts w:ascii="Times New Roman" w:eastAsia="標楷體" w:hAnsi="Times New Roman" w:cs="Times New Roman"/>
          <w:sz w:val="28"/>
          <w:szCs w:val="28"/>
        </w:rPr>
        <w:t>Rene L. Pattiradjawane</w:t>
      </w:r>
      <w:r w:rsidRPr="00C77E77">
        <w:rPr>
          <w:rFonts w:ascii="Times New Roman" w:eastAsia="標楷體" w:hAnsi="Times New Roman" w:cs="Times New Roman"/>
          <w:sz w:val="28"/>
          <w:szCs w:val="28"/>
        </w:rPr>
        <w:t>建議從小的城市開始著手嘗試，再一步一步推到其他地區。他個人非常歡迎電動機車等環保產業到印尼發展，也相信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灣有能力可以做的比中國大陸更好，未來在印尼會是受歡迎且有發展性的產業。不過充電廠、價格制定等都是問題，必須要找到適合的合作對象。</w:t>
      </w:r>
      <w:r w:rsidRPr="00C77E77">
        <w:rPr>
          <w:rFonts w:ascii="Times New Roman" w:eastAsia="標楷體" w:hAnsi="Times New Roman" w:cs="Times New Roman"/>
          <w:sz w:val="28"/>
          <w:szCs w:val="28"/>
        </w:rPr>
        <w:t xml:space="preserve"> </w:t>
      </w:r>
    </w:p>
    <w:p w:rsidR="00D81A16" w:rsidRPr="00C77E77" w:rsidRDefault="00D81A16" w:rsidP="00D81A16">
      <w:pPr>
        <w:spacing w:beforeLines="50" w:before="180" w:afterLines="50" w:after="180" w:line="360" w:lineRule="auto"/>
        <w:ind w:firstLineChars="200" w:firstLine="560"/>
        <w:jc w:val="center"/>
        <w:rPr>
          <w:rFonts w:ascii="Times New Roman" w:eastAsia="標楷體" w:hAnsi="Times New Roman" w:cs="Times New Roman"/>
          <w:sz w:val="28"/>
          <w:szCs w:val="28"/>
        </w:rPr>
      </w:pPr>
    </w:p>
    <w:p w:rsidR="00D81A16" w:rsidRPr="00C77E77" w:rsidRDefault="00D81A16" w:rsidP="0001327A">
      <w:pPr>
        <w:pStyle w:val="ab"/>
        <w:numPr>
          <w:ilvl w:val="0"/>
          <w:numId w:val="114"/>
        </w:numPr>
        <w:ind w:leftChars="0"/>
        <w:rPr>
          <w:rFonts w:ascii="Times New Roman" w:eastAsia="標楷體" w:hAnsi="Times New Roman" w:cs="Times New Roman"/>
          <w:kern w:val="52"/>
          <w:sz w:val="28"/>
          <w:szCs w:val="28"/>
        </w:rPr>
      </w:pPr>
      <w:bookmarkStart w:id="212" w:name="_Toc464056260"/>
      <w:r w:rsidRPr="00C77E77">
        <w:rPr>
          <w:rFonts w:ascii="Times New Roman" w:eastAsia="標楷體" w:hAnsi="Times New Roman" w:cs="Times New Roman"/>
          <w:sz w:val="28"/>
          <w:szCs w:val="28"/>
        </w:rPr>
        <w:t>訪談駐印尼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北經濟貿易代表處副代表兼經濟組組長蔡允中</w:t>
      </w:r>
      <w:bookmarkEnd w:id="212"/>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蔡允中副代表表示，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灣新南向政策要避免幾個問題，第一，一廂情願。不應該想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灣自己要賣什麼，而應該想對方需要什麼，互利才有辦法長遠。第二，野心太大。產業沒有進行優先順序，樣樣都要推。第三，策略意涵不夠淺顯易懂，複雜到不知從何解釋。</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政策的推動最怕虎頭蛇尾，無論有沒有新南向，</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灣跟印尼的關係都應該要重視。這幾年來，因為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灣政策多頭、多變，加上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灣對印尼的投資重要性逐漸降低，導致印尼政府已經失去對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灣的信任。政府應該要對內凝聚共識、對外展現決心。</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建議政府要實事求是的拿出自己最有競爭優勢的一兩項產業，盡全力做到做好才會有效果。例如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灣的電動車不強，就不需要拿出來推。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灣最有</w:t>
      </w:r>
      <w:r w:rsidRPr="00C77E77">
        <w:rPr>
          <w:rFonts w:ascii="Times New Roman" w:eastAsia="標楷體" w:hAnsi="Times New Roman" w:cs="Times New Roman"/>
          <w:sz w:val="28"/>
          <w:szCs w:val="28"/>
        </w:rPr>
        <w:lastRenderedPageBreak/>
        <w:t>優勢的是農漁業，從生產、技術管理到販賣都是全球第一，印尼沒有理由不選擇我們。但是農漁業的議題又很多，例如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灣有產稻米，那就不必強調稻米的合作以免打到自己；但是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灣本土的咖啡產量少，</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灣人喝咖啡的數量又很多，應該跟印尼和越南談咖啡的合作。</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過去是靠製造業打天下，但已經對製造業過度依賴了，而且現在中國、東協的製造業都已經迎頭趕上。未來要想提升製造業的邊際效應勢必要結合服務業，不能只賣工具機，還要包括後面一整套的服務鍊。後續的服務部分，才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灣贏過東協和中國的地方。</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現在雅加達有做智慧城市的網站（</w:t>
      </w:r>
      <w:hyperlink r:id="rId173" w:history="1">
        <w:r w:rsidRPr="00C77E77">
          <w:rPr>
            <w:rStyle w:val="aa"/>
            <w:rFonts w:ascii="Times New Roman" w:eastAsia="標楷體" w:hAnsi="Times New Roman" w:cs="Times New Roman"/>
            <w:sz w:val="28"/>
            <w:szCs w:val="28"/>
            <w:u w:val="none"/>
          </w:rPr>
          <w:t>http://smartcity.jakarta.go.id/</w:t>
        </w:r>
      </w:hyperlink>
      <w:r w:rsidRPr="00C77E77">
        <w:rPr>
          <w:rFonts w:ascii="Times New Roman" w:eastAsia="標楷體" w:hAnsi="Times New Roman" w:cs="Times New Roman"/>
          <w:sz w:val="28"/>
          <w:szCs w:val="28"/>
        </w:rPr>
        <w:t>）跟</w:t>
      </w:r>
      <w:r w:rsidRPr="00C77E77">
        <w:rPr>
          <w:rFonts w:ascii="Times New Roman" w:eastAsia="標楷體" w:hAnsi="Times New Roman" w:cs="Times New Roman"/>
          <w:sz w:val="28"/>
          <w:szCs w:val="28"/>
        </w:rPr>
        <w:t>APP</w:t>
      </w:r>
      <w:r w:rsidRPr="00C77E77">
        <w:rPr>
          <w:rFonts w:ascii="Times New Roman" w:eastAsia="標楷體" w:hAnsi="Times New Roman" w:cs="Times New Roman"/>
          <w:sz w:val="28"/>
          <w:szCs w:val="28"/>
        </w:rPr>
        <w:t>，萬隆也有指揮中心（</w:t>
      </w:r>
      <w:r w:rsidRPr="00C77E77">
        <w:rPr>
          <w:rFonts w:ascii="Times New Roman" w:eastAsia="標楷體" w:hAnsi="Times New Roman" w:cs="Times New Roman"/>
          <w:sz w:val="28"/>
          <w:szCs w:val="28"/>
        </w:rPr>
        <w:t>Bandung – Administration</w:t>
      </w:r>
      <w:r w:rsidRPr="00C77E77">
        <w:rPr>
          <w:rFonts w:ascii="Times New Roman" w:eastAsia="標楷體" w:hAnsi="Times New Roman" w:cs="Times New Roman"/>
          <w:sz w:val="28"/>
          <w:szCs w:val="28"/>
        </w:rPr>
        <w:t>），但都只是做初階的工作，例如民眾回報問題、官員進行整合。不過進階的交通系統整合涉及到規劃跟財源的問題，就不容易執行。而電子收費、電子化政府、智慧城市</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等產業，出發點是用機器取代人力，但是印尼的人太多了，如果被機器取代的話會產生失業問題。</w:t>
      </w:r>
    </w:p>
    <w:p w:rsidR="00D81A16" w:rsidRPr="00C77E77" w:rsidRDefault="00D81A16"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電子商務部分，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灣的佈局跟條件都不夠，而且就電商的性質來說，全球只有少數幾家大的才有競爭力。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灣要思考的是，把電商的上、中、下游產業好好界定清楚，找出其中哪一塊是具有競爭優勢的。同時需注意到，未來電商衍生出的商業規範會跟傳統規範有許多衝突的地方，應該及早構思如何因應。</w:t>
      </w:r>
    </w:p>
    <w:p w:rsidR="00D81A16" w:rsidRPr="00C77E77" w:rsidRDefault="00FD0D5A" w:rsidP="00D81A16">
      <w:pPr>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灣要推動</w:t>
      </w:r>
      <w:r w:rsidR="00D81A16" w:rsidRPr="00C77E77">
        <w:rPr>
          <w:rFonts w:ascii="Times New Roman" w:eastAsia="標楷體" w:hAnsi="Times New Roman" w:cs="Times New Roman"/>
          <w:sz w:val="28"/>
          <w:szCs w:val="28"/>
        </w:rPr>
        <w:t>FTA</w:t>
      </w:r>
      <w:r w:rsidR="00D81A16" w:rsidRPr="00C77E77">
        <w:rPr>
          <w:rFonts w:ascii="Times New Roman" w:eastAsia="標楷體" w:hAnsi="Times New Roman" w:cs="Times New Roman"/>
          <w:sz w:val="28"/>
          <w:szCs w:val="28"/>
        </w:rPr>
        <w:t>、</w:t>
      </w:r>
      <w:r w:rsidR="00D81A16" w:rsidRPr="00C77E77">
        <w:rPr>
          <w:rFonts w:ascii="Times New Roman" w:eastAsia="標楷體" w:hAnsi="Times New Roman" w:cs="Times New Roman"/>
          <w:sz w:val="28"/>
          <w:szCs w:val="28"/>
        </w:rPr>
        <w:t>TPP</w:t>
      </w:r>
      <w:r w:rsidR="00D81A16" w:rsidRPr="00C77E77">
        <w:rPr>
          <w:rFonts w:ascii="Times New Roman" w:eastAsia="標楷體" w:hAnsi="Times New Roman" w:cs="Times New Roman"/>
          <w:sz w:val="28"/>
          <w:szCs w:val="28"/>
        </w:rPr>
        <w:t>、</w:t>
      </w:r>
      <w:r w:rsidR="00D81A16" w:rsidRPr="00C77E77">
        <w:rPr>
          <w:rFonts w:ascii="Times New Roman" w:eastAsia="標楷體" w:hAnsi="Times New Roman" w:cs="Times New Roman"/>
          <w:sz w:val="28"/>
          <w:szCs w:val="28"/>
        </w:rPr>
        <w:t>RCEP</w:t>
      </w:r>
      <w:r w:rsidR="00D81A16" w:rsidRPr="00C77E77">
        <w:rPr>
          <w:rFonts w:ascii="Times New Roman" w:eastAsia="標楷體" w:hAnsi="Times New Roman" w:cs="Times New Roman"/>
          <w:sz w:val="28"/>
          <w:szCs w:val="28"/>
        </w:rPr>
        <w:t>的困境永遠都在，但始終要放在桌面上，絕不可以放到桌面下。</w:t>
      </w:r>
    </w:p>
    <w:p w:rsidR="00D81A16" w:rsidRPr="00C77E77" w:rsidRDefault="00D81A16" w:rsidP="0001327A">
      <w:pPr>
        <w:pStyle w:val="ab"/>
        <w:numPr>
          <w:ilvl w:val="0"/>
          <w:numId w:val="113"/>
        </w:numPr>
        <w:ind w:leftChars="0"/>
        <w:rPr>
          <w:rFonts w:ascii="Times New Roman" w:eastAsia="標楷體" w:hAnsi="Times New Roman" w:cs="Times New Roman"/>
          <w:sz w:val="28"/>
          <w:szCs w:val="28"/>
        </w:rPr>
      </w:pPr>
      <w:bookmarkStart w:id="213" w:name="_Toc464056261"/>
      <w:r w:rsidRPr="00C77E77">
        <w:rPr>
          <w:rFonts w:ascii="Times New Roman" w:eastAsia="標楷體" w:hAnsi="Times New Roman" w:cs="Times New Roman"/>
          <w:sz w:val="28"/>
          <w:szCs w:val="28"/>
        </w:rPr>
        <w:t>印尼訪問工作之官、學界意見歸納</w:t>
      </w:r>
      <w:bookmarkEnd w:id="213"/>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sz w:val="28"/>
          <w:szCs w:val="28"/>
        </w:rPr>
        <w:t>政府在推動的</w:t>
      </w:r>
      <w:r w:rsidRPr="00C77E77">
        <w:rPr>
          <w:rFonts w:ascii="Times New Roman" w:eastAsia="標楷體" w:hAnsi="Times New Roman" w:cs="Times New Roman"/>
          <w:bCs/>
          <w:kern w:val="52"/>
          <w:sz w:val="28"/>
          <w:szCs w:val="28"/>
        </w:rPr>
        <w:t>新南向政策、「</w:t>
      </w:r>
      <w:r w:rsidRPr="00C77E77">
        <w:rPr>
          <w:rFonts w:ascii="Times New Roman" w:eastAsia="標楷體" w:hAnsi="Times New Roman" w:cs="Times New Roman"/>
          <w:bCs/>
          <w:kern w:val="52"/>
          <w:sz w:val="28"/>
          <w:szCs w:val="28"/>
        </w:rPr>
        <w:t>10+2</w:t>
      </w:r>
      <w:r w:rsidRPr="00C77E77">
        <w:rPr>
          <w:rFonts w:ascii="Times New Roman" w:eastAsia="標楷體" w:hAnsi="Times New Roman" w:cs="Times New Roman"/>
          <w:bCs/>
          <w:kern w:val="52"/>
          <w:sz w:val="28"/>
          <w:szCs w:val="28"/>
        </w:rPr>
        <w:t>」</w:t>
      </w:r>
      <w:r w:rsidRPr="00C77E77">
        <w:rPr>
          <w:rFonts w:ascii="Times New Roman" w:eastAsia="標楷體" w:hAnsi="Times New Roman" w:cs="Times New Roman"/>
          <w:sz w:val="28"/>
          <w:szCs w:val="28"/>
        </w:rPr>
        <w:t>產業，整體看來不夠聚焦，</w:t>
      </w:r>
      <w:r w:rsidRPr="00C77E77">
        <w:rPr>
          <w:rFonts w:ascii="Times New Roman" w:eastAsia="標楷體" w:hAnsi="Times New Roman" w:cs="Times New Roman"/>
          <w:bCs/>
          <w:kern w:val="52"/>
          <w:sz w:val="28"/>
          <w:szCs w:val="28"/>
        </w:rPr>
        <w:t>策略意涵也不夠淺顯易懂，複雜到不知從何解釋</w:t>
      </w:r>
      <w:r w:rsidRPr="00C77E77">
        <w:rPr>
          <w:rFonts w:ascii="Times New Roman" w:eastAsia="標楷體" w:hAnsi="Times New Roman" w:cs="Times New Roman"/>
          <w:sz w:val="28"/>
          <w:szCs w:val="28"/>
        </w:rPr>
        <w:t>。</w:t>
      </w:r>
      <w:r w:rsidRPr="00C77E77">
        <w:rPr>
          <w:rFonts w:ascii="Times New Roman" w:eastAsia="標楷體" w:hAnsi="Times New Roman" w:cs="Times New Roman"/>
          <w:bCs/>
          <w:kern w:val="52"/>
          <w:sz w:val="28"/>
          <w:szCs w:val="28"/>
        </w:rPr>
        <w:t>政府想要照顧每個產業，沒有進行優先順序，反而變成找不到重點產業。</w:t>
      </w:r>
      <w:r w:rsidRPr="00C77E77">
        <w:rPr>
          <w:rFonts w:ascii="Times New Roman" w:eastAsia="標楷體" w:hAnsi="Times New Roman" w:cs="Times New Roman"/>
          <w:sz w:val="28"/>
          <w:szCs w:val="28"/>
        </w:rPr>
        <w:t>加上政府目前是找有「能</w:t>
      </w:r>
      <w:r w:rsidRPr="00C77E77">
        <w:rPr>
          <w:rFonts w:ascii="Times New Roman" w:eastAsia="標楷體" w:hAnsi="Times New Roman" w:cs="Times New Roman"/>
          <w:sz w:val="28"/>
          <w:szCs w:val="28"/>
        </w:rPr>
        <w:lastRenderedPageBreak/>
        <w:t>力」的廠商，但沒有考慮這些廠商的「意願」。</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bCs/>
          <w:kern w:val="52"/>
          <w:sz w:val="28"/>
          <w:szCs w:val="28"/>
        </w:rPr>
        <w:t>政府應該要對內凝聚共識、對外展現決心，先集中力量培養幾個大的產業，才能讓印尼人產生印象、建立信賴感。無論有沒有新南向，</w:t>
      </w:r>
      <w:r w:rsidR="00FD0D5A" w:rsidRPr="00C77E77">
        <w:rPr>
          <w:rFonts w:ascii="Times New Roman" w:eastAsia="標楷體" w:hAnsi="Times New Roman" w:cs="Times New Roman"/>
          <w:bCs/>
          <w:kern w:val="52"/>
          <w:sz w:val="28"/>
          <w:szCs w:val="28"/>
        </w:rPr>
        <w:t>臺</w:t>
      </w:r>
      <w:r w:rsidRPr="00C77E77">
        <w:rPr>
          <w:rFonts w:ascii="Times New Roman" w:eastAsia="標楷體" w:hAnsi="Times New Roman" w:cs="Times New Roman"/>
          <w:bCs/>
          <w:kern w:val="52"/>
          <w:sz w:val="28"/>
          <w:szCs w:val="28"/>
        </w:rPr>
        <w:t>灣跟印尼的關係都應該要重視。這幾年來，因為</w:t>
      </w:r>
      <w:r w:rsidR="00FD0D5A" w:rsidRPr="00C77E77">
        <w:rPr>
          <w:rFonts w:ascii="Times New Roman" w:eastAsia="標楷體" w:hAnsi="Times New Roman" w:cs="Times New Roman"/>
          <w:bCs/>
          <w:kern w:val="52"/>
          <w:sz w:val="28"/>
          <w:szCs w:val="28"/>
        </w:rPr>
        <w:t>臺</w:t>
      </w:r>
      <w:r w:rsidRPr="00C77E77">
        <w:rPr>
          <w:rFonts w:ascii="Times New Roman" w:eastAsia="標楷體" w:hAnsi="Times New Roman" w:cs="Times New Roman"/>
          <w:bCs/>
          <w:kern w:val="52"/>
          <w:sz w:val="28"/>
          <w:szCs w:val="28"/>
        </w:rPr>
        <w:t>灣政策多頭、多變，加上</w:t>
      </w:r>
      <w:r w:rsidR="00FD0D5A" w:rsidRPr="00C77E77">
        <w:rPr>
          <w:rFonts w:ascii="Times New Roman" w:eastAsia="標楷體" w:hAnsi="Times New Roman" w:cs="Times New Roman"/>
          <w:bCs/>
          <w:kern w:val="52"/>
          <w:sz w:val="28"/>
          <w:szCs w:val="28"/>
        </w:rPr>
        <w:t>臺</w:t>
      </w:r>
      <w:r w:rsidRPr="00C77E77">
        <w:rPr>
          <w:rFonts w:ascii="Times New Roman" w:eastAsia="標楷體" w:hAnsi="Times New Roman" w:cs="Times New Roman"/>
          <w:bCs/>
          <w:kern w:val="52"/>
          <w:sz w:val="28"/>
          <w:szCs w:val="28"/>
        </w:rPr>
        <w:t>灣對印尼的投資重要性逐漸降低，導致印尼政府已經失去對</w:t>
      </w:r>
      <w:r w:rsidR="00FD0D5A" w:rsidRPr="00C77E77">
        <w:rPr>
          <w:rFonts w:ascii="Times New Roman" w:eastAsia="標楷體" w:hAnsi="Times New Roman" w:cs="Times New Roman"/>
          <w:bCs/>
          <w:kern w:val="52"/>
          <w:sz w:val="28"/>
          <w:szCs w:val="28"/>
        </w:rPr>
        <w:t>臺</w:t>
      </w:r>
      <w:r w:rsidRPr="00C77E77">
        <w:rPr>
          <w:rFonts w:ascii="Times New Roman" w:eastAsia="標楷體" w:hAnsi="Times New Roman" w:cs="Times New Roman"/>
          <w:bCs/>
          <w:kern w:val="52"/>
          <w:sz w:val="28"/>
          <w:szCs w:val="28"/>
        </w:rPr>
        <w:t>灣的信任。</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在東協中是個相對保守的市場，就算外界看來到處都充滿了機會，實際上並不是容易打入的市場。印尼政府希望外國能過來投資，而不是一直買外國的東西。所以政府不斷調整關稅、要求品質檢驗、甚至將在地製造率提高到</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％等各項投資障礙。</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印尼的社會非常多元、貧富差距很大，雅加達跟其他地區差很多，市場的取向不同，就應該有所區隔。此外，印尼人的製造能力很弱，一次只能作一件事，在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灣良率如果有</w:t>
      </w:r>
      <w:r w:rsidRPr="00C77E77">
        <w:rPr>
          <w:rFonts w:ascii="Times New Roman" w:eastAsia="標楷體" w:hAnsi="Times New Roman" w:cs="Times New Roman"/>
          <w:sz w:val="28"/>
          <w:szCs w:val="28"/>
        </w:rPr>
        <w:t>95</w:t>
      </w:r>
      <w:r w:rsidRPr="00C77E77">
        <w:rPr>
          <w:rFonts w:ascii="Times New Roman" w:eastAsia="標楷體" w:hAnsi="Times New Roman" w:cs="Times New Roman"/>
          <w:sz w:val="28"/>
          <w:szCs w:val="28"/>
        </w:rPr>
        <w:t>％，印尼只有</w:t>
      </w:r>
      <w:r w:rsidRPr="00C77E77">
        <w:rPr>
          <w:rFonts w:ascii="Times New Roman" w:eastAsia="標楷體" w:hAnsi="Times New Roman" w:cs="Times New Roman"/>
          <w:sz w:val="28"/>
          <w:szCs w:val="28"/>
        </w:rPr>
        <w:t>85</w:t>
      </w:r>
      <w:r w:rsidRPr="00C77E77">
        <w:rPr>
          <w:rFonts w:ascii="Times New Roman" w:eastAsia="標楷體" w:hAnsi="Times New Roman" w:cs="Times New Roman"/>
          <w:sz w:val="28"/>
          <w:szCs w:val="28"/>
        </w:rPr>
        <w:t>％。同時在管理上也要了解特殊的文化習慣，例如印尼人不加班、絕對準時下班，需要定時祈禱等。</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正在規劃電子化政府，但是這種涉及人身機密的議題，執行起來困難重重。例如印尼一個人可以持有好幾個身份證，但是因為印尼文官體系龐大、政治民主亂象頻生、中央地方關係複雜，加上政府內部貪污問題嚴重，都延緩了電子化進程。石化產業牽涉的層面更大，推動的困難度更高。</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對現階段的印尼來說，新南向政策中有關「智慧</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」之類的產業都太先進了。例如，現在印尼已經有</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車道，但是效果不好。因為印尼車多、有空間就鑽，不管</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車道或人工收費車道都會開過去，反而造成混亂。也許可以從小的城市開始著手嘗試智慧校園、智慧醫療等產業，再一步步推到其他地區。不過要注意的是，電子收費、電子化政府、智慧城市等產業，出發點是用機器取代人力，但是印尼的人太多了，如果被機器</w:t>
      </w:r>
      <w:r w:rsidRPr="00C77E77">
        <w:rPr>
          <w:rFonts w:ascii="Times New Roman" w:eastAsia="標楷體" w:hAnsi="Times New Roman" w:cs="Times New Roman"/>
          <w:sz w:val="28"/>
          <w:szCs w:val="28"/>
        </w:rPr>
        <w:lastRenderedPageBreak/>
        <w:t>取代的話會造成失業。</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現在雅加達有做智慧城市的網站（</w:t>
      </w:r>
      <w:hyperlink r:id="rId174" w:history="1">
        <w:r w:rsidRPr="00C77E77">
          <w:rPr>
            <w:rStyle w:val="aa"/>
            <w:rFonts w:ascii="Times New Roman" w:eastAsia="標楷體" w:hAnsi="Times New Roman" w:cs="Times New Roman"/>
            <w:sz w:val="28"/>
            <w:szCs w:val="28"/>
            <w:u w:val="none"/>
          </w:rPr>
          <w:t>http://smartcity.jakarta.go.id/</w:t>
        </w:r>
      </w:hyperlink>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）跟</w:t>
      </w:r>
      <w:r w:rsidRPr="00C77E77">
        <w:rPr>
          <w:rFonts w:ascii="Times New Roman" w:eastAsia="標楷體" w:hAnsi="Times New Roman" w:cs="Times New Roman"/>
          <w:sz w:val="28"/>
          <w:szCs w:val="28"/>
        </w:rPr>
        <w:t>APP</w:t>
      </w:r>
      <w:r w:rsidRPr="00C77E77">
        <w:rPr>
          <w:rFonts w:ascii="Times New Roman" w:eastAsia="標楷體" w:hAnsi="Times New Roman" w:cs="Times New Roman"/>
          <w:sz w:val="28"/>
          <w:szCs w:val="28"/>
        </w:rPr>
        <w:t>，萬隆也有指揮中心（</w:t>
      </w:r>
      <w:r w:rsidRPr="00C77E77">
        <w:rPr>
          <w:rFonts w:ascii="Times New Roman" w:eastAsia="標楷體" w:hAnsi="Times New Roman" w:cs="Times New Roman"/>
          <w:sz w:val="28"/>
          <w:szCs w:val="28"/>
        </w:rPr>
        <w:t>Bandung – Administration</w:t>
      </w:r>
      <w:r w:rsidRPr="00C77E77">
        <w:rPr>
          <w:rFonts w:ascii="Times New Roman" w:eastAsia="標楷體" w:hAnsi="Times New Roman" w:cs="Times New Roman"/>
          <w:sz w:val="28"/>
          <w:szCs w:val="28"/>
        </w:rPr>
        <w:t>），但都只是做初階的工作，例如民眾回報問題、官員進行整合。不過進階的交通系統整合涉及到規劃跟財源的問題，就不容易執行。</w:t>
      </w:r>
    </w:p>
    <w:p w:rsidR="00D81A16" w:rsidRPr="00C77E77" w:rsidRDefault="00FD0D5A"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灣要實事求是的拿出自己最有競爭優勢的一兩項產業，盡全力做到做好才會有效果。</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最有優勢的是農漁業，從生產、技術管理到販賣都是全球第一，印尼沒有理由不選擇我們。現在農科院已經過來考察，並且規劃了六個細目去執行，包括進行專業技術的協助、品種改良生物技術，還協助銷售、專利等。但是農漁業的議題又很多，例如</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灣有產稻米，那就不必強調稻米的合作以免打到自己；但是</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灣本土的咖啡產量少，</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灣人喝咖啡的數量又很多，應該跟印尼和越南談咖啡的合作。其它像是漁業、蘭花都很有發展力。</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印尼的電子商務雖然在成長中，但是跨境電商目前只佔零售業的</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％，要獲得發展還需要很長一段時間。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灣要界定清楚電子商務的上、中、下游產業，找出其中哪一塊是具有競爭優勢的。同時及早構思如何因應未來電商衍生出的商業規範跟傳統規範的衝突之處。</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印尼的智慧物流在成長中，例如現在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商是找長榮跟華航的配合商進行冷鏈物流，但是要能夠發展還需要很長一段時間。不過，印尼也有特殊的配送行業，最有名的是可以電話預約</w:t>
      </w:r>
      <w:r w:rsidRPr="00C77E77">
        <w:rPr>
          <w:rFonts w:ascii="Times New Roman" w:eastAsia="標楷體" w:hAnsi="Times New Roman" w:cs="Times New Roman"/>
          <w:sz w:val="28"/>
          <w:szCs w:val="28"/>
        </w:rPr>
        <w:t>Go-Jek</w:t>
      </w:r>
      <w:r w:rsidRPr="00C77E77">
        <w:rPr>
          <w:rFonts w:ascii="Times New Roman" w:eastAsia="標楷體" w:hAnsi="Times New Roman" w:cs="Times New Roman"/>
          <w:sz w:val="28"/>
          <w:szCs w:val="28"/>
        </w:rPr>
        <w:t>綠騎士軍團利用摩托車運送物品。</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電動車（有相反意見）：蔡副代表認為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灣的電動車不強，就不需要拿出來推。</w:t>
      </w:r>
      <w:r w:rsidRPr="00C77E77">
        <w:rPr>
          <w:rFonts w:ascii="Times New Roman" w:eastAsia="標楷體" w:hAnsi="Times New Roman" w:cs="Times New Roman"/>
          <w:sz w:val="28"/>
          <w:szCs w:val="28"/>
        </w:rPr>
        <w:t>Rene L. Pattiradjawane</w:t>
      </w:r>
      <w:r w:rsidRPr="00C77E77">
        <w:rPr>
          <w:rFonts w:ascii="Times New Roman" w:eastAsia="標楷體" w:hAnsi="Times New Roman" w:cs="Times New Roman"/>
          <w:sz w:val="28"/>
          <w:szCs w:val="28"/>
        </w:rPr>
        <w:t>則是歡迎電動機車等環保產業到印尼發展，也相信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灣有能力可以做的比中國大陸更好，未來在印尼會是受歡迎且有發展性的產業。不過充電廠、價格制定等都是問題，必須要找到適合的合作對象</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在醫療方面也有機會，除了</w:t>
      </w:r>
      <w:r w:rsidRPr="00C77E77">
        <w:rPr>
          <w:rFonts w:ascii="Times New Roman" w:eastAsia="標楷體" w:hAnsi="Times New Roman" w:cs="Times New Roman"/>
          <w:bCs/>
          <w:kern w:val="52"/>
          <w:sz w:val="28"/>
          <w:szCs w:val="28"/>
        </w:rPr>
        <w:t>家用醫材有市場以外，</w:t>
      </w:r>
      <w:r w:rsidRPr="00C77E77">
        <w:rPr>
          <w:rFonts w:ascii="Times New Roman" w:eastAsia="標楷體" w:hAnsi="Times New Roman" w:cs="Times New Roman"/>
          <w:sz w:val="28"/>
          <w:szCs w:val="28"/>
        </w:rPr>
        <w:t>印尼華人目前都是去新加坡、馬來西亞就醫。</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灣政府應該思考在健保體系之外進行設計，包括協助國際保險體系的接軌，以及在各大醫院空出一個國際樓層和專區，爭取讓印尼華人到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灣就醫、體檢的數量。但是在食物方面，</w:t>
      </w:r>
      <w:r w:rsidR="00FD0D5A" w:rsidRPr="00C77E77">
        <w:rPr>
          <w:rFonts w:ascii="Times New Roman" w:eastAsia="標楷體" w:hAnsi="Times New Roman" w:cs="Times New Roman"/>
          <w:bCs/>
          <w:kern w:val="52"/>
          <w:sz w:val="28"/>
          <w:szCs w:val="28"/>
        </w:rPr>
        <w:t>臺</w:t>
      </w:r>
      <w:r w:rsidRPr="00C77E77">
        <w:rPr>
          <w:rFonts w:ascii="Times New Roman" w:eastAsia="標楷體" w:hAnsi="Times New Roman" w:cs="Times New Roman"/>
          <w:bCs/>
          <w:kern w:val="52"/>
          <w:sz w:val="28"/>
          <w:szCs w:val="28"/>
        </w:rPr>
        <w:t>灣跟印尼的口味差距太大。印尼人也不太吃生機健康食品。</w:t>
      </w:r>
    </w:p>
    <w:p w:rsidR="00D81A16" w:rsidRPr="00C77E77" w:rsidRDefault="00FD0D5A"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灣的「製造」強，但是「</w:t>
      </w:r>
      <w:r w:rsidR="00D81A16" w:rsidRPr="00C77E77">
        <w:rPr>
          <w:rFonts w:ascii="Times New Roman" w:eastAsia="標楷體" w:hAnsi="Times New Roman" w:cs="Times New Roman"/>
          <w:sz w:val="28"/>
          <w:szCs w:val="28"/>
        </w:rPr>
        <w:t>marketing</w:t>
      </w:r>
      <w:r w:rsidR="00D81A16" w:rsidRPr="00C77E77">
        <w:rPr>
          <w:rFonts w:ascii="Times New Roman" w:eastAsia="標楷體" w:hAnsi="Times New Roman" w:cs="Times New Roman"/>
          <w:sz w:val="28"/>
          <w:szCs w:val="28"/>
        </w:rPr>
        <w:t>」很弱。</w:t>
      </w:r>
      <w:r w:rsidR="00D81A16" w:rsidRPr="00C77E77">
        <w:rPr>
          <w:rFonts w:ascii="Times New Roman" w:eastAsia="標楷體" w:hAnsi="Times New Roman" w:cs="Times New Roman"/>
          <w:bCs/>
          <w:kern w:val="52"/>
          <w:sz w:val="28"/>
          <w:szCs w:val="28"/>
        </w:rPr>
        <w:t>印尼的許可證非常難申請，所以拓展印尼市場最重要的是找到「</w:t>
      </w:r>
      <w:r w:rsidR="00D81A16" w:rsidRPr="00C77E77">
        <w:rPr>
          <w:rFonts w:ascii="Times New Roman" w:eastAsia="標楷體" w:hAnsi="Times New Roman" w:cs="Times New Roman"/>
          <w:bCs/>
          <w:kern w:val="52"/>
          <w:sz w:val="28"/>
          <w:szCs w:val="28"/>
        </w:rPr>
        <w:t>the first right person</w:t>
      </w:r>
      <w:r w:rsidR="00D81A16" w:rsidRPr="00C77E77">
        <w:rPr>
          <w:rFonts w:ascii="Times New Roman" w:eastAsia="標楷體" w:hAnsi="Times New Roman" w:cs="Times New Roman"/>
          <w:bCs/>
          <w:kern w:val="52"/>
          <w:sz w:val="28"/>
          <w:szCs w:val="28"/>
        </w:rPr>
        <w:t>」，不限定是華人、印尼當地人。</w:t>
      </w:r>
    </w:p>
    <w:p w:rsidR="00D81A16" w:rsidRPr="00C77E77" w:rsidRDefault="00D81A16" w:rsidP="0001327A">
      <w:pPr>
        <w:pStyle w:val="ab"/>
        <w:numPr>
          <w:ilvl w:val="0"/>
          <w:numId w:val="9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商在印尼已有基礎且仍具商機的是：機械製造業、鋼鐵製造業、石油製品，但這些都已經在衰退中。</w:t>
      </w:r>
    </w:p>
    <w:p w:rsidR="00D81A16" w:rsidRPr="00C77E77" w:rsidRDefault="00D81A16" w:rsidP="0001327A">
      <w:pPr>
        <w:pStyle w:val="ab"/>
        <w:numPr>
          <w:ilvl w:val="0"/>
          <w:numId w:val="9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灣已經有通路的企業過來印尼設廠，已有既有客源了，在印尼擴大生產規模，再慢慢打內需市場。</w:t>
      </w:r>
    </w:p>
    <w:p w:rsidR="00D81A16" w:rsidRPr="00C77E77" w:rsidRDefault="00D81A16" w:rsidP="0001327A">
      <w:pPr>
        <w:pStyle w:val="ab"/>
        <w:numPr>
          <w:ilvl w:val="0"/>
          <w:numId w:val="9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建議「參展」的行業：金屬加工、橡塑加工機、紡織加工、食品加工。</w:t>
      </w:r>
    </w:p>
    <w:p w:rsidR="00D81A16" w:rsidRPr="00C77E77" w:rsidRDefault="00D81A16" w:rsidP="0001327A">
      <w:pPr>
        <w:pStyle w:val="ab"/>
        <w:numPr>
          <w:ilvl w:val="0"/>
          <w:numId w:val="9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建議「參加拓銷團」的行業：消費性商品、終端商品。</w:t>
      </w:r>
    </w:p>
    <w:p w:rsidR="00D81A16" w:rsidRPr="00C77E77" w:rsidRDefault="00D81A16" w:rsidP="0001327A">
      <w:pPr>
        <w:pStyle w:val="ab"/>
        <w:numPr>
          <w:ilvl w:val="0"/>
          <w:numId w:val="9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日合作」的契機：汽機車零配件、模具業。</w:t>
      </w:r>
    </w:p>
    <w:p w:rsidR="00D81A16" w:rsidRPr="00C77E77" w:rsidRDefault="00D81A16" w:rsidP="0001327A">
      <w:pPr>
        <w:pStyle w:val="ab"/>
        <w:numPr>
          <w:ilvl w:val="0"/>
          <w:numId w:val="9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建議「設廠」：化妝品。例如歐來德用全植物製作，但要注意認證，且不可以有豬油成份。</w:t>
      </w:r>
    </w:p>
    <w:p w:rsidR="00D81A16" w:rsidRPr="00C77E77" w:rsidRDefault="00D81A16" w:rsidP="0001327A">
      <w:pPr>
        <w:pStyle w:val="ab"/>
        <w:numPr>
          <w:ilvl w:val="0"/>
          <w:numId w:val="9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因為現在中國、東協的製造業都已經迎頭趕上，建議未來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灣的製造業必需結合服務業，不能只賣工具機，還要包括後面一整套的服務鍊。後續的服務部分，才是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灣贏過東協和中國的地方。</w:t>
      </w:r>
    </w:p>
    <w:p w:rsidR="00D81A16" w:rsidRPr="00C77E77" w:rsidRDefault="00FD0D5A"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灣想打金融亞洲杯是沒有勝算的，因為</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商銀行的數量多、規模小、沒有國際競爭力，所以中國信託銀行的利息很高（印尼盾</w:t>
      </w:r>
      <w:r w:rsidR="00D81A16" w:rsidRPr="00C77E77">
        <w:rPr>
          <w:rFonts w:ascii="Times New Roman" w:eastAsia="標楷體" w:hAnsi="Times New Roman" w:cs="Times New Roman"/>
          <w:sz w:val="28"/>
          <w:szCs w:val="28"/>
        </w:rPr>
        <w:t>12</w:t>
      </w:r>
      <w:r w:rsidR="00D81A16" w:rsidRPr="00C77E77">
        <w:rPr>
          <w:rFonts w:ascii="Times New Roman" w:eastAsia="標楷體" w:hAnsi="Times New Roman" w:cs="Times New Roman"/>
          <w:sz w:val="28"/>
          <w:szCs w:val="28"/>
        </w:rPr>
        <w:t>％，美金</w:t>
      </w:r>
      <w:r w:rsidR="00D81A16" w:rsidRPr="00C77E77">
        <w:rPr>
          <w:rFonts w:ascii="Times New Roman" w:eastAsia="標楷體" w:hAnsi="Times New Roman" w:cs="Times New Roman"/>
          <w:sz w:val="28"/>
          <w:szCs w:val="28"/>
        </w:rPr>
        <w:t>5</w:t>
      </w:r>
      <w:r w:rsidR="00D81A16" w:rsidRPr="00C77E77">
        <w:rPr>
          <w:rFonts w:ascii="Times New Roman" w:eastAsia="標楷體" w:hAnsi="Times New Roman" w:cs="Times New Roman"/>
          <w:sz w:val="28"/>
          <w:szCs w:val="28"/>
        </w:rPr>
        <w:t>％），完全打不贏印尼當地的銀行或其他外資銀行。中國信託銀行的主要財源是借款給要到</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灣工作的印尼勞工，而</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商只有在需要繳</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商學校</w:t>
      </w:r>
      <w:r w:rsidR="00D81A16" w:rsidRPr="00C77E77">
        <w:rPr>
          <w:rFonts w:ascii="Times New Roman" w:eastAsia="標楷體" w:hAnsi="Times New Roman" w:cs="Times New Roman"/>
          <w:sz w:val="28"/>
          <w:szCs w:val="28"/>
        </w:rPr>
        <w:lastRenderedPageBreak/>
        <w:t>的學費時才會去中國信託銀行。建議</w:t>
      </w: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灣的銀行必須整併到</w:t>
      </w:r>
      <w:r w:rsidR="00D81A16" w:rsidRPr="00C77E77">
        <w:rPr>
          <w:rFonts w:ascii="Times New Roman" w:eastAsia="標楷體" w:hAnsi="Times New Roman" w:cs="Times New Roman"/>
          <w:sz w:val="28"/>
          <w:szCs w:val="28"/>
        </w:rPr>
        <w:t>5~10</w:t>
      </w:r>
      <w:r w:rsidR="00D81A16" w:rsidRPr="00C77E77">
        <w:rPr>
          <w:rFonts w:ascii="Times New Roman" w:eastAsia="標楷體" w:hAnsi="Times New Roman" w:cs="Times New Roman"/>
          <w:sz w:val="28"/>
          <w:szCs w:val="28"/>
        </w:rPr>
        <w:t>家，才能提昇競爭力。</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建議讓印尼人到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灣學技術、職校訓練等。印尼高中前的教育</w:t>
      </w:r>
      <w:r w:rsidR="00CE7F9D" w:rsidRPr="00C77E77">
        <w:rPr>
          <w:rFonts w:ascii="Times New Roman" w:eastAsia="標楷體" w:hAnsi="Times New Roman" w:cs="Times New Roman"/>
          <w:sz w:val="28"/>
          <w:szCs w:val="28"/>
        </w:rPr>
        <w:t>不符合產業需求</w:t>
      </w:r>
      <w:r w:rsidRPr="00C77E77">
        <w:rPr>
          <w:rFonts w:ascii="Times New Roman" w:eastAsia="標楷體" w:hAnsi="Times New Roman" w:cs="Times New Roman"/>
          <w:sz w:val="28"/>
          <w:szCs w:val="28"/>
        </w:rPr>
        <w:t>，未來欠缺基礎幹部，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灣可以在此作產學合作、基礎代訓、設置訓練中心。</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賴理事長也建議那些長期打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灣本土市場的品牌，若有心佈局印尼市場的話，可以選擇在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灣本土發展工業</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灣打國際盃；然後把工業</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的機器半成品運到印尼的加工廠組裝，打印尼的內需市場。這樣是能夠擁有自己品牌與製造鏈的最有效方式。</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全世界的觀光勝地幾乎都很難找到東南亞國家的導遊或清真餐廳，建議政府多加培養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灣的外配，因為外配沒有語言隔閡而且最瞭解哪裡有適合飲食的餐廳。政府應該開設免費訓練課程，或以補助形式鼓勵旅行社接待來自東南亞的團客。</w:t>
      </w:r>
    </w:p>
    <w:p w:rsidR="00D81A16" w:rsidRPr="00C77E77" w:rsidRDefault="00D81A16" w:rsidP="0001327A">
      <w:pPr>
        <w:pStyle w:val="ab"/>
        <w:numPr>
          <w:ilvl w:val="0"/>
          <w:numId w:val="92"/>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sz w:val="28"/>
          <w:szCs w:val="28"/>
        </w:rPr>
        <w:t>其它對政府的建議：</w:t>
      </w:r>
    </w:p>
    <w:p w:rsidR="00D81A16" w:rsidRPr="00C77E77" w:rsidRDefault="00FD0D5A" w:rsidP="0001327A">
      <w:pPr>
        <w:pStyle w:val="ab"/>
        <w:numPr>
          <w:ilvl w:val="0"/>
          <w:numId w:val="93"/>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灣如果繼續在經濟方面努力，印尼政府就不會有一中問題的顧慮，但若牽涉到政治問題就絕對推不動。例如，絕對不可能成功設置</w:t>
      </w:r>
      <w:r w:rsidR="00D81A16" w:rsidRPr="00C77E77">
        <w:rPr>
          <w:rFonts w:ascii="Times New Roman" w:eastAsia="標楷體" w:hAnsi="Times New Roman" w:cs="Times New Roman"/>
          <w:bCs/>
          <w:kern w:val="52"/>
          <w:sz w:val="28"/>
          <w:szCs w:val="28"/>
        </w:rPr>
        <w:t>Taiwan-ASEAN</w:t>
      </w:r>
      <w:r w:rsidR="00D81A16" w:rsidRPr="00C77E77">
        <w:rPr>
          <w:rFonts w:ascii="Times New Roman" w:eastAsia="標楷體" w:hAnsi="Times New Roman" w:cs="Times New Roman"/>
          <w:bCs/>
          <w:kern w:val="52"/>
          <w:sz w:val="28"/>
          <w:szCs w:val="28"/>
        </w:rPr>
        <w:t>窗口，因為這表示</w:t>
      </w: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灣跟東協有正式的外交關係，或者表示</w:t>
      </w: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灣是東協的一部分，跟中國關係良好的寮國、</w:t>
      </w:r>
      <w:r w:rsidR="00CE7F9D" w:rsidRPr="00C77E77">
        <w:rPr>
          <w:rFonts w:ascii="Times New Roman" w:eastAsia="標楷體" w:hAnsi="Times New Roman" w:cs="Times New Roman"/>
          <w:bCs/>
          <w:kern w:val="52"/>
          <w:sz w:val="28"/>
          <w:szCs w:val="28"/>
        </w:rPr>
        <w:t>柬埔寨</w:t>
      </w:r>
      <w:r w:rsidR="00D81A16" w:rsidRPr="00C77E77">
        <w:rPr>
          <w:rFonts w:ascii="Times New Roman" w:eastAsia="標楷體" w:hAnsi="Times New Roman" w:cs="Times New Roman"/>
          <w:bCs/>
          <w:kern w:val="52"/>
          <w:sz w:val="28"/>
          <w:szCs w:val="28"/>
        </w:rPr>
        <w:t>一定會跳出來反對。</w:t>
      </w:r>
    </w:p>
    <w:p w:rsidR="00D81A16" w:rsidRPr="00C77E77" w:rsidRDefault="00FD0D5A" w:rsidP="0001327A">
      <w:pPr>
        <w:pStyle w:val="ab"/>
        <w:numPr>
          <w:ilvl w:val="0"/>
          <w:numId w:val="93"/>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灣政府要跟國營企業合作，營造相輔相成的氣勢，才能提高印尼人的品牌辨識度。同時政府應該要給印尼好處，取得印尼政府對</w:t>
      </w: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灣的信任跟支持，才有辦法跳脫政治外交的困境，以及一中原則的限制，進而讓印尼政府願意協助</w:t>
      </w: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商解決問題。</w:t>
      </w:r>
    </w:p>
    <w:p w:rsidR="00D81A16" w:rsidRPr="00C77E77" w:rsidRDefault="00FD0D5A" w:rsidP="0001327A">
      <w:pPr>
        <w:pStyle w:val="ab"/>
        <w:numPr>
          <w:ilvl w:val="0"/>
          <w:numId w:val="93"/>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灣應該要務實的強化自己的經濟實力與影響力，不主動去爭外交上的正式名稱，而讓自己強大到讓東協國家願意主動替</w:t>
      </w: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灣發聲。例如，</w:t>
      </w:r>
      <w:r w:rsidR="00D81A16" w:rsidRPr="00C77E77">
        <w:rPr>
          <w:rFonts w:ascii="Times New Roman" w:eastAsia="標楷體" w:hAnsi="Times New Roman" w:cs="Times New Roman"/>
          <w:bCs/>
          <w:kern w:val="52"/>
          <w:sz w:val="28"/>
          <w:szCs w:val="28"/>
        </w:rPr>
        <w:lastRenderedPageBreak/>
        <w:t>在</w:t>
      </w: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灣舉辦東協國家的企業媒合會，並且利用</w:t>
      </w: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灣本身的東南亞人士，了解東協國家的民情想法、消費習慣，設法找到打入東協國家市場的正確切入點。等到成功造就很多企業合作機會並藉由商業活動擴大在東協的實質經濟影響力後，東協國家就會主動幫</w:t>
      </w:r>
      <w:r w:rsidRPr="00C77E77">
        <w:rPr>
          <w:rFonts w:ascii="Times New Roman" w:eastAsia="標楷體" w:hAnsi="Times New Roman" w:cs="Times New Roman"/>
          <w:bCs/>
          <w:kern w:val="52"/>
          <w:sz w:val="28"/>
          <w:szCs w:val="28"/>
        </w:rPr>
        <w:t>臺</w:t>
      </w:r>
      <w:r w:rsidR="00D81A16" w:rsidRPr="00C77E77">
        <w:rPr>
          <w:rFonts w:ascii="Times New Roman" w:eastAsia="標楷體" w:hAnsi="Times New Roman" w:cs="Times New Roman"/>
          <w:bCs/>
          <w:kern w:val="52"/>
          <w:sz w:val="28"/>
          <w:szCs w:val="28"/>
        </w:rPr>
        <w:t>灣爭取國際曝光機會和國際合作空間。</w:t>
      </w:r>
    </w:p>
    <w:p w:rsidR="00D81A16" w:rsidRPr="00C77E77" w:rsidRDefault="00D81A16" w:rsidP="0001327A">
      <w:pPr>
        <w:pStyle w:val="ab"/>
        <w:numPr>
          <w:ilvl w:val="0"/>
          <w:numId w:val="93"/>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bCs/>
          <w:kern w:val="52"/>
          <w:sz w:val="28"/>
          <w:szCs w:val="28"/>
        </w:rPr>
        <w:t>調整外館配置。目前經濟組設一個組長、三個秘書，作所有的事情，且幾乎都是在辦公室的文書工作。應該在秘書下面配一到兩個當地人，協助蒐集資料，才能徹底了解當地的情況。</w:t>
      </w:r>
    </w:p>
    <w:p w:rsidR="00D81A16" w:rsidRPr="00C77E77" w:rsidRDefault="00FD0D5A" w:rsidP="0001327A">
      <w:pPr>
        <w:pStyle w:val="ab"/>
        <w:numPr>
          <w:ilvl w:val="0"/>
          <w:numId w:val="93"/>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sz w:val="28"/>
          <w:szCs w:val="28"/>
        </w:rPr>
        <w:t>臺</w:t>
      </w:r>
      <w:r w:rsidR="00D81A16" w:rsidRPr="00C77E77">
        <w:rPr>
          <w:rFonts w:ascii="Times New Roman" w:eastAsia="標楷體" w:hAnsi="Times New Roman" w:cs="Times New Roman"/>
          <w:sz w:val="28"/>
          <w:szCs w:val="28"/>
        </w:rPr>
        <w:t>灣要推動</w:t>
      </w:r>
      <w:r w:rsidR="00D81A16" w:rsidRPr="00C77E77">
        <w:rPr>
          <w:rFonts w:ascii="Times New Roman" w:eastAsia="標楷體" w:hAnsi="Times New Roman" w:cs="Times New Roman"/>
          <w:sz w:val="28"/>
          <w:szCs w:val="28"/>
        </w:rPr>
        <w:t>FTA</w:t>
      </w:r>
      <w:r w:rsidR="00D81A16" w:rsidRPr="00C77E77">
        <w:rPr>
          <w:rFonts w:ascii="Times New Roman" w:eastAsia="標楷體" w:hAnsi="Times New Roman" w:cs="Times New Roman"/>
          <w:sz w:val="28"/>
          <w:szCs w:val="28"/>
        </w:rPr>
        <w:t>、</w:t>
      </w:r>
      <w:r w:rsidR="00D81A16" w:rsidRPr="00C77E77">
        <w:rPr>
          <w:rFonts w:ascii="Times New Roman" w:eastAsia="標楷體" w:hAnsi="Times New Roman" w:cs="Times New Roman"/>
          <w:sz w:val="28"/>
          <w:szCs w:val="28"/>
        </w:rPr>
        <w:t>TPP</w:t>
      </w:r>
      <w:r w:rsidR="00D81A16" w:rsidRPr="00C77E77">
        <w:rPr>
          <w:rFonts w:ascii="Times New Roman" w:eastAsia="標楷體" w:hAnsi="Times New Roman" w:cs="Times New Roman"/>
          <w:sz w:val="28"/>
          <w:szCs w:val="28"/>
        </w:rPr>
        <w:t>、</w:t>
      </w:r>
      <w:r w:rsidR="00D81A16" w:rsidRPr="00C77E77">
        <w:rPr>
          <w:rFonts w:ascii="Times New Roman" w:eastAsia="標楷體" w:hAnsi="Times New Roman" w:cs="Times New Roman"/>
          <w:sz w:val="28"/>
          <w:szCs w:val="28"/>
        </w:rPr>
        <w:t>RCEP</w:t>
      </w:r>
      <w:r w:rsidR="00D81A16" w:rsidRPr="00C77E77">
        <w:rPr>
          <w:rFonts w:ascii="Times New Roman" w:eastAsia="標楷體" w:hAnsi="Times New Roman" w:cs="Times New Roman"/>
          <w:sz w:val="28"/>
          <w:szCs w:val="28"/>
        </w:rPr>
        <w:t>的困境永遠都在，但始終要放在桌面上，協助關稅障礙的排除、政府採購案、帶入火車頭產業等。</w:t>
      </w:r>
    </w:p>
    <w:p w:rsidR="00D81A16" w:rsidRPr="00C77E77" w:rsidRDefault="00CE7F9D" w:rsidP="0001327A">
      <w:pPr>
        <w:pStyle w:val="ab"/>
        <w:numPr>
          <w:ilvl w:val="0"/>
          <w:numId w:val="93"/>
        </w:numPr>
        <w:spacing w:beforeLines="50" w:before="180" w:afterLines="50" w:after="180" w:line="500" w:lineRule="exact"/>
        <w:ind w:leftChars="0"/>
        <w:jc w:val="both"/>
        <w:rPr>
          <w:rFonts w:ascii="Times New Roman" w:eastAsia="標楷體" w:hAnsi="Times New Roman" w:cs="Times New Roman"/>
          <w:bCs/>
          <w:kern w:val="52"/>
          <w:sz w:val="28"/>
          <w:szCs w:val="28"/>
        </w:rPr>
      </w:pPr>
      <w:r w:rsidRPr="00C77E77">
        <w:rPr>
          <w:rFonts w:ascii="Times New Roman" w:eastAsia="標楷體" w:hAnsi="Times New Roman" w:cs="Times New Roman"/>
          <w:sz w:val="28"/>
          <w:szCs w:val="28"/>
        </w:rPr>
        <w:t>考慮</w:t>
      </w:r>
      <w:r w:rsidR="00D81A16" w:rsidRPr="00C77E77">
        <w:rPr>
          <w:rFonts w:ascii="Times New Roman" w:eastAsia="標楷體" w:hAnsi="Times New Roman" w:cs="Times New Roman"/>
          <w:sz w:val="28"/>
          <w:szCs w:val="28"/>
        </w:rPr>
        <w:t>「文化輸出」</w:t>
      </w:r>
      <w:r w:rsidRPr="00C77E77">
        <w:rPr>
          <w:rFonts w:ascii="Times New Roman" w:eastAsia="標楷體" w:hAnsi="Times New Roman" w:cs="Times New Roman"/>
          <w:sz w:val="28"/>
          <w:szCs w:val="28"/>
        </w:rPr>
        <w:t>的可能性</w:t>
      </w:r>
      <w:r w:rsidR="00D81A16"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目前</w:t>
      </w:r>
      <w:r w:rsidR="00E524D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w:t>
      </w:r>
      <w:r w:rsidR="00D81A16" w:rsidRPr="00C77E77">
        <w:rPr>
          <w:rFonts w:ascii="Times New Roman" w:eastAsia="標楷體" w:hAnsi="Times New Roman" w:cs="Times New Roman"/>
          <w:sz w:val="28"/>
          <w:szCs w:val="28"/>
        </w:rPr>
        <w:t>F4</w:t>
      </w:r>
      <w:r w:rsidR="00D81A16" w:rsidRPr="00C77E77">
        <w:rPr>
          <w:rFonts w:ascii="Times New Roman" w:eastAsia="標楷體" w:hAnsi="Times New Roman" w:cs="Times New Roman"/>
          <w:sz w:val="28"/>
          <w:szCs w:val="28"/>
        </w:rPr>
        <w:t>、張惠妹</w:t>
      </w:r>
      <w:r w:rsidRPr="00C77E77">
        <w:rPr>
          <w:rFonts w:ascii="Times New Roman" w:eastAsia="標楷體" w:hAnsi="Times New Roman" w:cs="Times New Roman"/>
          <w:sz w:val="28"/>
          <w:szCs w:val="28"/>
        </w:rPr>
        <w:t>在印尼很有知名度</w:t>
      </w:r>
      <w:r w:rsidR="00D81A16"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而</w:t>
      </w:r>
      <w:r w:rsidR="00D81A16" w:rsidRPr="00C77E77">
        <w:rPr>
          <w:rFonts w:ascii="Times New Roman" w:eastAsia="標楷體" w:hAnsi="Times New Roman" w:cs="Times New Roman"/>
          <w:sz w:val="28"/>
          <w:szCs w:val="28"/>
        </w:rPr>
        <w:t>蔡琴、費玉清</w:t>
      </w:r>
      <w:r w:rsidRPr="00C77E77">
        <w:rPr>
          <w:rFonts w:ascii="Times New Roman" w:eastAsia="標楷體" w:hAnsi="Times New Roman" w:cs="Times New Roman"/>
          <w:sz w:val="28"/>
          <w:szCs w:val="28"/>
        </w:rPr>
        <w:t>在</w:t>
      </w:r>
      <w:r w:rsidR="00D81A16" w:rsidRPr="00C77E77">
        <w:rPr>
          <w:rFonts w:ascii="Times New Roman" w:eastAsia="標楷體" w:hAnsi="Times New Roman" w:cs="Times New Roman"/>
          <w:sz w:val="28"/>
          <w:szCs w:val="28"/>
        </w:rPr>
        <w:t>新加坡</w:t>
      </w:r>
      <w:r w:rsidRPr="00C77E77">
        <w:rPr>
          <w:rFonts w:ascii="Times New Roman" w:eastAsia="標楷體" w:hAnsi="Times New Roman" w:cs="Times New Roman"/>
          <w:sz w:val="28"/>
          <w:szCs w:val="28"/>
        </w:rPr>
        <w:t>的知名度也很高</w:t>
      </w:r>
      <w:r w:rsidR="00D81A16"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可以考慮透過文化交流的方式增進雙方的良好互動。</w:t>
      </w:r>
    </w:p>
    <w:p w:rsidR="00496193" w:rsidRPr="00C77E77" w:rsidRDefault="009C20E3">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496193" w:rsidRPr="00C77E77" w:rsidRDefault="00496193">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br w:type="page"/>
      </w:r>
    </w:p>
    <w:p w:rsidR="00D81A16" w:rsidRPr="00C77E77" w:rsidRDefault="009C20E3" w:rsidP="00542B30">
      <w:pPr>
        <w:pStyle w:val="1"/>
        <w:rPr>
          <w:rFonts w:ascii="Times New Roman" w:eastAsia="標楷體" w:hAnsi="Times New Roman" w:cs="Times New Roman"/>
          <w:sz w:val="36"/>
          <w:szCs w:val="36"/>
        </w:rPr>
      </w:pPr>
      <w:bookmarkStart w:id="214" w:name="_Toc470676338"/>
      <w:r w:rsidRPr="00C77E77">
        <w:rPr>
          <w:rFonts w:ascii="Times New Roman" w:eastAsia="標楷體" w:hAnsi="Times New Roman" w:cs="Times New Roman"/>
          <w:sz w:val="36"/>
          <w:szCs w:val="36"/>
        </w:rPr>
        <w:lastRenderedPageBreak/>
        <w:t>附錄</w:t>
      </w:r>
      <w:r w:rsidR="00542B30" w:rsidRPr="00C77E77">
        <w:rPr>
          <w:rFonts w:ascii="Times New Roman" w:eastAsia="標楷體" w:hAnsi="Times New Roman" w:cs="Times New Roman"/>
          <w:sz w:val="36"/>
          <w:szCs w:val="36"/>
        </w:rPr>
        <w:t>十</w:t>
      </w:r>
      <w:r w:rsidR="009A1102" w:rsidRPr="00C77E77">
        <w:rPr>
          <w:rFonts w:ascii="Times New Roman" w:eastAsia="標楷體" w:hAnsi="Times New Roman" w:cs="Times New Roman"/>
          <w:sz w:val="36"/>
          <w:szCs w:val="36"/>
        </w:rPr>
        <w:t>一</w:t>
      </w:r>
      <w:r w:rsidR="00542B30" w:rsidRPr="00C77E77">
        <w:rPr>
          <w:rFonts w:ascii="Times New Roman" w:eastAsia="標楷體" w:hAnsi="Times New Roman" w:cs="Times New Roman"/>
          <w:sz w:val="36"/>
          <w:szCs w:val="36"/>
        </w:rPr>
        <w:t>：出國報告書</w:t>
      </w:r>
      <w:r w:rsidR="00542B30" w:rsidRPr="00C77E77">
        <w:rPr>
          <w:rFonts w:ascii="Times New Roman" w:eastAsia="標楷體" w:hAnsi="Times New Roman" w:cs="Times New Roman"/>
          <w:sz w:val="36"/>
          <w:szCs w:val="36"/>
        </w:rPr>
        <w:t>─</w:t>
      </w:r>
      <w:r w:rsidR="00542B30" w:rsidRPr="00C77E77">
        <w:rPr>
          <w:rFonts w:ascii="Times New Roman" w:eastAsia="標楷體" w:hAnsi="Times New Roman" w:cs="Times New Roman"/>
          <w:sz w:val="36"/>
          <w:szCs w:val="36"/>
        </w:rPr>
        <w:t>越南</w:t>
      </w:r>
      <w:bookmarkEnd w:id="214"/>
    </w:p>
    <w:p w:rsidR="009C20E3" w:rsidRPr="00C77E77" w:rsidRDefault="009C20E3" w:rsidP="0001327A">
      <w:pPr>
        <w:pStyle w:val="ab"/>
        <w:numPr>
          <w:ilvl w:val="0"/>
          <w:numId w:val="116"/>
        </w:numPr>
        <w:ind w:leftChars="0"/>
        <w:rPr>
          <w:rFonts w:ascii="Times New Roman" w:eastAsia="標楷體" w:hAnsi="Times New Roman" w:cs="Times New Roman"/>
          <w:b/>
          <w:sz w:val="28"/>
          <w:szCs w:val="28"/>
        </w:rPr>
      </w:pPr>
      <w:bookmarkStart w:id="215" w:name="_Toc465352200"/>
      <w:r w:rsidRPr="00C77E77">
        <w:rPr>
          <w:rFonts w:ascii="Times New Roman" w:eastAsia="標楷體" w:hAnsi="Times New Roman" w:cs="Times New Roman"/>
          <w:b/>
          <w:sz w:val="28"/>
          <w:szCs w:val="28"/>
        </w:rPr>
        <w:t>背景說明</w:t>
      </w:r>
      <w:bookmarkEnd w:id="215"/>
    </w:p>
    <w:p w:rsidR="009C20E3" w:rsidRPr="00C77E77" w:rsidRDefault="009C20E3" w:rsidP="009C20E3">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為打破過往臺灣對外輸出關鍵零組件等「中間財」薄利化出口模式，經濟部在行政院「系統整合藍海出口」政策決議指導下，於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年成立「系統整合推動平臺」，挑選雲端系統、智慧物流、電子化政府、智慧校園、智慧健康、綠色運輸、電子收費、石化、太陽能、</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照明等十大具有出口實績與潛力產業，加上新政府重點推動之電子商務及新農業，列為現階段我國主要「</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」產業南向發展方案。為提供政府制訂政策之建言，有必要拜會並瞭解我國於越南投資設廠之相關業者對於南向政策之評估看法、佈局策略，及所面臨之困難。</w:t>
      </w:r>
    </w:p>
    <w:p w:rsidR="009C20E3" w:rsidRPr="00C77E77" w:rsidRDefault="00FD0D5A" w:rsidP="009C20E3">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灣經濟研究院新興市場發展研究中心承接國家發展委員會的「東南亞及南亞經濟合作策略計畫」，為深入瞭解</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十大系統輸出」、新農業及電子商務等十二項產業拓展東協及印度市場之現況和面臨的困難，故而前往越南訪問相關業者，希望能夠瞭解該十二項產業在政府「新南向政策」下與東協和印度雙向合作之機會與挑戰，以及越南對於我國推動該十二項產業過程中可能的反應和行動，從而才能據以探討我國「</w:t>
      </w:r>
      <w:r w:rsidR="009C20E3" w:rsidRPr="00C77E77">
        <w:rPr>
          <w:rFonts w:ascii="Times New Roman" w:eastAsia="標楷體" w:hAnsi="Times New Roman" w:cs="Times New Roman"/>
          <w:sz w:val="28"/>
          <w:szCs w:val="28"/>
        </w:rPr>
        <w:t>10+2</w:t>
      </w:r>
      <w:r w:rsidR="009C20E3" w:rsidRPr="00C77E77">
        <w:rPr>
          <w:rFonts w:ascii="Times New Roman" w:eastAsia="標楷體" w:hAnsi="Times New Roman" w:cs="Times New Roman"/>
          <w:sz w:val="28"/>
          <w:szCs w:val="28"/>
        </w:rPr>
        <w:t>」產業南向發展方案之可行途徑。</w:t>
      </w:r>
    </w:p>
    <w:p w:rsidR="009C20E3" w:rsidRPr="00C77E77" w:rsidRDefault="009C20E3" w:rsidP="009C20E3">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本次訪問的單位與人士包括：越南</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商總會、胡志明市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灣商會、丁善理紀念學校、外貿協會越南辦事處、同奈省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灣商會、味丹食品公司、平陽省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灣商會、大發食品公司、世越銀行等相關產、學代表，針對當前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灣、越南雙邊投資貿易現況與發展情勢進行討論，俾利我國「</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」產業南向發展規劃妥慎行動方案，擬定相關可行策略，以加速相關雙邊合作進程。</w:t>
      </w:r>
    </w:p>
    <w:p w:rsidR="009C20E3" w:rsidRPr="00C77E77" w:rsidRDefault="009C20E3">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9C20E3" w:rsidRPr="00C77E77" w:rsidRDefault="009C20E3" w:rsidP="009C20E3">
      <w:pPr>
        <w:widowControl/>
        <w:spacing w:beforeLines="50" w:before="180" w:afterLines="50" w:after="180" w:line="500" w:lineRule="exact"/>
        <w:ind w:firstLineChars="200" w:firstLine="560"/>
        <w:jc w:val="both"/>
        <w:rPr>
          <w:rFonts w:ascii="Times New Roman" w:eastAsia="標楷體" w:hAnsi="Times New Roman" w:cs="Times New Roman"/>
          <w:sz w:val="28"/>
          <w:szCs w:val="28"/>
        </w:rPr>
      </w:pPr>
    </w:p>
    <w:p w:rsidR="009C20E3" w:rsidRPr="00C77E77" w:rsidRDefault="009C20E3" w:rsidP="009C20E3">
      <w:pPr>
        <w:widowControl/>
        <w:spacing w:beforeLines="50" w:before="180" w:afterLines="50" w:after="180" w:line="500" w:lineRule="exact"/>
        <w:ind w:firstLineChars="200" w:firstLine="560"/>
        <w:jc w:val="center"/>
        <w:rPr>
          <w:rFonts w:ascii="Times New Roman" w:eastAsia="標楷體" w:hAnsi="Times New Roman" w:cs="Times New Roman"/>
          <w:sz w:val="28"/>
          <w:szCs w:val="28"/>
        </w:rPr>
      </w:pPr>
      <w:bookmarkStart w:id="216" w:name="_Toc465347600"/>
      <w:r w:rsidRPr="00C77E77">
        <w:rPr>
          <w:rFonts w:ascii="Times New Roman" w:eastAsia="標楷體" w:hAnsi="Times New Roman" w:cs="Times New Roman"/>
          <w:sz w:val="28"/>
          <w:szCs w:val="28"/>
        </w:rPr>
        <w:t>表</w:t>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SEQ </w:instrText>
      </w:r>
      <w:r w:rsidRPr="00C77E77">
        <w:rPr>
          <w:rFonts w:ascii="Times New Roman" w:eastAsia="標楷體" w:hAnsi="Times New Roman" w:cs="Times New Roman"/>
          <w:sz w:val="28"/>
          <w:szCs w:val="28"/>
        </w:rPr>
        <w:instrText>表</w:instrText>
      </w:r>
      <w:r w:rsidRPr="00C77E77">
        <w:rPr>
          <w:rFonts w:ascii="Times New Roman" w:eastAsia="標楷體" w:hAnsi="Times New Roman" w:cs="Times New Roman"/>
          <w:sz w:val="28"/>
          <w:szCs w:val="28"/>
        </w:rPr>
        <w:instrText xml:space="preserve"> \* ARABIC </w:instrText>
      </w:r>
      <w:r w:rsidRPr="00C77E77">
        <w:rPr>
          <w:rFonts w:ascii="Times New Roman" w:eastAsia="標楷體" w:hAnsi="Times New Roman" w:cs="Times New Roman"/>
          <w:sz w:val="28"/>
          <w:szCs w:val="28"/>
        </w:rPr>
        <w:fldChar w:fldCharType="separate"/>
      </w:r>
      <w:r w:rsidR="00D45A64" w:rsidRPr="00C77E77">
        <w:rPr>
          <w:rFonts w:ascii="Times New Roman" w:eastAsia="標楷體" w:hAnsi="Times New Roman" w:cs="Times New Roman"/>
          <w:noProof/>
          <w:sz w:val="28"/>
          <w:szCs w:val="28"/>
        </w:rPr>
        <w:t>5</w:t>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t>、訪問團成員名單</w:t>
      </w:r>
      <w:bookmarkEnd w:id="216"/>
    </w:p>
    <w:tbl>
      <w:tblPr>
        <w:tblStyle w:val="af4"/>
        <w:tblW w:w="0" w:type="auto"/>
        <w:jc w:val="center"/>
        <w:tblLook w:val="04A0" w:firstRow="1" w:lastRow="0" w:firstColumn="1" w:lastColumn="0" w:noHBand="0" w:noVBand="1"/>
      </w:tblPr>
      <w:tblGrid>
        <w:gridCol w:w="2356"/>
        <w:gridCol w:w="1236"/>
        <w:gridCol w:w="1516"/>
      </w:tblGrid>
      <w:tr w:rsidR="009C20E3" w:rsidRPr="00C77E77" w:rsidTr="009C20E3">
        <w:trPr>
          <w:jc w:val="center"/>
        </w:trPr>
        <w:tc>
          <w:tcPr>
            <w:tcW w:w="2356" w:type="dxa"/>
          </w:tcPr>
          <w:p w:rsidR="009C20E3" w:rsidRPr="00C77E77" w:rsidRDefault="009C20E3" w:rsidP="009C20E3">
            <w:pPr>
              <w:snapToGrid w:val="0"/>
              <w:spacing w:beforeLines="50" w:before="180" w:afterLines="50" w:after="18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服務單位</w:t>
            </w:r>
          </w:p>
        </w:tc>
        <w:tc>
          <w:tcPr>
            <w:tcW w:w="1236" w:type="dxa"/>
          </w:tcPr>
          <w:p w:rsidR="009C20E3" w:rsidRPr="00C77E77" w:rsidRDefault="009C20E3" w:rsidP="009C20E3">
            <w:pPr>
              <w:snapToGrid w:val="0"/>
              <w:spacing w:beforeLines="50" w:before="180" w:afterLines="50" w:after="18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姓名</w:t>
            </w:r>
          </w:p>
        </w:tc>
        <w:tc>
          <w:tcPr>
            <w:tcW w:w="1516" w:type="dxa"/>
          </w:tcPr>
          <w:p w:rsidR="009C20E3" w:rsidRPr="00C77E77" w:rsidRDefault="009C20E3" w:rsidP="009C20E3">
            <w:pPr>
              <w:snapToGrid w:val="0"/>
              <w:spacing w:beforeLines="50" w:before="180" w:afterLines="50" w:after="180"/>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職稱</w:t>
            </w:r>
          </w:p>
        </w:tc>
      </w:tr>
      <w:tr w:rsidR="009C20E3" w:rsidRPr="00C77E77" w:rsidTr="009C20E3">
        <w:trPr>
          <w:jc w:val="center"/>
        </w:trPr>
        <w:tc>
          <w:tcPr>
            <w:tcW w:w="2356" w:type="dxa"/>
          </w:tcPr>
          <w:p w:rsidR="009C20E3" w:rsidRPr="00C77E77" w:rsidRDefault="00FD0D5A" w:rsidP="009C20E3">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灣經濟研究院</w:t>
            </w:r>
          </w:p>
        </w:tc>
        <w:tc>
          <w:tcPr>
            <w:tcW w:w="1236" w:type="dxa"/>
          </w:tcPr>
          <w:p w:rsidR="009C20E3" w:rsidRPr="00C77E77" w:rsidRDefault="009C20E3" w:rsidP="009C20E3">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譚瑾瑜</w:t>
            </w:r>
          </w:p>
        </w:tc>
        <w:tc>
          <w:tcPr>
            <w:tcW w:w="1516" w:type="dxa"/>
          </w:tcPr>
          <w:p w:rsidR="009C20E3" w:rsidRPr="00C77E77" w:rsidRDefault="009C20E3" w:rsidP="009C20E3">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主任</w:t>
            </w:r>
          </w:p>
        </w:tc>
      </w:tr>
      <w:tr w:rsidR="009C20E3" w:rsidRPr="00C77E77" w:rsidTr="009C20E3">
        <w:trPr>
          <w:jc w:val="center"/>
        </w:trPr>
        <w:tc>
          <w:tcPr>
            <w:tcW w:w="2356" w:type="dxa"/>
          </w:tcPr>
          <w:p w:rsidR="009C20E3" w:rsidRPr="00C77E77" w:rsidRDefault="00FD0D5A" w:rsidP="009C20E3">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灣經濟研究院</w:t>
            </w:r>
          </w:p>
        </w:tc>
        <w:tc>
          <w:tcPr>
            <w:tcW w:w="1236" w:type="dxa"/>
          </w:tcPr>
          <w:p w:rsidR="009C20E3" w:rsidRPr="00C77E77" w:rsidRDefault="009C20E3" w:rsidP="009C20E3">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林祈昱</w:t>
            </w:r>
          </w:p>
        </w:tc>
        <w:tc>
          <w:tcPr>
            <w:tcW w:w="1516" w:type="dxa"/>
          </w:tcPr>
          <w:p w:rsidR="009C20E3" w:rsidRPr="00C77E77" w:rsidRDefault="009C20E3" w:rsidP="009C20E3">
            <w:pPr>
              <w:snapToGrid w:val="0"/>
              <w:spacing w:beforeLines="50" w:before="180" w:afterLines="50" w:after="18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副研究員</w:t>
            </w:r>
          </w:p>
        </w:tc>
      </w:tr>
    </w:tbl>
    <w:p w:rsidR="009C20E3" w:rsidRPr="00C77E77" w:rsidRDefault="009C20E3" w:rsidP="009C20E3">
      <w:pPr>
        <w:snapToGrid w:val="0"/>
        <w:spacing w:beforeLines="50" w:before="180" w:afterLines="50" w:after="180"/>
        <w:jc w:val="both"/>
        <w:rPr>
          <w:rFonts w:ascii="Times New Roman" w:eastAsia="標楷體" w:hAnsi="Times New Roman" w:cs="Times New Roman"/>
          <w:b/>
          <w:sz w:val="28"/>
          <w:szCs w:val="28"/>
        </w:rPr>
      </w:pPr>
    </w:p>
    <w:p w:rsidR="009C20E3" w:rsidRPr="00C77E77" w:rsidRDefault="009C20E3" w:rsidP="009C20E3">
      <w:pPr>
        <w:snapToGrid w:val="0"/>
        <w:spacing w:beforeLines="50" w:before="180" w:afterLines="50" w:after="180" w:line="500" w:lineRule="exact"/>
        <w:jc w:val="center"/>
        <w:rPr>
          <w:rFonts w:ascii="Times New Roman" w:eastAsia="標楷體" w:hAnsi="Times New Roman" w:cs="Times New Roman"/>
          <w:color w:val="000000" w:themeColor="text1"/>
          <w:sz w:val="28"/>
          <w:szCs w:val="28"/>
        </w:rPr>
      </w:pPr>
      <w:bookmarkStart w:id="217" w:name="_Toc465347601"/>
      <w:r w:rsidRPr="00C77E77">
        <w:rPr>
          <w:rFonts w:ascii="Times New Roman" w:eastAsia="標楷體" w:hAnsi="Times New Roman" w:cs="Times New Roman"/>
          <w:color w:val="000000" w:themeColor="text1"/>
          <w:sz w:val="28"/>
          <w:szCs w:val="28"/>
        </w:rPr>
        <w:t>表</w:t>
      </w:r>
      <w:r w:rsidRPr="00C77E77">
        <w:rPr>
          <w:rFonts w:ascii="Times New Roman" w:eastAsia="標楷體" w:hAnsi="Times New Roman" w:cs="Times New Roman"/>
          <w:color w:val="000000" w:themeColor="text1"/>
          <w:sz w:val="28"/>
          <w:szCs w:val="28"/>
        </w:rPr>
        <w:fldChar w:fldCharType="begin"/>
      </w:r>
      <w:r w:rsidRPr="00C77E77">
        <w:rPr>
          <w:rFonts w:ascii="Times New Roman" w:eastAsia="標楷體" w:hAnsi="Times New Roman" w:cs="Times New Roman"/>
          <w:color w:val="000000" w:themeColor="text1"/>
          <w:sz w:val="28"/>
          <w:szCs w:val="28"/>
        </w:rPr>
        <w:instrText xml:space="preserve"> SEQ </w:instrText>
      </w:r>
      <w:r w:rsidRPr="00C77E77">
        <w:rPr>
          <w:rFonts w:ascii="Times New Roman" w:eastAsia="標楷體" w:hAnsi="Times New Roman" w:cs="Times New Roman"/>
          <w:color w:val="000000" w:themeColor="text1"/>
          <w:sz w:val="28"/>
          <w:szCs w:val="28"/>
        </w:rPr>
        <w:instrText>表</w:instrText>
      </w:r>
      <w:r w:rsidRPr="00C77E77">
        <w:rPr>
          <w:rFonts w:ascii="Times New Roman" w:eastAsia="標楷體" w:hAnsi="Times New Roman" w:cs="Times New Roman"/>
          <w:color w:val="000000" w:themeColor="text1"/>
          <w:sz w:val="28"/>
          <w:szCs w:val="28"/>
        </w:rPr>
        <w:instrText xml:space="preserve"> \* ARABIC </w:instrText>
      </w:r>
      <w:r w:rsidRPr="00C77E77">
        <w:rPr>
          <w:rFonts w:ascii="Times New Roman" w:eastAsia="標楷體" w:hAnsi="Times New Roman" w:cs="Times New Roman"/>
          <w:color w:val="000000" w:themeColor="text1"/>
          <w:sz w:val="28"/>
          <w:szCs w:val="28"/>
        </w:rPr>
        <w:fldChar w:fldCharType="separate"/>
      </w:r>
      <w:r w:rsidR="00D45A64" w:rsidRPr="00C77E77">
        <w:rPr>
          <w:rFonts w:ascii="Times New Roman" w:eastAsia="標楷體" w:hAnsi="Times New Roman" w:cs="Times New Roman"/>
          <w:noProof/>
          <w:color w:val="000000" w:themeColor="text1"/>
          <w:sz w:val="28"/>
          <w:szCs w:val="28"/>
        </w:rPr>
        <w:t>6</w:t>
      </w:r>
      <w:r w:rsidRPr="00C77E77">
        <w:rPr>
          <w:rFonts w:ascii="Times New Roman" w:eastAsia="標楷體" w:hAnsi="Times New Roman" w:cs="Times New Roman"/>
          <w:color w:val="000000" w:themeColor="text1"/>
          <w:sz w:val="28"/>
          <w:szCs w:val="28"/>
        </w:rPr>
        <w:fldChar w:fldCharType="end"/>
      </w:r>
      <w:r w:rsidRPr="00C77E77">
        <w:rPr>
          <w:rFonts w:ascii="Times New Roman" w:eastAsia="標楷體" w:hAnsi="Times New Roman" w:cs="Times New Roman"/>
          <w:color w:val="000000" w:themeColor="text1"/>
          <w:sz w:val="28"/>
          <w:szCs w:val="28"/>
        </w:rPr>
        <w:t>、「</w:t>
      </w:r>
      <w:r w:rsidR="00FD0D5A" w:rsidRPr="00C77E77">
        <w:rPr>
          <w:rFonts w:ascii="Times New Roman" w:eastAsia="標楷體" w:hAnsi="Times New Roman" w:cs="Times New Roman"/>
          <w:color w:val="000000" w:themeColor="text1"/>
          <w:sz w:val="28"/>
          <w:szCs w:val="28"/>
        </w:rPr>
        <w:t>臺</w:t>
      </w:r>
      <w:r w:rsidRPr="00C77E77">
        <w:rPr>
          <w:rFonts w:ascii="Times New Roman" w:eastAsia="標楷體" w:hAnsi="Times New Roman" w:cs="Times New Roman"/>
          <w:color w:val="000000" w:themeColor="text1"/>
          <w:sz w:val="28"/>
          <w:szCs w:val="28"/>
        </w:rPr>
        <w:t>灣經濟研究院訪問團赴越南」行程</w:t>
      </w:r>
      <w:bookmarkEnd w:id="2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2"/>
        <w:gridCol w:w="7016"/>
      </w:tblGrid>
      <w:tr w:rsidR="009C20E3" w:rsidRPr="00C77E77" w:rsidTr="009C20E3">
        <w:trPr>
          <w:trHeight w:val="360"/>
          <w:tblHeader/>
          <w:jc w:val="center"/>
        </w:trPr>
        <w:tc>
          <w:tcPr>
            <w:tcW w:w="1279" w:type="pct"/>
            <w:vAlign w:val="center"/>
            <w:hideMark/>
          </w:tcPr>
          <w:p w:rsidR="009C20E3" w:rsidRPr="00C77E77" w:rsidRDefault="009C20E3" w:rsidP="00E461E2">
            <w:pPr>
              <w:spacing w:line="50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日期</w:t>
            </w:r>
          </w:p>
        </w:tc>
        <w:tc>
          <w:tcPr>
            <w:tcW w:w="3721" w:type="pct"/>
            <w:hideMark/>
          </w:tcPr>
          <w:p w:rsidR="009C20E3" w:rsidRPr="00C77E77" w:rsidRDefault="009C20E3" w:rsidP="00E461E2">
            <w:pPr>
              <w:spacing w:line="500" w:lineRule="exact"/>
              <w:jc w:val="center"/>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活動內容</w:t>
            </w:r>
          </w:p>
        </w:tc>
      </w:tr>
      <w:tr w:rsidR="009C20E3" w:rsidRPr="00C77E77" w:rsidTr="009C20E3">
        <w:trPr>
          <w:trHeight w:val="481"/>
          <w:jc w:val="center"/>
        </w:trPr>
        <w:tc>
          <w:tcPr>
            <w:tcW w:w="1279" w:type="pct"/>
            <w:vAlign w:val="center"/>
            <w:hideMark/>
          </w:tcPr>
          <w:p w:rsidR="009C20E3" w:rsidRPr="00C77E77" w:rsidRDefault="009C20E3" w:rsidP="00E461E2">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10/17(</w:t>
            </w:r>
            <w:r w:rsidRPr="00C77E77">
              <w:rPr>
                <w:rFonts w:ascii="Times New Roman" w:eastAsia="標楷體" w:hAnsi="Times New Roman" w:cs="Times New Roman"/>
                <w:color w:val="000000" w:themeColor="text1"/>
                <w:sz w:val="28"/>
                <w:szCs w:val="28"/>
              </w:rPr>
              <w:t>一</w:t>
            </w:r>
            <w:r w:rsidRPr="00C77E77">
              <w:rPr>
                <w:rFonts w:ascii="Times New Roman" w:eastAsia="標楷體" w:hAnsi="Times New Roman" w:cs="Times New Roman"/>
                <w:color w:val="000000" w:themeColor="text1"/>
                <w:sz w:val="28"/>
                <w:szCs w:val="28"/>
              </w:rPr>
              <w:t>)</w:t>
            </w:r>
          </w:p>
        </w:tc>
        <w:tc>
          <w:tcPr>
            <w:tcW w:w="3721" w:type="pct"/>
          </w:tcPr>
          <w:p w:rsidR="009C20E3" w:rsidRPr="00C77E77" w:rsidRDefault="009C20E3" w:rsidP="00E461E2">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臺經院訪團</w:t>
            </w:r>
            <w:r w:rsidRPr="00C77E77">
              <w:rPr>
                <w:rFonts w:ascii="Times New Roman" w:eastAsia="標楷體" w:hAnsi="Times New Roman" w:cs="Times New Roman"/>
                <w:color w:val="000000" w:themeColor="text1"/>
                <w:sz w:val="28"/>
                <w:szCs w:val="28"/>
              </w:rPr>
              <w:t xml:space="preserve"> </w:t>
            </w:r>
            <w:r w:rsidRPr="00C77E77">
              <w:rPr>
                <w:rFonts w:ascii="Times New Roman" w:eastAsia="標楷體" w:hAnsi="Times New Roman" w:cs="Times New Roman"/>
                <w:color w:val="000000" w:themeColor="text1"/>
                <w:sz w:val="28"/>
                <w:szCs w:val="28"/>
              </w:rPr>
              <w:t>搭乘</w:t>
            </w:r>
            <w:r w:rsidRPr="00C77E77">
              <w:rPr>
                <w:rFonts w:ascii="Times New Roman" w:eastAsia="標楷體" w:hAnsi="Times New Roman" w:cs="Times New Roman"/>
                <w:b/>
                <w:color w:val="000000" w:themeColor="text1"/>
                <w:sz w:val="28"/>
                <w:szCs w:val="28"/>
              </w:rPr>
              <w:t>華航</w:t>
            </w:r>
            <w:r w:rsidRPr="00C77E77">
              <w:rPr>
                <w:rFonts w:ascii="Times New Roman" w:eastAsia="標楷體" w:hAnsi="Times New Roman" w:cs="Times New Roman"/>
                <w:b/>
                <w:color w:val="000000" w:themeColor="text1"/>
                <w:sz w:val="28"/>
                <w:szCs w:val="28"/>
              </w:rPr>
              <w:t>CI 783</w:t>
            </w:r>
            <w:r w:rsidRPr="00C77E77">
              <w:rPr>
                <w:rFonts w:ascii="Times New Roman" w:eastAsia="標楷體" w:hAnsi="Times New Roman" w:cs="Times New Roman"/>
                <w:color w:val="000000" w:themeColor="text1"/>
                <w:sz w:val="28"/>
                <w:szCs w:val="28"/>
              </w:rPr>
              <w:t>班機飛胡志明市</w:t>
            </w:r>
          </w:p>
          <w:p w:rsidR="009C20E3" w:rsidRPr="00C77E77" w:rsidRDefault="009C20E3" w:rsidP="00E461E2">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臺北【</w:t>
            </w:r>
            <w:r w:rsidRPr="00C77E77">
              <w:rPr>
                <w:rFonts w:ascii="Times New Roman" w:eastAsia="標楷體" w:hAnsi="Times New Roman" w:cs="Times New Roman"/>
                <w:color w:val="000000" w:themeColor="text1"/>
                <w:sz w:val="28"/>
                <w:szCs w:val="28"/>
              </w:rPr>
              <w:t>14</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20 pm</w:t>
            </w:r>
            <w:r w:rsidRPr="00C77E77">
              <w:rPr>
                <w:rFonts w:ascii="Times New Roman" w:eastAsia="標楷體" w:hAnsi="Times New Roman" w:cs="Times New Roman"/>
                <w:color w:val="000000" w:themeColor="text1"/>
                <w:sz w:val="28"/>
                <w:szCs w:val="28"/>
              </w:rPr>
              <w:t>】飛抵胡志明市【</w:t>
            </w:r>
            <w:r w:rsidRPr="00C77E77">
              <w:rPr>
                <w:rFonts w:ascii="Times New Roman" w:eastAsia="標楷體" w:hAnsi="Times New Roman" w:cs="Times New Roman"/>
                <w:color w:val="000000" w:themeColor="text1"/>
                <w:sz w:val="28"/>
                <w:szCs w:val="28"/>
              </w:rPr>
              <w:t>16</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45pm</w:t>
            </w:r>
            <w:r w:rsidRPr="00C77E77">
              <w:rPr>
                <w:rFonts w:ascii="Times New Roman" w:eastAsia="標楷體" w:hAnsi="Times New Roman" w:cs="Times New Roman"/>
                <w:color w:val="000000" w:themeColor="text1"/>
                <w:sz w:val="28"/>
                <w:szCs w:val="28"/>
              </w:rPr>
              <w:t>】</w:t>
            </w:r>
          </w:p>
        </w:tc>
      </w:tr>
      <w:tr w:rsidR="009C20E3" w:rsidRPr="00C77E77" w:rsidTr="009C20E3">
        <w:trPr>
          <w:trHeight w:val="353"/>
          <w:jc w:val="center"/>
        </w:trPr>
        <w:tc>
          <w:tcPr>
            <w:tcW w:w="1279" w:type="pct"/>
            <w:vAlign w:val="center"/>
            <w:hideMark/>
          </w:tcPr>
          <w:p w:rsidR="009C20E3" w:rsidRPr="00C77E77" w:rsidRDefault="009C20E3" w:rsidP="00E461E2">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10/18(</w:t>
            </w:r>
            <w:r w:rsidRPr="00C77E77">
              <w:rPr>
                <w:rFonts w:ascii="Times New Roman" w:eastAsia="標楷體" w:hAnsi="Times New Roman" w:cs="Times New Roman"/>
                <w:color w:val="000000" w:themeColor="text1"/>
                <w:sz w:val="28"/>
                <w:szCs w:val="28"/>
              </w:rPr>
              <w:t>二</w:t>
            </w:r>
            <w:r w:rsidRPr="00C77E77">
              <w:rPr>
                <w:rFonts w:ascii="Times New Roman" w:eastAsia="標楷體" w:hAnsi="Times New Roman" w:cs="Times New Roman"/>
                <w:color w:val="000000" w:themeColor="text1"/>
                <w:sz w:val="28"/>
                <w:szCs w:val="28"/>
              </w:rPr>
              <w:t>)</w:t>
            </w:r>
          </w:p>
        </w:tc>
        <w:tc>
          <w:tcPr>
            <w:tcW w:w="3721" w:type="pct"/>
            <w:hideMark/>
          </w:tcPr>
          <w:p w:rsidR="009C20E3" w:rsidRPr="00C77E77" w:rsidRDefault="009C20E3" w:rsidP="00E461E2">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拜會行程：</w:t>
            </w:r>
          </w:p>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越南臺商總會</w:t>
            </w:r>
          </w:p>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胡志明市臺灣商會</w:t>
            </w:r>
          </w:p>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丁善理紀念學校</w:t>
            </w:r>
          </w:p>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拜會外貿協會駐胡志明市辦事處</w:t>
            </w:r>
          </w:p>
        </w:tc>
      </w:tr>
      <w:tr w:rsidR="009C20E3" w:rsidRPr="00C77E77" w:rsidTr="009C20E3">
        <w:trPr>
          <w:trHeight w:val="380"/>
          <w:jc w:val="center"/>
        </w:trPr>
        <w:tc>
          <w:tcPr>
            <w:tcW w:w="1279" w:type="pct"/>
            <w:vAlign w:val="center"/>
            <w:hideMark/>
          </w:tcPr>
          <w:p w:rsidR="009C20E3" w:rsidRPr="00C77E77" w:rsidRDefault="009C20E3" w:rsidP="00E461E2">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10/19(</w:t>
            </w:r>
            <w:r w:rsidRPr="00C77E77">
              <w:rPr>
                <w:rFonts w:ascii="Times New Roman" w:eastAsia="標楷體" w:hAnsi="Times New Roman" w:cs="Times New Roman"/>
                <w:color w:val="000000" w:themeColor="text1"/>
                <w:sz w:val="28"/>
                <w:szCs w:val="28"/>
              </w:rPr>
              <w:t>三</w:t>
            </w:r>
            <w:r w:rsidRPr="00C77E77">
              <w:rPr>
                <w:rFonts w:ascii="Times New Roman" w:eastAsia="標楷體" w:hAnsi="Times New Roman" w:cs="Times New Roman"/>
                <w:color w:val="000000" w:themeColor="text1"/>
                <w:sz w:val="28"/>
                <w:szCs w:val="28"/>
              </w:rPr>
              <w:t>)</w:t>
            </w:r>
          </w:p>
        </w:tc>
        <w:tc>
          <w:tcPr>
            <w:tcW w:w="3721" w:type="pct"/>
            <w:hideMark/>
          </w:tcPr>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同奈臺灣商會</w:t>
            </w:r>
          </w:p>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味丹公司</w:t>
            </w:r>
          </w:p>
        </w:tc>
      </w:tr>
      <w:tr w:rsidR="009C20E3" w:rsidRPr="00C77E77" w:rsidTr="009C20E3">
        <w:trPr>
          <w:trHeight w:val="435"/>
          <w:jc w:val="center"/>
        </w:trPr>
        <w:tc>
          <w:tcPr>
            <w:tcW w:w="1279" w:type="pct"/>
            <w:vAlign w:val="center"/>
          </w:tcPr>
          <w:p w:rsidR="009C20E3" w:rsidRPr="00C77E77" w:rsidRDefault="009C20E3" w:rsidP="00E461E2">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10/20(</w:t>
            </w:r>
            <w:r w:rsidRPr="00C77E77">
              <w:rPr>
                <w:rFonts w:ascii="Times New Roman" w:eastAsia="標楷體" w:hAnsi="Times New Roman" w:cs="Times New Roman"/>
                <w:color w:val="000000" w:themeColor="text1"/>
                <w:sz w:val="28"/>
                <w:szCs w:val="28"/>
              </w:rPr>
              <w:t>四</w:t>
            </w:r>
            <w:r w:rsidRPr="00C77E77">
              <w:rPr>
                <w:rFonts w:ascii="Times New Roman" w:eastAsia="標楷體" w:hAnsi="Times New Roman" w:cs="Times New Roman"/>
                <w:color w:val="000000" w:themeColor="text1"/>
                <w:sz w:val="28"/>
                <w:szCs w:val="28"/>
              </w:rPr>
              <w:t>)</w:t>
            </w:r>
          </w:p>
        </w:tc>
        <w:tc>
          <w:tcPr>
            <w:tcW w:w="3721" w:type="pct"/>
            <w:hideMark/>
          </w:tcPr>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平陽臺灣商會</w:t>
            </w:r>
          </w:p>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大發食品公司</w:t>
            </w:r>
          </w:p>
          <w:p w:rsidR="009C20E3" w:rsidRPr="00C77E77" w:rsidRDefault="009C20E3" w:rsidP="0001327A">
            <w:pPr>
              <w:pStyle w:val="ab"/>
              <w:numPr>
                <w:ilvl w:val="0"/>
                <w:numId w:val="95"/>
              </w:numPr>
              <w:spacing w:line="500" w:lineRule="exact"/>
              <w:ind w:leftChars="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世越銀行（國泰世華）</w:t>
            </w:r>
          </w:p>
        </w:tc>
      </w:tr>
      <w:tr w:rsidR="009C20E3" w:rsidRPr="00C77E77" w:rsidTr="009C20E3">
        <w:trPr>
          <w:trHeight w:val="435"/>
          <w:jc w:val="center"/>
        </w:trPr>
        <w:tc>
          <w:tcPr>
            <w:tcW w:w="1279" w:type="pct"/>
            <w:vAlign w:val="center"/>
          </w:tcPr>
          <w:p w:rsidR="009C20E3" w:rsidRPr="00C77E77" w:rsidRDefault="009C20E3" w:rsidP="00E461E2">
            <w:pPr>
              <w:spacing w:line="500" w:lineRule="exact"/>
              <w:jc w:val="center"/>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10/21(</w:t>
            </w:r>
            <w:r w:rsidRPr="00C77E77">
              <w:rPr>
                <w:rFonts w:ascii="Times New Roman" w:eastAsia="標楷體" w:hAnsi="Times New Roman" w:cs="Times New Roman"/>
                <w:color w:val="000000" w:themeColor="text1"/>
                <w:sz w:val="28"/>
                <w:szCs w:val="28"/>
              </w:rPr>
              <w:t>五</w:t>
            </w:r>
            <w:r w:rsidRPr="00C77E77">
              <w:rPr>
                <w:rFonts w:ascii="Times New Roman" w:eastAsia="標楷體" w:hAnsi="Times New Roman" w:cs="Times New Roman"/>
                <w:color w:val="000000" w:themeColor="text1"/>
                <w:sz w:val="28"/>
                <w:szCs w:val="28"/>
              </w:rPr>
              <w:t>)</w:t>
            </w:r>
          </w:p>
        </w:tc>
        <w:tc>
          <w:tcPr>
            <w:tcW w:w="3721" w:type="pct"/>
          </w:tcPr>
          <w:p w:rsidR="009C20E3" w:rsidRPr="00C77E77" w:rsidRDefault="009C20E3" w:rsidP="00E461E2">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臺經院訪團</w:t>
            </w:r>
            <w:r w:rsidRPr="00C77E77">
              <w:rPr>
                <w:rFonts w:ascii="Times New Roman" w:eastAsia="標楷體" w:hAnsi="Times New Roman" w:cs="Times New Roman"/>
                <w:color w:val="000000" w:themeColor="text1"/>
                <w:sz w:val="28"/>
                <w:szCs w:val="28"/>
              </w:rPr>
              <w:t xml:space="preserve"> </w:t>
            </w:r>
            <w:r w:rsidRPr="00C77E77">
              <w:rPr>
                <w:rFonts w:ascii="Times New Roman" w:eastAsia="標楷體" w:hAnsi="Times New Roman" w:cs="Times New Roman"/>
                <w:color w:val="000000" w:themeColor="text1"/>
                <w:sz w:val="28"/>
                <w:szCs w:val="28"/>
              </w:rPr>
              <w:t>搭乘</w:t>
            </w:r>
            <w:r w:rsidRPr="00C77E77">
              <w:rPr>
                <w:rFonts w:ascii="Times New Roman" w:eastAsia="標楷體" w:hAnsi="Times New Roman" w:cs="Times New Roman"/>
                <w:b/>
                <w:color w:val="000000" w:themeColor="text1"/>
                <w:sz w:val="28"/>
                <w:szCs w:val="28"/>
              </w:rPr>
              <w:t>華航</w:t>
            </w:r>
            <w:r w:rsidRPr="00C77E77">
              <w:rPr>
                <w:rFonts w:ascii="Times New Roman" w:eastAsia="標楷體" w:hAnsi="Times New Roman" w:cs="Times New Roman"/>
                <w:b/>
                <w:color w:val="000000" w:themeColor="text1"/>
                <w:sz w:val="28"/>
                <w:szCs w:val="28"/>
              </w:rPr>
              <w:t>CI 782</w:t>
            </w:r>
            <w:r w:rsidRPr="00C77E77">
              <w:rPr>
                <w:rFonts w:ascii="Times New Roman" w:eastAsia="標楷體" w:hAnsi="Times New Roman" w:cs="Times New Roman"/>
                <w:color w:val="000000" w:themeColor="text1"/>
                <w:sz w:val="28"/>
                <w:szCs w:val="28"/>
              </w:rPr>
              <w:t>班機飛臺北</w:t>
            </w:r>
          </w:p>
          <w:p w:rsidR="009C20E3" w:rsidRPr="00C77E77" w:rsidRDefault="009C20E3" w:rsidP="00E461E2">
            <w:pPr>
              <w:spacing w:line="500" w:lineRule="exact"/>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胡志明市【</w:t>
            </w:r>
            <w:r w:rsidRPr="00C77E77">
              <w:rPr>
                <w:rFonts w:ascii="Times New Roman" w:eastAsia="標楷體" w:hAnsi="Times New Roman" w:cs="Times New Roman"/>
                <w:color w:val="000000" w:themeColor="text1"/>
                <w:sz w:val="28"/>
                <w:szCs w:val="28"/>
              </w:rPr>
              <w:t>10</w:t>
            </w:r>
            <w:r w:rsidRPr="00C77E77">
              <w:rPr>
                <w:rFonts w:ascii="Times New Roman" w:eastAsia="標楷體" w:hAnsi="Times New Roman" w:cs="Times New Roman"/>
                <w:color w:val="000000" w:themeColor="text1"/>
                <w:sz w:val="28"/>
                <w:szCs w:val="28"/>
              </w:rPr>
              <w:t>：</w:t>
            </w:r>
            <w:r w:rsidRPr="00C77E77">
              <w:rPr>
                <w:rFonts w:ascii="Times New Roman" w:eastAsia="標楷體" w:hAnsi="Times New Roman" w:cs="Times New Roman"/>
                <w:color w:val="000000" w:themeColor="text1"/>
                <w:sz w:val="28"/>
                <w:szCs w:val="28"/>
              </w:rPr>
              <w:t>50 am</w:t>
            </w:r>
            <w:r w:rsidRPr="00C77E77">
              <w:rPr>
                <w:rFonts w:ascii="Times New Roman" w:eastAsia="標楷體" w:hAnsi="Times New Roman" w:cs="Times New Roman"/>
                <w:color w:val="000000" w:themeColor="text1"/>
                <w:sz w:val="28"/>
                <w:szCs w:val="28"/>
              </w:rPr>
              <w:t>】抵臺北【</w:t>
            </w:r>
            <w:r w:rsidRPr="00C77E77">
              <w:rPr>
                <w:rFonts w:ascii="Times New Roman" w:eastAsia="標楷體" w:hAnsi="Times New Roman" w:cs="Times New Roman"/>
                <w:color w:val="000000" w:themeColor="text1"/>
                <w:sz w:val="28"/>
                <w:szCs w:val="28"/>
              </w:rPr>
              <w:t>15:15 pm</w:t>
            </w:r>
            <w:r w:rsidRPr="00C77E77">
              <w:rPr>
                <w:rFonts w:ascii="Times New Roman" w:eastAsia="標楷體" w:hAnsi="Times New Roman" w:cs="Times New Roman"/>
                <w:color w:val="000000" w:themeColor="text1"/>
                <w:sz w:val="28"/>
                <w:szCs w:val="28"/>
              </w:rPr>
              <w:t>】</w:t>
            </w:r>
          </w:p>
        </w:tc>
      </w:tr>
    </w:tbl>
    <w:p w:rsidR="009C20E3" w:rsidRPr="00C77E77" w:rsidRDefault="009C20E3" w:rsidP="009C20E3">
      <w:pPr>
        <w:snapToGrid w:val="0"/>
        <w:spacing w:beforeLines="50" w:before="180" w:afterLines="50" w:after="180" w:line="500" w:lineRule="exact"/>
        <w:jc w:val="both"/>
        <w:rPr>
          <w:rFonts w:ascii="Times New Roman" w:eastAsia="標楷體" w:hAnsi="Times New Roman" w:cs="Times New Roman"/>
          <w:b/>
          <w:color w:val="FF0000"/>
          <w:sz w:val="28"/>
          <w:szCs w:val="28"/>
        </w:rPr>
      </w:pPr>
    </w:p>
    <w:p w:rsidR="00E461E2" w:rsidRPr="00C77E77" w:rsidRDefault="00E461E2" w:rsidP="009C20E3">
      <w:pPr>
        <w:snapToGrid w:val="0"/>
        <w:spacing w:beforeLines="50" w:before="180" w:afterLines="50" w:after="180" w:line="500" w:lineRule="exact"/>
        <w:jc w:val="both"/>
        <w:rPr>
          <w:rFonts w:ascii="Times New Roman" w:eastAsia="標楷體" w:hAnsi="Times New Roman" w:cs="Times New Roman"/>
          <w:b/>
          <w:color w:val="FF0000"/>
          <w:sz w:val="28"/>
          <w:szCs w:val="28"/>
        </w:rPr>
      </w:pPr>
    </w:p>
    <w:p w:rsidR="009C20E3" w:rsidRPr="00C77E77" w:rsidRDefault="009C20E3" w:rsidP="0001327A">
      <w:pPr>
        <w:pStyle w:val="ab"/>
        <w:numPr>
          <w:ilvl w:val="0"/>
          <w:numId w:val="116"/>
        </w:numPr>
        <w:ind w:leftChars="0"/>
        <w:rPr>
          <w:rFonts w:ascii="Times New Roman" w:eastAsia="標楷體" w:hAnsi="Times New Roman" w:cs="Times New Roman"/>
          <w:b/>
          <w:sz w:val="28"/>
          <w:szCs w:val="28"/>
        </w:rPr>
      </w:pPr>
      <w:bookmarkStart w:id="218" w:name="_Toc465352201"/>
      <w:r w:rsidRPr="00C77E77">
        <w:rPr>
          <w:rFonts w:ascii="Times New Roman" w:eastAsia="標楷體" w:hAnsi="Times New Roman" w:cs="Times New Roman"/>
          <w:b/>
          <w:sz w:val="28"/>
          <w:szCs w:val="28"/>
        </w:rPr>
        <w:lastRenderedPageBreak/>
        <w:t>會議內容</w:t>
      </w:r>
      <w:bookmarkEnd w:id="218"/>
    </w:p>
    <w:p w:rsidR="009C20E3" w:rsidRPr="00C77E77" w:rsidRDefault="009C20E3" w:rsidP="0001327A">
      <w:pPr>
        <w:pStyle w:val="ab"/>
        <w:numPr>
          <w:ilvl w:val="0"/>
          <w:numId w:val="117"/>
        </w:numPr>
        <w:ind w:leftChars="0"/>
        <w:rPr>
          <w:rFonts w:ascii="Times New Roman" w:eastAsia="標楷體" w:hAnsi="Times New Roman" w:cs="Times New Roman"/>
          <w:sz w:val="28"/>
          <w:szCs w:val="28"/>
        </w:rPr>
      </w:pPr>
      <w:bookmarkStart w:id="219" w:name="_Toc465352202"/>
      <w:r w:rsidRPr="00C77E77">
        <w:rPr>
          <w:rFonts w:ascii="Times New Roman" w:eastAsia="標楷體" w:hAnsi="Times New Roman" w:cs="Times New Roman"/>
          <w:color w:val="000000"/>
          <w:sz w:val="28"/>
          <w:szCs w:val="28"/>
        </w:rPr>
        <w:t>越南</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商總會、胡志明市</w:t>
      </w:r>
      <w:r w:rsidR="00FD0D5A" w:rsidRPr="00C77E77">
        <w:rPr>
          <w:rFonts w:ascii="Times New Roman" w:eastAsia="標楷體" w:hAnsi="Times New Roman" w:cs="Times New Roman"/>
          <w:color w:val="000000"/>
          <w:sz w:val="28"/>
          <w:szCs w:val="28"/>
        </w:rPr>
        <w:t>臺</w:t>
      </w:r>
      <w:r w:rsidRPr="00C77E77">
        <w:rPr>
          <w:rFonts w:ascii="Times New Roman" w:eastAsia="標楷體" w:hAnsi="Times New Roman" w:cs="Times New Roman"/>
          <w:color w:val="000000"/>
          <w:sz w:val="28"/>
          <w:szCs w:val="28"/>
        </w:rPr>
        <w:t>灣商會</w:t>
      </w:r>
      <w:bookmarkEnd w:id="219"/>
    </w:p>
    <w:p w:rsidR="009C20E3" w:rsidRPr="00C77E77" w:rsidRDefault="009C20E3" w:rsidP="0001327A">
      <w:pPr>
        <w:pStyle w:val="ab"/>
        <w:numPr>
          <w:ilvl w:val="0"/>
          <w:numId w:val="115"/>
        </w:numPr>
        <w:ind w:leftChars="0"/>
        <w:rPr>
          <w:rFonts w:ascii="Times New Roman" w:eastAsia="標楷體" w:hAnsi="Times New Roman" w:cs="Times New Roman"/>
          <w:sz w:val="28"/>
          <w:szCs w:val="28"/>
        </w:rPr>
      </w:pPr>
      <w:r w:rsidRPr="00C77E77">
        <w:rPr>
          <w:rFonts w:ascii="Times New Roman" w:eastAsia="標楷體" w:hAnsi="Times New Roman" w:cs="Times New Roman"/>
          <w:sz w:val="28"/>
          <w:szCs w:val="28"/>
        </w:rPr>
        <w:t>會議重點</w:t>
      </w:r>
    </w:p>
    <w:p w:rsidR="009C20E3" w:rsidRPr="00C77E77" w:rsidRDefault="009C20E3"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十大系統產業在主客觀上看來都很難成功，因為：</w:t>
      </w:r>
    </w:p>
    <w:p w:rsidR="009C20E3" w:rsidRPr="00C77E77" w:rsidRDefault="009C20E3" w:rsidP="0001327A">
      <w:pPr>
        <w:pStyle w:val="ab"/>
        <w:numPr>
          <w:ilvl w:val="0"/>
          <w:numId w:val="9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涉及到國家之間的問題。主要的競爭對手方面：中國大陸採取高鐵外交；日本用無償服務提供基礎建設；韓國主打智慧型家電和蓋房子。</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多年前劉泰英、中央貿開、中華工程有做過阮文靈大道的</w:t>
      </w:r>
      <w:r w:rsidRPr="00C77E77">
        <w:rPr>
          <w:rFonts w:ascii="Times New Roman" w:eastAsia="標楷體" w:hAnsi="Times New Roman" w:cs="Times New Roman"/>
          <w:sz w:val="28"/>
          <w:szCs w:val="28"/>
        </w:rPr>
        <w:t>ODA</w:t>
      </w:r>
      <w:r w:rsidRPr="00C77E77">
        <w:rPr>
          <w:rFonts w:ascii="Times New Roman" w:eastAsia="標楷體" w:hAnsi="Times New Roman" w:cs="Times New Roman"/>
          <w:sz w:val="28"/>
          <w:szCs w:val="28"/>
        </w:rPr>
        <w:t>，不過非常低調；目前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灣政府很難提供公共建設，也很難期待後續能夠獲得的好處。</w:t>
      </w:r>
    </w:p>
    <w:p w:rsidR="009C20E3" w:rsidRPr="00C77E77" w:rsidRDefault="009C20E3" w:rsidP="0001327A">
      <w:pPr>
        <w:pStyle w:val="ab"/>
        <w:numPr>
          <w:ilvl w:val="0"/>
          <w:numId w:val="9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新南向政策是找有潛力的廠商往外推，但是這種作法脫離了海外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商的特質與強項。目前越南</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商最強的六大產業是：鞋業、家具、紡織、自行車、木製品、成衣業。政府沒有在既有的基礎上延續提昇，例如支持在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灣設立鞋業實驗室、打樣工廠、綠能工廠</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等高科技研發，或是採取科專計畫補助，協助越南鞋業轉向工業</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，在過程中把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灣的職技人才轉進來。導致新南向政策無法和國內產業產生連結。</w:t>
      </w:r>
    </w:p>
    <w:p w:rsidR="009C20E3" w:rsidRPr="00C77E77" w:rsidRDefault="009C20E3"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新農業方面吳明敏已積極洽談，如越南的林同省就是農業大省。</w:t>
      </w:r>
    </w:p>
    <w:p w:rsidR="009C20E3" w:rsidRPr="00C77E77" w:rsidRDefault="009C20E3"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越南電商採取中國的模式，所以上網訂購、外送等服務已經很成熟，且當地很多西貢商業大學的畢業生選擇當</w:t>
      </w:r>
      <w:r w:rsidRPr="00C77E77">
        <w:rPr>
          <w:rFonts w:ascii="Times New Roman" w:eastAsia="標楷體" w:hAnsi="Times New Roman" w:cs="Times New Roman"/>
          <w:sz w:val="28"/>
          <w:szCs w:val="28"/>
        </w:rPr>
        <w:t>soho</w:t>
      </w:r>
      <w:r w:rsidRPr="00C77E77">
        <w:rPr>
          <w:rFonts w:ascii="Times New Roman" w:eastAsia="標楷體" w:hAnsi="Times New Roman" w:cs="Times New Roman"/>
          <w:sz w:val="28"/>
          <w:szCs w:val="28"/>
        </w:rPr>
        <w:t>族，專門協助越南廠商建立電商平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灣電商的中文、越文能力都不夠強，無法構思出切合當地市場的商業模式。</w:t>
      </w:r>
    </w:p>
    <w:p w:rsidR="009C20E3" w:rsidRPr="00C77E77" w:rsidRDefault="009C20E3"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越南是為了提昇經濟才想加入</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，不過現在暫緩加入，因為國會議員多為國營企業的總經理、常務理事，很忌諱看到國營企業一直被外國企業併吞，更怕連國防工業、石油開採、民生用品等也被外資併吞。</w:t>
      </w:r>
    </w:p>
    <w:p w:rsidR="009C20E3" w:rsidRPr="00C77E77" w:rsidRDefault="009C20E3"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多數的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商集中在越南政府核准成立的工業區內，只有像</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塑、寶成等</w:t>
      </w:r>
      <w:r w:rsidRPr="00C77E77">
        <w:rPr>
          <w:rFonts w:ascii="Times New Roman" w:eastAsia="標楷體" w:hAnsi="Times New Roman" w:cs="Times New Roman"/>
          <w:sz w:val="28"/>
          <w:szCs w:val="28"/>
        </w:rPr>
        <w:lastRenderedPageBreak/>
        <w:t>規模比較大的企業有自己的工業區，越南政府就會定期檢查。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塑事件後引起了民眾對環保的重視。</w:t>
      </w:r>
    </w:p>
    <w:p w:rsidR="009C20E3" w:rsidRPr="00C77E77" w:rsidRDefault="00FD0D5A"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商回</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投資的兩大條件：</w:t>
      </w:r>
      <w:r w:rsidR="009C20E3" w:rsidRPr="00C77E77">
        <w:rPr>
          <w:rFonts w:ascii="Times New Roman" w:eastAsia="標楷體" w:hAnsi="Times New Roman" w:cs="Times New Roman"/>
          <w:sz w:val="28"/>
          <w:szCs w:val="28"/>
        </w:rPr>
        <w:t xml:space="preserve">(1) </w:t>
      </w:r>
      <w:r w:rsidR="009C20E3" w:rsidRPr="00C77E77">
        <w:rPr>
          <w:rFonts w:ascii="Times New Roman" w:eastAsia="標楷體" w:hAnsi="Times New Roman" w:cs="Times New Roman"/>
          <w:sz w:val="28"/>
          <w:szCs w:val="28"/>
        </w:rPr>
        <w:t>不能限定行業</w:t>
      </w:r>
      <w:r w:rsidR="009C20E3" w:rsidRPr="00C77E77">
        <w:rPr>
          <w:rFonts w:ascii="Times New Roman" w:eastAsia="標楷體" w:hAnsi="Times New Roman" w:cs="Times New Roman"/>
          <w:sz w:val="28"/>
          <w:szCs w:val="28"/>
        </w:rPr>
        <w:t xml:space="preserve"> (2)</w:t>
      </w:r>
      <w:r w:rsidR="009C20E3" w:rsidRPr="00C77E77">
        <w:rPr>
          <w:rFonts w:ascii="Times New Roman" w:eastAsia="標楷體" w:hAnsi="Times New Roman" w:cs="Times New Roman"/>
          <w:sz w:val="28"/>
          <w:szCs w:val="28"/>
        </w:rPr>
        <w:t>要有造鎮計畫。</w:t>
      </w:r>
    </w:p>
    <w:p w:rsidR="009C20E3" w:rsidRPr="00C77E77" w:rsidRDefault="00FD0D5A"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灣商會都是無給職、義務性的，目前很多單位都是為了消化預算過來訪談，回去報告交了以後，承辦人就把報告束之高閣，無法累積成果。建議政府應協助</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灣商會變成像美國商會一樣具有影響力的組織，例如：撥經費到</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灣商會，讓商會可以跟智庫、亞總等單位合作進行長期的研究。也建議智庫多邀請</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商會的人到研究中心座談、演講，分享經驗。</w:t>
      </w:r>
    </w:p>
    <w:p w:rsidR="009C20E3" w:rsidRPr="00C77E77" w:rsidRDefault="009C20E3"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政府的各部會，尤其是勞動部、財政部、教育部、立法院</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等，應該過來跟越南洽談相關事項：</w:t>
      </w:r>
      <w:r w:rsidRPr="00C77E77">
        <w:rPr>
          <w:rFonts w:ascii="Times New Roman" w:eastAsia="標楷體" w:hAnsi="Times New Roman" w:cs="Times New Roman"/>
          <w:sz w:val="28"/>
          <w:szCs w:val="28"/>
        </w:rPr>
        <w:t xml:space="preserve">(1) </w:t>
      </w:r>
      <w:r w:rsidRPr="00C77E77">
        <w:rPr>
          <w:rFonts w:ascii="Times New Roman" w:eastAsia="標楷體" w:hAnsi="Times New Roman" w:cs="Times New Roman"/>
          <w:sz w:val="28"/>
          <w:szCs w:val="28"/>
        </w:rPr>
        <w:t>投保協議</w:t>
      </w:r>
      <w:r w:rsidRPr="00C77E77">
        <w:rPr>
          <w:rFonts w:ascii="Times New Roman" w:eastAsia="標楷體" w:hAnsi="Times New Roman" w:cs="Times New Roman"/>
          <w:sz w:val="28"/>
          <w:szCs w:val="28"/>
        </w:rPr>
        <w:t xml:space="preserve"> (2) </w:t>
      </w:r>
      <w:r w:rsidRPr="00C77E77">
        <w:rPr>
          <w:rFonts w:ascii="Times New Roman" w:eastAsia="標楷體" w:hAnsi="Times New Roman" w:cs="Times New Roman"/>
          <w:sz w:val="28"/>
          <w:szCs w:val="28"/>
        </w:rPr>
        <w:t>工作簽證與居留證</w:t>
      </w:r>
      <w:r w:rsidRPr="00C77E77">
        <w:rPr>
          <w:rFonts w:ascii="Times New Roman" w:eastAsia="標楷體" w:hAnsi="Times New Roman" w:cs="Times New Roman"/>
          <w:sz w:val="28"/>
          <w:szCs w:val="28"/>
        </w:rPr>
        <w:t xml:space="preserve"> (3) </w:t>
      </w:r>
      <w:r w:rsidRPr="00C77E77">
        <w:rPr>
          <w:rFonts w:ascii="Times New Roman" w:eastAsia="標楷體" w:hAnsi="Times New Roman" w:cs="Times New Roman"/>
          <w:sz w:val="28"/>
          <w:szCs w:val="28"/>
        </w:rPr>
        <w:t>外國人員額限制</w:t>
      </w:r>
      <w:r w:rsidRPr="00C77E77">
        <w:rPr>
          <w:rFonts w:ascii="Times New Roman" w:eastAsia="標楷體" w:hAnsi="Times New Roman" w:cs="Times New Roman"/>
          <w:sz w:val="28"/>
          <w:szCs w:val="28"/>
        </w:rPr>
        <w:t xml:space="preserve"> (4) </w:t>
      </w:r>
      <w:r w:rsidRPr="00C77E77">
        <w:rPr>
          <w:rFonts w:ascii="Times New Roman" w:eastAsia="標楷體" w:hAnsi="Times New Roman" w:cs="Times New Roman"/>
          <w:sz w:val="28"/>
          <w:szCs w:val="28"/>
        </w:rPr>
        <w:t>稅法</w:t>
      </w:r>
      <w:r w:rsidRPr="00C77E77">
        <w:rPr>
          <w:rFonts w:ascii="Times New Roman" w:eastAsia="標楷體" w:hAnsi="Times New Roman" w:cs="Times New Roman"/>
          <w:sz w:val="28"/>
          <w:szCs w:val="28"/>
        </w:rPr>
        <w:t xml:space="preserve"> (5) </w:t>
      </w:r>
      <w:r w:rsidRPr="00C77E77">
        <w:rPr>
          <w:rFonts w:ascii="Times New Roman" w:eastAsia="標楷體" w:hAnsi="Times New Roman" w:cs="Times New Roman"/>
          <w:sz w:val="28"/>
          <w:szCs w:val="28"/>
        </w:rPr>
        <w:t>社會保險</w:t>
      </w:r>
      <w:r w:rsidRPr="00C77E77">
        <w:rPr>
          <w:rFonts w:ascii="Times New Roman" w:eastAsia="標楷體" w:hAnsi="Times New Roman" w:cs="Times New Roman"/>
          <w:sz w:val="28"/>
          <w:szCs w:val="28"/>
        </w:rPr>
        <w:t xml:space="preserve"> (6) </w:t>
      </w:r>
      <w:r w:rsidRPr="00C77E77">
        <w:rPr>
          <w:rFonts w:ascii="Times New Roman" w:eastAsia="標楷體" w:hAnsi="Times New Roman" w:cs="Times New Roman"/>
          <w:sz w:val="28"/>
          <w:szCs w:val="28"/>
        </w:rPr>
        <w:t>加班工時</w:t>
      </w:r>
      <w:r w:rsidRPr="00C77E77">
        <w:rPr>
          <w:rFonts w:ascii="Times New Roman" w:eastAsia="標楷體" w:hAnsi="Times New Roman" w:cs="Times New Roman"/>
          <w:sz w:val="28"/>
          <w:szCs w:val="28"/>
        </w:rPr>
        <w:t xml:space="preserve"> (7)</w:t>
      </w:r>
      <w:r w:rsidRPr="00C77E77">
        <w:rPr>
          <w:rFonts w:ascii="Times New Roman" w:eastAsia="標楷體" w:hAnsi="Times New Roman" w:cs="Times New Roman"/>
          <w:sz w:val="28"/>
          <w:szCs w:val="28"/>
        </w:rPr>
        <w:t>人才培育</w:t>
      </w:r>
      <w:r w:rsidRPr="00C77E77">
        <w:rPr>
          <w:rFonts w:ascii="Times New Roman" w:eastAsia="標楷體" w:hAnsi="Times New Roman" w:cs="Times New Roman"/>
          <w:sz w:val="28"/>
          <w:szCs w:val="28"/>
        </w:rPr>
        <w:t xml:space="preserve"> (8) 2018</w:t>
      </w:r>
      <w:r w:rsidRPr="00C77E77">
        <w:rPr>
          <w:rFonts w:ascii="Times New Roman" w:eastAsia="標楷體" w:hAnsi="Times New Roman" w:cs="Times New Roman"/>
          <w:sz w:val="28"/>
          <w:szCs w:val="28"/>
        </w:rPr>
        <w:t>年全薪投保。</w:t>
      </w:r>
    </w:p>
    <w:p w:rsidR="009C20E3" w:rsidRPr="00C77E77" w:rsidRDefault="009C20E3"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w:t>
      </w:r>
      <w:r w:rsidR="00E82393" w:rsidRPr="00C77E77">
        <w:rPr>
          <w:rFonts w:ascii="Times New Roman" w:eastAsia="標楷體" w:hAnsi="Times New Roman" w:cs="Times New Roman"/>
          <w:sz w:val="28"/>
          <w:szCs w:val="28"/>
        </w:rPr>
        <w:t>外館要有更多的資金、技術、人才，才有能</w:t>
      </w:r>
      <w:r w:rsidRPr="00C77E77">
        <w:rPr>
          <w:rFonts w:ascii="Times New Roman" w:eastAsia="標楷體" w:hAnsi="Times New Roman" w:cs="Times New Roman"/>
          <w:sz w:val="28"/>
          <w:szCs w:val="28"/>
        </w:rPr>
        <w:t>力辦事。</w:t>
      </w:r>
    </w:p>
    <w:p w:rsidR="009C20E3" w:rsidRPr="00C77E77" w:rsidRDefault="009C20E3" w:rsidP="0001327A">
      <w:pPr>
        <w:pStyle w:val="ab"/>
        <w:numPr>
          <w:ilvl w:val="0"/>
          <w:numId w:val="96"/>
        </w:numPr>
        <w:spacing w:beforeLines="50" w:before="180" w:afterLines="50" w:after="180" w:line="500" w:lineRule="exact"/>
        <w:ind w:leftChars="0" w:left="42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建議在當地另外設立一個權責機構：</w:t>
      </w:r>
      <w:r w:rsidR="00E82393" w:rsidRPr="00C77E77">
        <w:rPr>
          <w:rFonts w:ascii="Times New Roman" w:eastAsia="標楷體" w:hAnsi="Times New Roman" w:cs="Times New Roman"/>
          <w:sz w:val="28"/>
          <w:szCs w:val="28"/>
        </w:rPr>
        <w:t>例如</w:t>
      </w:r>
      <w:r w:rsidRPr="00C77E77">
        <w:rPr>
          <w:rFonts w:ascii="Times New Roman" w:eastAsia="標楷體" w:hAnsi="Times New Roman" w:cs="Times New Roman"/>
          <w:sz w:val="28"/>
          <w:szCs w:val="28"/>
        </w:rPr>
        <w:t>「南向辦公室越南分部」，這樣才會有亮點。</w:t>
      </w:r>
      <w:r w:rsidR="00E82393" w:rsidRPr="00C77E77">
        <w:rPr>
          <w:rFonts w:ascii="Times New Roman" w:eastAsia="標楷體" w:hAnsi="Times New Roman" w:cs="Times New Roman"/>
          <w:sz w:val="28"/>
          <w:szCs w:val="28"/>
        </w:rPr>
        <w:t>同時也應該</w:t>
      </w:r>
      <w:r w:rsidRPr="00C77E77">
        <w:rPr>
          <w:rFonts w:ascii="Times New Roman" w:eastAsia="標楷體" w:hAnsi="Times New Roman" w:cs="Times New Roman"/>
          <w:sz w:val="28"/>
          <w:szCs w:val="28"/>
        </w:rPr>
        <w:t>成立統一的新聞中心，爭取在越南媒體的曝光機會，包裝行銷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灣在當地的善行跟義舉；並深入瞭解海外的法規，協助</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商處理問題。</w:t>
      </w:r>
    </w:p>
    <w:p w:rsidR="009C20E3" w:rsidRPr="00C77E77" w:rsidRDefault="009C20E3" w:rsidP="005B5AD9">
      <w:pPr>
        <w:spacing w:beforeLines="50" w:before="180" w:afterLines="50" w:after="180"/>
        <w:ind w:firstLineChars="200" w:firstLine="561"/>
        <w:jc w:val="both"/>
        <w:rPr>
          <w:rFonts w:ascii="Times New Roman" w:eastAsia="標楷體" w:hAnsi="Times New Roman" w:cs="Times New Roman"/>
          <w:b/>
          <w:sz w:val="28"/>
          <w:szCs w:val="28"/>
        </w:rPr>
      </w:pPr>
    </w:p>
    <w:p w:rsidR="009C20E3" w:rsidRPr="00C77E77" w:rsidRDefault="009C20E3" w:rsidP="0001327A">
      <w:pPr>
        <w:pStyle w:val="ab"/>
        <w:numPr>
          <w:ilvl w:val="0"/>
          <w:numId w:val="117"/>
        </w:numPr>
        <w:ind w:leftChars="0"/>
        <w:rPr>
          <w:rFonts w:ascii="Times New Roman" w:eastAsia="標楷體" w:hAnsi="Times New Roman" w:cs="Times New Roman"/>
          <w:sz w:val="28"/>
          <w:szCs w:val="28"/>
        </w:rPr>
      </w:pPr>
      <w:bookmarkStart w:id="220" w:name="_Toc465352203"/>
      <w:r w:rsidRPr="00C77E77">
        <w:rPr>
          <w:rFonts w:ascii="Times New Roman" w:eastAsia="標楷體" w:hAnsi="Times New Roman" w:cs="Times New Roman"/>
          <w:sz w:val="28"/>
          <w:szCs w:val="28"/>
        </w:rPr>
        <w:t>參訪丁善理紀念學校</w:t>
      </w:r>
      <w:bookmarkEnd w:id="220"/>
    </w:p>
    <w:p w:rsidR="009C20E3" w:rsidRPr="00C77E77" w:rsidRDefault="009C20E3" w:rsidP="0001327A">
      <w:pPr>
        <w:pStyle w:val="ab"/>
        <w:numPr>
          <w:ilvl w:val="0"/>
          <w:numId w:val="115"/>
        </w:numPr>
        <w:ind w:leftChars="0"/>
        <w:rPr>
          <w:rFonts w:ascii="Times New Roman" w:eastAsia="標楷體" w:hAnsi="Times New Roman" w:cs="Times New Roman"/>
          <w:sz w:val="28"/>
          <w:szCs w:val="28"/>
        </w:rPr>
      </w:pPr>
      <w:r w:rsidRPr="00C77E77">
        <w:rPr>
          <w:rFonts w:ascii="Times New Roman" w:eastAsia="標楷體" w:hAnsi="Times New Roman" w:cs="Times New Roman"/>
          <w:sz w:val="28"/>
          <w:szCs w:val="28"/>
        </w:rPr>
        <w:t>會議重點</w:t>
      </w:r>
    </w:p>
    <w:p w:rsidR="009C20E3" w:rsidRPr="00C77E77" w:rsidRDefault="009C20E3" w:rsidP="0001327A">
      <w:pPr>
        <w:pStyle w:val="ab"/>
        <w:numPr>
          <w:ilvl w:val="1"/>
          <w:numId w:val="9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丁善理紀念學校是由中央貿開集團出資設立的完全中學，位於胡志明市第七郡富美興社區，採全英語、現代化教學，</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％都是越南學生，且幾乎都有政商背景。辦學九年以來成效卓著，目前因供不應求已進行擴大校園計畫。現任校長陳偉泓由建中校長退休後，接替前任校長丁雅雯（曾</w:t>
      </w:r>
      <w:r w:rsidRPr="00C77E77">
        <w:rPr>
          <w:rFonts w:ascii="Times New Roman" w:eastAsia="標楷體" w:hAnsi="Times New Roman" w:cs="Times New Roman"/>
          <w:sz w:val="28"/>
          <w:szCs w:val="28"/>
        </w:rPr>
        <w:lastRenderedPageBreak/>
        <w:t>任北一女中校長）任職。</w:t>
      </w:r>
    </w:p>
    <w:p w:rsidR="009C20E3" w:rsidRPr="00C77E77" w:rsidRDefault="009C20E3" w:rsidP="0001327A">
      <w:pPr>
        <w:pStyle w:val="ab"/>
        <w:numPr>
          <w:ilvl w:val="1"/>
          <w:numId w:val="9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智慧校園的設置不可能一步到位，而且在教育領域問有沒有商機是件很弔詭的事情，因為成效要怎估算？且真正的成效也許是在百年以後才看得出來。加上學校很難自己出錢，政府一定要支持。</w:t>
      </w:r>
    </w:p>
    <w:p w:rsidR="009C20E3" w:rsidRPr="00C77E77" w:rsidRDefault="00FD0D5A" w:rsidP="0001327A">
      <w:pPr>
        <w:pStyle w:val="ab"/>
        <w:numPr>
          <w:ilvl w:val="1"/>
          <w:numId w:val="9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灣對東南亞的長期誤解是發展雙方合作的最大障礙，學校推行國際化時，幾乎沒有跟東南亞國家進行交流，必須增加互相的瞭解，否則錯誤的觀念會一直複製下去。</w:t>
      </w:r>
    </w:p>
    <w:p w:rsidR="009C20E3" w:rsidRPr="00C77E77" w:rsidRDefault="009C20E3" w:rsidP="0001327A">
      <w:pPr>
        <w:pStyle w:val="ab"/>
        <w:numPr>
          <w:ilvl w:val="1"/>
          <w:numId w:val="91"/>
        </w:numPr>
        <w:spacing w:beforeLines="50" w:before="180" w:afterLines="50" w:after="180" w:line="500" w:lineRule="exact"/>
        <w:ind w:leftChars="0" w:left="426" w:hanging="36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sz w:val="28"/>
          <w:szCs w:val="28"/>
        </w:rPr>
        <w:t>目前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灣的教育品質管制降低，對外已讓其他國家認為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灣不再有值得交流學習的地方；對內則造成許多看不見的崩壞，讓弱勢的人變得更慘。</w:t>
      </w:r>
      <w:r w:rsidRPr="00C77E77">
        <w:rPr>
          <w:rFonts w:ascii="Times New Roman" w:eastAsia="標楷體" w:hAnsi="Times New Roman" w:cs="Times New Roman"/>
          <w:color w:val="000000" w:themeColor="text1"/>
          <w:sz w:val="28"/>
          <w:szCs w:val="28"/>
        </w:rPr>
        <w:t>現在學生什麼都不缺了，所以要製造教育上的不滿足，讓他們知道要透過努力才可以得到成果。</w:t>
      </w:r>
    </w:p>
    <w:p w:rsidR="009C20E3" w:rsidRPr="00C77E77" w:rsidRDefault="009C20E3" w:rsidP="0001327A">
      <w:pPr>
        <w:pStyle w:val="ab"/>
        <w:numPr>
          <w:ilvl w:val="1"/>
          <w:numId w:val="9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智慧校園有六個子項目，找出目前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灣發展的最好的項目出來發揮。建議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灣可以參考美國的「</w:t>
      </w:r>
      <w:r w:rsidRPr="00C77E77">
        <w:rPr>
          <w:rFonts w:ascii="Times New Roman" w:eastAsia="標楷體" w:hAnsi="Times New Roman" w:cs="Times New Roman"/>
          <w:sz w:val="28"/>
          <w:szCs w:val="28"/>
        </w:rPr>
        <w:t>NYC</w:t>
      </w:r>
      <w:r w:rsidRPr="00C77E77">
        <w:rPr>
          <w:rFonts w:ascii="Times New Roman" w:eastAsia="標楷體" w:hAnsi="Times New Roman" w:cs="Times New Roman"/>
          <w:sz w:val="28"/>
          <w:szCs w:val="28"/>
        </w:rPr>
        <w:t>計畫」，和海外的</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所學校交流競賽（</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個國家</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所學校），很快打響知名度。</w:t>
      </w:r>
    </w:p>
    <w:p w:rsidR="009C20E3" w:rsidRPr="00C77E77" w:rsidRDefault="00FD0D5A" w:rsidP="0001327A">
      <w:pPr>
        <w:pStyle w:val="ab"/>
        <w:numPr>
          <w:ilvl w:val="1"/>
          <w:numId w:val="9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灣要先在本土建立起一個成功的模範以後，才可以進行海外學校的媒合，請外國學校過來參觀，看有沒有合作的意願。陳校長過去就有參與</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北酷客雲的智慧校園軟體規劃，建議等酷客雲發展的更成熟以後，直接過來跟丁善理紀念學校洽談。步驟：</w:t>
      </w:r>
    </w:p>
    <w:p w:rsidR="009C20E3" w:rsidRPr="00C77E77" w:rsidRDefault="009C20E3" w:rsidP="0001327A">
      <w:pPr>
        <w:pStyle w:val="ab"/>
        <w:numPr>
          <w:ilvl w:val="2"/>
          <w:numId w:val="91"/>
        </w:numPr>
        <w:spacing w:beforeLines="50" w:before="180" w:afterLines="50" w:after="180" w:line="500" w:lineRule="exact"/>
        <w:ind w:leftChars="177" w:left="848"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找一個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灣的目標學校，例如中崙高中（酷客雲的負責學校）、建中、北一女、或是麗山高中，發展成智慧校園的典範。網頁要有多語版，包括簡體中文、英文等，設法行銷海外。</w:t>
      </w:r>
    </w:p>
    <w:p w:rsidR="009C20E3" w:rsidRPr="00C77E77" w:rsidRDefault="009C20E3" w:rsidP="0001327A">
      <w:pPr>
        <w:pStyle w:val="ab"/>
        <w:numPr>
          <w:ilvl w:val="2"/>
          <w:numId w:val="91"/>
        </w:numPr>
        <w:spacing w:beforeLines="50" w:before="180" w:afterLines="50" w:after="180" w:line="500" w:lineRule="exact"/>
        <w:ind w:leftChars="177" w:left="848"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加強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灣的英文能力，例如文件都要有英文版、甚至要求官方語言使用英文，才能像新加坡一樣變成國際頂尖。</w:t>
      </w:r>
    </w:p>
    <w:p w:rsidR="009C20E3" w:rsidRPr="00C77E77" w:rsidRDefault="009C20E3" w:rsidP="0001327A">
      <w:pPr>
        <w:pStyle w:val="ab"/>
        <w:numPr>
          <w:ilvl w:val="2"/>
          <w:numId w:val="91"/>
        </w:numPr>
        <w:spacing w:beforeLines="50" w:before="180" w:afterLines="50" w:after="180" w:line="500" w:lineRule="exact"/>
        <w:ind w:leftChars="177" w:left="848"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找海外的第三語學校合作，例如丁善理紀念學校。</w:t>
      </w:r>
    </w:p>
    <w:p w:rsidR="009C20E3" w:rsidRPr="00C77E77" w:rsidRDefault="009C20E3" w:rsidP="0001327A">
      <w:pPr>
        <w:pStyle w:val="ab"/>
        <w:numPr>
          <w:ilvl w:val="2"/>
          <w:numId w:val="91"/>
        </w:numPr>
        <w:spacing w:beforeLines="50" w:before="180" w:afterLines="50" w:after="180" w:line="500" w:lineRule="exact"/>
        <w:ind w:leftChars="177" w:left="848"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同步進行、再逐步擴大。</w:t>
      </w:r>
    </w:p>
    <w:p w:rsidR="009C20E3" w:rsidRPr="00C77E77" w:rsidRDefault="009C20E3" w:rsidP="005B5AD9">
      <w:pPr>
        <w:spacing w:beforeLines="50" w:before="180" w:afterLines="50" w:after="180"/>
        <w:jc w:val="center"/>
        <w:rPr>
          <w:rFonts w:ascii="Times New Roman" w:eastAsia="標楷體" w:hAnsi="Times New Roman" w:cs="Times New Roman"/>
          <w:noProof/>
          <w:sz w:val="28"/>
          <w:szCs w:val="28"/>
        </w:rPr>
      </w:pPr>
    </w:p>
    <w:p w:rsidR="009C20E3" w:rsidRPr="00C77E77" w:rsidRDefault="009C20E3" w:rsidP="0001327A">
      <w:pPr>
        <w:pStyle w:val="ab"/>
        <w:numPr>
          <w:ilvl w:val="0"/>
          <w:numId w:val="117"/>
        </w:numPr>
        <w:ind w:leftChars="0"/>
        <w:rPr>
          <w:rFonts w:ascii="Times New Roman" w:eastAsia="標楷體" w:hAnsi="Times New Roman" w:cs="Times New Roman"/>
          <w:sz w:val="28"/>
          <w:szCs w:val="28"/>
        </w:rPr>
      </w:pPr>
      <w:bookmarkStart w:id="221" w:name="_Toc465352204"/>
      <w:r w:rsidRPr="00C77E77">
        <w:rPr>
          <w:rFonts w:ascii="Times New Roman" w:eastAsia="標楷體" w:hAnsi="Times New Roman" w:cs="Times New Roman"/>
          <w:sz w:val="28"/>
          <w:szCs w:val="28"/>
        </w:rPr>
        <w:t>拜會外貿協會越南辦事處</w:t>
      </w:r>
      <w:bookmarkEnd w:id="221"/>
    </w:p>
    <w:p w:rsidR="009C20E3" w:rsidRPr="00C77E77" w:rsidRDefault="009C20E3" w:rsidP="0001327A">
      <w:pPr>
        <w:pStyle w:val="ab"/>
        <w:numPr>
          <w:ilvl w:val="0"/>
          <w:numId w:val="115"/>
        </w:numPr>
        <w:ind w:leftChars="0"/>
        <w:rPr>
          <w:rFonts w:ascii="Times New Roman" w:eastAsia="標楷體" w:hAnsi="Times New Roman" w:cs="Times New Roman"/>
          <w:sz w:val="28"/>
          <w:szCs w:val="28"/>
        </w:rPr>
      </w:pPr>
      <w:r w:rsidRPr="00C77E77">
        <w:rPr>
          <w:rFonts w:ascii="Times New Roman" w:eastAsia="標楷體" w:hAnsi="Times New Roman" w:cs="Times New Roman"/>
          <w:sz w:val="28"/>
          <w:szCs w:val="28"/>
        </w:rPr>
        <w:t>會議重點</w:t>
      </w:r>
    </w:p>
    <w:p w:rsidR="009C20E3" w:rsidRPr="00C77E77" w:rsidRDefault="009C20E3" w:rsidP="0001327A">
      <w:pPr>
        <w:pStyle w:val="ab"/>
        <w:numPr>
          <w:ilvl w:val="0"/>
          <w:numId w:val="11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「十大系統」整合推動的最大問題，是找不到每個系統的頭去整合、推到國外。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灣如果沒有夠份量的業者出來，就要試著跟當地業者合作，因為本地人比較容易拿到標案。</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灣就算想要跟日本合作爭取越南的公共建設，但是日本也已經表明要優先給日本廠商去做，很難交給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w:t>
      </w:r>
    </w:p>
    <w:p w:rsidR="009C20E3" w:rsidRPr="00C77E77" w:rsidRDefault="009C20E3" w:rsidP="0001327A">
      <w:pPr>
        <w:pStyle w:val="ab"/>
        <w:numPr>
          <w:ilvl w:val="0"/>
          <w:numId w:val="11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與其把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灣的外交資源那去給那些號稱有政治利益的</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幾個邦交國家，不如拿到真正有經濟利益的新南向國家，像是越南，可以換來好的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灣形象。例如：送一座太陽能發電廠給越南，規模可大可小；送一套電子政府裡面的某一塊像是某個港口的通關系統給越南。既然是用送的，越南政府何樂而不為？而且這些可以成為很好的示範點。癥結在於：</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灣政府願意花錢補助嗎？</w:t>
      </w:r>
    </w:p>
    <w:p w:rsidR="009C20E3" w:rsidRPr="00C77E77" w:rsidRDefault="00FD0D5A" w:rsidP="0001327A">
      <w:pPr>
        <w:pStyle w:val="ab"/>
        <w:numPr>
          <w:ilvl w:val="0"/>
          <w:numId w:val="11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灣的電商要利用併購當地第二大、第三大地電商的方式，加速進來越南。就像阿里巴巴併購</w:t>
      </w:r>
      <w:r w:rsidR="009C20E3" w:rsidRPr="00C77E77">
        <w:rPr>
          <w:rFonts w:ascii="Times New Roman" w:eastAsia="標楷體" w:hAnsi="Times New Roman" w:cs="Times New Roman"/>
          <w:sz w:val="28"/>
          <w:szCs w:val="28"/>
        </w:rPr>
        <w:t>Lazarda</w:t>
      </w:r>
      <w:r w:rsidR="009C20E3" w:rsidRPr="00C77E77">
        <w:rPr>
          <w:rFonts w:ascii="Times New Roman" w:eastAsia="標楷體" w:hAnsi="Times New Roman" w:cs="Times New Roman"/>
          <w:sz w:val="28"/>
          <w:szCs w:val="28"/>
        </w:rPr>
        <w:t>那樣掌握通路。</w:t>
      </w:r>
    </w:p>
    <w:p w:rsidR="009C20E3" w:rsidRPr="00C77E77" w:rsidRDefault="009C20E3" w:rsidP="0001327A">
      <w:pPr>
        <w:pStyle w:val="ab"/>
        <w:numPr>
          <w:ilvl w:val="0"/>
          <w:numId w:val="11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同奈省已經有彰化基督教醫院過來合作蓋醫院，預計</w:t>
      </w:r>
      <w:r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年落成。但是遠距醫療、智慧穿戴那些還不適合。</w:t>
      </w:r>
    </w:p>
    <w:p w:rsidR="009C20E3" w:rsidRPr="00C77E77" w:rsidRDefault="009C20E3" w:rsidP="0001327A">
      <w:pPr>
        <w:pStyle w:val="ab"/>
        <w:numPr>
          <w:ilvl w:val="0"/>
          <w:numId w:val="11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越南是農業大國，農、漁、養殖業都很強，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灣應該把握。但如果是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灣的政府或企業租地自己種的話，越南員工學會以後就在旁邊蓋茶園、挖魚池，被員工搞到賠錢，所以建議用契作的方式：</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技術還是會給，教當地農民怎麼種植蘆薈、鳳梨</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w:t>
      </w:r>
      <w:r w:rsidRPr="00C77E77">
        <w:rPr>
          <w:rFonts w:ascii="Times New Roman" w:eastAsia="標楷體" w:hAnsi="Times New Roman" w:cs="Times New Roman"/>
          <w:sz w:val="28"/>
          <w:szCs w:val="28"/>
        </w:rPr>
        <w:t xml:space="preserve"> (2)</w:t>
      </w:r>
      <w:r w:rsidRPr="00C77E77">
        <w:rPr>
          <w:rFonts w:ascii="Times New Roman" w:eastAsia="標楷體" w:hAnsi="Times New Roman" w:cs="Times New Roman"/>
          <w:sz w:val="28"/>
          <w:szCs w:val="28"/>
        </w:rPr>
        <w:t>重點是自己要能掌握通路，收購回來拿去賣。</w:t>
      </w:r>
    </w:p>
    <w:p w:rsidR="009C20E3" w:rsidRPr="00C77E77" w:rsidRDefault="009C20E3" w:rsidP="0001327A">
      <w:pPr>
        <w:pStyle w:val="ab"/>
        <w:numPr>
          <w:ilvl w:val="0"/>
          <w:numId w:val="11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石化業方面，其實越南缺油，但是另一個國家投資的煉油廠現在也喊停了。越南政府的作法是把原油出口、再進口柴油。</w:t>
      </w:r>
    </w:p>
    <w:p w:rsidR="009C20E3" w:rsidRPr="00C77E77" w:rsidRDefault="009C20E3" w:rsidP="0001327A">
      <w:pPr>
        <w:pStyle w:val="ab"/>
        <w:numPr>
          <w:ilvl w:val="0"/>
          <w:numId w:val="11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零售服務業在未來的</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年內要趕快進來，不然</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灣商品會沒有販售通路。</w:t>
      </w:r>
    </w:p>
    <w:p w:rsidR="009C20E3" w:rsidRPr="00C77E77" w:rsidRDefault="009C20E3" w:rsidP="0001327A">
      <w:pPr>
        <w:pStyle w:val="ab"/>
        <w:numPr>
          <w:ilvl w:val="0"/>
          <w:numId w:val="11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原因：第一，製造業不會遇到語言問題，但是服務業必須克服溝通障礙。第二，製造業有外移出走的疑慮；但是服務業不會影響到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灣本土的狀況，而是擴大規模。第三，百貨公司、賣場、超商等零售通路本身就是火車頭，現在日本或韓國的通路都主打自己國家的商品，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灣的產品快要沒地方賣了</w:t>
      </w:r>
    </w:p>
    <w:p w:rsidR="009C20E3" w:rsidRPr="00C77E77" w:rsidRDefault="009C20E3" w:rsidP="0001327A">
      <w:pPr>
        <w:pStyle w:val="ab"/>
        <w:numPr>
          <w:ilvl w:val="0"/>
          <w:numId w:val="11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w:t>
      </w:r>
      <w:r w:rsidR="00646C61" w:rsidRPr="00C77E77">
        <w:rPr>
          <w:rFonts w:ascii="Times New Roman" w:eastAsia="標楷體" w:hAnsi="Times New Roman" w:cs="Times New Roman"/>
          <w:sz w:val="28"/>
          <w:szCs w:val="28"/>
        </w:rPr>
        <w:t>在</w:t>
      </w:r>
      <w:r w:rsidRPr="00C77E77">
        <w:rPr>
          <w:rFonts w:ascii="Times New Roman" w:eastAsia="標楷體" w:hAnsi="Times New Roman" w:cs="Times New Roman"/>
          <w:sz w:val="28"/>
          <w:szCs w:val="28"/>
        </w:rPr>
        <w:t>兩、三年前開始有外國的零售通路、</w:t>
      </w:r>
      <w:r w:rsidRPr="00C77E77">
        <w:rPr>
          <w:rFonts w:ascii="Times New Roman" w:eastAsia="標楷體" w:hAnsi="Times New Roman" w:cs="Times New Roman"/>
          <w:sz w:val="28"/>
          <w:szCs w:val="28"/>
        </w:rPr>
        <w:t>mall</w:t>
      </w:r>
      <w:r w:rsidRPr="00C77E77">
        <w:rPr>
          <w:rFonts w:ascii="Times New Roman" w:eastAsia="標楷體" w:hAnsi="Times New Roman" w:cs="Times New Roman"/>
          <w:sz w:val="28"/>
          <w:szCs w:val="28"/>
        </w:rPr>
        <w:t>，現在越南還是街邊店較多，還有一點發展空間，但是再</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年就沒有了。</w:t>
      </w:r>
    </w:p>
    <w:p w:rsidR="009C20E3" w:rsidRPr="00C77E77" w:rsidRDefault="009C20E3" w:rsidP="0001327A">
      <w:pPr>
        <w:pStyle w:val="ab"/>
        <w:numPr>
          <w:ilvl w:val="0"/>
          <w:numId w:val="11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餐飲服務業多用權利金一次賣斷的方式，開出天價，但不願涉入經營問題，把服務業當作是貿易來搞，只想現賺；連帶也降低了越南當地業者的合作意願。但是日、韓都是找代理商、設辦公室，長期經營服務業。</w:t>
      </w:r>
    </w:p>
    <w:p w:rsidR="009C20E3" w:rsidRPr="00C77E77" w:rsidRDefault="009C20E3" w:rsidP="0001327A">
      <w:pPr>
        <w:pStyle w:val="ab"/>
        <w:numPr>
          <w:ilvl w:val="0"/>
          <w:numId w:val="11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灣本土的大潤發、新光三越（要換個名字把三越拿掉再進來）可以用併購當地業者的模式進來。一旦火車頭進來了，</w:t>
      </w:r>
      <w:r w:rsidRPr="00C77E77">
        <w:rPr>
          <w:rFonts w:ascii="Times New Roman" w:eastAsia="標楷體" w:hAnsi="Times New Roman" w:cs="Times New Roman"/>
          <w:sz w:val="28"/>
          <w:szCs w:val="28"/>
        </w:rPr>
        <w:t>85</w:t>
      </w:r>
      <w:r w:rsidRPr="00C77E77">
        <w:rPr>
          <w:rFonts w:ascii="Times New Roman" w:eastAsia="標楷體" w:hAnsi="Times New Roman" w:cs="Times New Roman"/>
          <w:sz w:val="28"/>
          <w:szCs w:val="28"/>
        </w:rPr>
        <w:t>度</w:t>
      </w:r>
      <w:r w:rsidRPr="00C77E77">
        <w:rPr>
          <w:rFonts w:ascii="Times New Roman" w:eastAsia="標楷體" w:hAnsi="Times New Roman" w:cs="Times New Roman"/>
          <w:sz w:val="28"/>
          <w:szCs w:val="28"/>
        </w:rPr>
        <w:t>C</w:t>
      </w:r>
      <w:r w:rsidRPr="00C77E77">
        <w:rPr>
          <w:rFonts w:ascii="Times New Roman" w:eastAsia="標楷體" w:hAnsi="Times New Roman" w:cs="Times New Roman"/>
          <w:sz w:val="28"/>
          <w:szCs w:val="28"/>
        </w:rPr>
        <w:t>、鼎泰豐可能就願意進來經營了。</w:t>
      </w:r>
    </w:p>
    <w:p w:rsidR="009C20E3" w:rsidRPr="00C77E77" w:rsidRDefault="009C20E3" w:rsidP="0001327A">
      <w:pPr>
        <w:pStyle w:val="ab"/>
        <w:numPr>
          <w:ilvl w:val="0"/>
          <w:numId w:val="11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商製造業在越南還有十年好光景，未來隨著工資上漲，可能會移到緬甸去。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灣要把握時間進行傳產再升級。</w:t>
      </w:r>
    </w:p>
    <w:p w:rsidR="009C20E3" w:rsidRPr="00C77E77" w:rsidRDefault="009C20E3" w:rsidP="00707BEB">
      <w:pPr>
        <w:spacing w:beforeLines="50" w:before="180" w:afterLines="50" w:after="180"/>
        <w:ind w:firstLineChars="200" w:firstLine="560"/>
        <w:jc w:val="center"/>
        <w:rPr>
          <w:rFonts w:ascii="Times New Roman" w:eastAsia="標楷體" w:hAnsi="Times New Roman" w:cs="Times New Roman"/>
          <w:sz w:val="28"/>
          <w:szCs w:val="28"/>
        </w:rPr>
      </w:pPr>
    </w:p>
    <w:p w:rsidR="009C20E3" w:rsidRPr="00C77E77" w:rsidRDefault="009C20E3" w:rsidP="0001327A">
      <w:pPr>
        <w:pStyle w:val="ab"/>
        <w:numPr>
          <w:ilvl w:val="0"/>
          <w:numId w:val="117"/>
        </w:numPr>
        <w:ind w:leftChars="0"/>
        <w:rPr>
          <w:rFonts w:ascii="Times New Roman" w:eastAsia="標楷體" w:hAnsi="Times New Roman" w:cs="Times New Roman"/>
          <w:sz w:val="28"/>
          <w:szCs w:val="28"/>
        </w:rPr>
      </w:pPr>
      <w:bookmarkStart w:id="222" w:name="_Toc465352205"/>
      <w:r w:rsidRPr="00C77E77">
        <w:rPr>
          <w:rFonts w:ascii="Times New Roman" w:eastAsia="標楷體" w:hAnsi="Times New Roman" w:cs="Times New Roman"/>
          <w:sz w:val="28"/>
          <w:szCs w:val="28"/>
        </w:rPr>
        <w:t>拜會同奈省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灣商會</w:t>
      </w:r>
      <w:bookmarkEnd w:id="222"/>
    </w:p>
    <w:p w:rsidR="009C20E3" w:rsidRPr="00C77E77" w:rsidRDefault="009C20E3" w:rsidP="0001327A">
      <w:pPr>
        <w:pStyle w:val="ab"/>
        <w:numPr>
          <w:ilvl w:val="1"/>
          <w:numId w:val="11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同奈省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商會是越南家數第二多的商會（僅次於平陽省），以紡織及製鞋業為主。因為此地有數間規模較大的企業投資，包括味丹、大東、如虹、</w:t>
      </w:r>
      <w:r w:rsidRPr="00C77E77">
        <w:rPr>
          <w:rFonts w:ascii="Times New Roman" w:eastAsia="標楷體" w:hAnsi="Times New Roman" w:cs="Times New Roman"/>
          <w:sz w:val="28"/>
          <w:szCs w:val="28"/>
        </w:rPr>
        <w:lastRenderedPageBreak/>
        <w:t>南紡、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塑紡織、寶成等，所以總金額最多，約為</w:t>
      </w:r>
      <w:r w:rsidRPr="00C77E77">
        <w:rPr>
          <w:rFonts w:ascii="Times New Roman" w:eastAsia="標楷體" w:hAnsi="Times New Roman" w:cs="Times New Roman"/>
          <w:sz w:val="28"/>
          <w:szCs w:val="28"/>
        </w:rPr>
        <w:t>84</w:t>
      </w:r>
      <w:r w:rsidRPr="00C77E77">
        <w:rPr>
          <w:rFonts w:ascii="Times New Roman" w:eastAsia="標楷體" w:hAnsi="Times New Roman" w:cs="Times New Roman"/>
          <w:sz w:val="28"/>
          <w:szCs w:val="28"/>
        </w:rPr>
        <w:t>億美金。</w:t>
      </w:r>
    </w:p>
    <w:p w:rsidR="009C20E3" w:rsidRPr="00C77E77" w:rsidRDefault="009C20E3" w:rsidP="0001327A">
      <w:pPr>
        <w:pStyle w:val="ab"/>
        <w:numPr>
          <w:ilvl w:val="1"/>
          <w:numId w:val="11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越南是跳躍式的發展，例如手機直接跳到數位式，但是基地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不夠。</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灣的機會點是在其發展縫隙的空間中補齊不足之處。</w:t>
      </w:r>
    </w:p>
    <w:p w:rsidR="009C20E3" w:rsidRPr="00C77E77" w:rsidRDefault="009C20E3" w:rsidP="0001327A">
      <w:pPr>
        <w:pStyle w:val="ab"/>
        <w:numPr>
          <w:ilvl w:val="1"/>
          <w:numId w:val="11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越南電子化政府的發展還很不足，例如，不像</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灣有聯合徵信中心，越南的金融系統、銀行、稅務單位沒有連線，呆帳率很高。</w:t>
      </w:r>
    </w:p>
    <w:p w:rsidR="009C20E3" w:rsidRPr="00C77E77" w:rsidRDefault="009C20E3" w:rsidP="0001327A">
      <w:pPr>
        <w:pStyle w:val="ab"/>
        <w:numPr>
          <w:ilvl w:val="1"/>
          <w:numId w:val="11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越南跨境電商跟智慧物流要結合起來看，目前還在發展中，未臻成熟，過去幾年甚至上網購物反而要課稅。不過越南的地形狹長，整個國土都是海岸線，政府正積極發展港口。中國已經</w:t>
      </w:r>
      <w:r w:rsidRPr="00C77E77">
        <w:rPr>
          <w:rFonts w:ascii="Times New Roman" w:eastAsia="標楷體" w:hAnsi="Times New Roman" w:cs="Times New Roman"/>
          <w:sz w:val="28"/>
          <w:szCs w:val="28"/>
        </w:rPr>
        <w:t>ODA</w:t>
      </w:r>
      <w:r w:rsidRPr="00C77E77">
        <w:rPr>
          <w:rFonts w:ascii="Times New Roman" w:eastAsia="標楷體" w:hAnsi="Times New Roman" w:cs="Times New Roman"/>
          <w:sz w:val="28"/>
          <w:szCs w:val="28"/>
        </w:rPr>
        <w:t>很多港灣建設，日本也捐助了過港隧道。</w:t>
      </w:r>
    </w:p>
    <w:p w:rsidR="009C20E3" w:rsidRPr="00C77E77" w:rsidRDefault="009C20E3" w:rsidP="0001327A">
      <w:pPr>
        <w:pStyle w:val="ab"/>
        <w:numPr>
          <w:ilvl w:val="1"/>
          <w:numId w:val="11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百貨公司跟建築業都屬於火車頭式的產業，目前在越南的實體店面還逐漸在增加，未來幾年內應該也還會持續增加。如果</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灣的服務業想要進來，面對的競爭對手都是國際龍頭，尤其是日本。</w:t>
      </w:r>
    </w:p>
    <w:p w:rsidR="009C20E3" w:rsidRPr="00C77E77" w:rsidRDefault="009C20E3" w:rsidP="0001327A">
      <w:pPr>
        <w:pStyle w:val="ab"/>
        <w:numPr>
          <w:ilvl w:val="1"/>
          <w:numId w:val="111"/>
        </w:numPr>
        <w:spacing w:beforeLines="50" w:before="180" w:afterLines="50" w:after="180" w:line="500" w:lineRule="exact"/>
        <w:ind w:leftChars="0" w:left="426"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政府應該要把現有的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商穩固好，可惜政府對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商照顧的太少。</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商的聚集效應其實是一個拉一個集結起來的，不像日本、韓國是透過由上到下的規劃。建議：</w:t>
      </w:r>
    </w:p>
    <w:p w:rsidR="009C20E3" w:rsidRPr="00C77E77" w:rsidRDefault="009C20E3" w:rsidP="0001327A">
      <w:pPr>
        <w:pStyle w:val="ab"/>
        <w:numPr>
          <w:ilvl w:val="2"/>
          <w:numId w:val="111"/>
        </w:numPr>
        <w:spacing w:beforeLines="50" w:before="180" w:afterLines="50" w:after="180" w:line="500" w:lineRule="exact"/>
        <w:ind w:leftChars="0" w:left="1320"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重視製造業的價值。政府似乎忽略了製造業其實是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商最具競爭力的部分，應該學習德國、日本，給予服務業與製造業同樣的尊重。日本職人的精神跟技術是建立在嚴謹的</w:t>
      </w:r>
      <w:r w:rsidRPr="00C77E77">
        <w:rPr>
          <w:rFonts w:ascii="Times New Roman" w:eastAsia="標楷體" w:hAnsi="Times New Roman" w:cs="Times New Roman"/>
          <w:sz w:val="28"/>
          <w:szCs w:val="28"/>
        </w:rPr>
        <w:t>SOP</w:t>
      </w:r>
      <w:r w:rsidRPr="00C77E77">
        <w:rPr>
          <w:rFonts w:ascii="Times New Roman" w:eastAsia="標楷體" w:hAnsi="Times New Roman" w:cs="Times New Roman"/>
          <w:sz w:val="28"/>
          <w:szCs w:val="28"/>
        </w:rPr>
        <w:t>上，代代相傳不會流失。德國更是明白宣示「藍領不會低於白領」。</w:t>
      </w:r>
    </w:p>
    <w:p w:rsidR="009C20E3" w:rsidRPr="00C77E77" w:rsidRDefault="009C20E3" w:rsidP="0001327A">
      <w:pPr>
        <w:pStyle w:val="ab"/>
        <w:numPr>
          <w:ilvl w:val="2"/>
          <w:numId w:val="111"/>
        </w:numPr>
        <w:spacing w:beforeLines="50" w:before="180" w:afterLines="50" w:after="180" w:line="500" w:lineRule="exact"/>
        <w:ind w:leftChars="0" w:left="1320"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規劃人才教育。老的、在地的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多是白手起家的製造業者，本身是技術出身，學歷可能不夠高，但有紮實的實務基礎。他們到了越南以後都轉做管理職，政府應該協助他們進修，提升文憑、學歷、管理觀念的教育，這樣不只企業競爭力會更好，也能更有效的帶領年輕員工，避免前輩跟後輩之間的相怨。</w:t>
      </w:r>
    </w:p>
    <w:p w:rsidR="009C20E3" w:rsidRPr="00C77E77" w:rsidRDefault="009C20E3" w:rsidP="0001327A">
      <w:pPr>
        <w:pStyle w:val="ab"/>
        <w:numPr>
          <w:ilvl w:val="2"/>
          <w:numId w:val="111"/>
        </w:numPr>
        <w:spacing w:beforeLines="50" w:before="180" w:afterLines="50" w:after="180" w:line="500" w:lineRule="exact"/>
        <w:ind w:leftChars="0" w:left="1320"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促進師資在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灣本土與海外的流動。承上，海外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商有進修的需</w:t>
      </w:r>
      <w:r w:rsidRPr="00C77E77">
        <w:rPr>
          <w:rFonts w:ascii="Times New Roman" w:eastAsia="標楷體" w:hAnsi="Times New Roman" w:cs="Times New Roman"/>
          <w:sz w:val="28"/>
          <w:szCs w:val="28"/>
        </w:rPr>
        <w:lastRenderedPageBreak/>
        <w:t>求，同時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商第二代的接班問題跟教育訓練也迫在眉睫。然而，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灣本土的教師卻嚴重過剩，一堆博士跟老師找不到工作。政府應該採取補助或專案，把這些教師吸引到海外從事教育工作。</w:t>
      </w:r>
    </w:p>
    <w:p w:rsidR="009C20E3" w:rsidRPr="00C77E77" w:rsidRDefault="009C20E3" w:rsidP="0001327A">
      <w:pPr>
        <w:pStyle w:val="ab"/>
        <w:numPr>
          <w:ilvl w:val="2"/>
          <w:numId w:val="111"/>
        </w:numPr>
        <w:spacing w:beforeLines="50" w:before="180" w:afterLines="50" w:after="180" w:line="500" w:lineRule="exact"/>
        <w:ind w:leftChars="0" w:left="1320"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目前只有高雄市政府提供經費，讓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商委託高雄空大開放給在同奈的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商進行海外學習（已計畫未來在胡志明市跟平陽也開分班）。不過仍然不夠，建議政府要開放學校的海外授課與認證，尤其是管理相關課程。</w:t>
      </w:r>
    </w:p>
    <w:p w:rsidR="009C20E3" w:rsidRPr="00C77E77" w:rsidRDefault="009C20E3" w:rsidP="0001327A">
      <w:pPr>
        <w:pStyle w:val="ab"/>
        <w:numPr>
          <w:ilvl w:val="2"/>
          <w:numId w:val="111"/>
        </w:numPr>
        <w:spacing w:beforeLines="50" w:before="180" w:afterLines="50" w:after="180" w:line="500" w:lineRule="exact"/>
        <w:ind w:leftChars="0" w:left="1320"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灣的年輕人多到越南的日企、韓企工作，不見得一定要待在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企裡。因為透過國際競爭能夠提升實力，而且可以迴避政治上的敏感問題，結交各國友人。</w:t>
      </w:r>
    </w:p>
    <w:p w:rsidR="009C20E3" w:rsidRPr="00C77E77" w:rsidRDefault="009C20E3" w:rsidP="0001327A">
      <w:pPr>
        <w:pStyle w:val="ab"/>
        <w:numPr>
          <w:ilvl w:val="2"/>
          <w:numId w:val="111"/>
        </w:numPr>
        <w:spacing w:beforeLines="50" w:before="180" w:afterLines="50" w:after="180" w:line="500" w:lineRule="exact"/>
        <w:ind w:leftChars="0" w:left="1320" w:hanging="36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加速建立東南亞智庫。日本、韓國、德國等在進行海外投資以前，都會有一群智庫先行調查研究，成員包括銀行、律師、會計師等。然而，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灣只有僑委會每個月撥款</w:t>
      </w:r>
      <w:r w:rsidRPr="00C77E77">
        <w:rPr>
          <w:rFonts w:ascii="Times New Roman" w:eastAsia="標楷體" w:hAnsi="Times New Roman" w:cs="Times New Roman"/>
          <w:sz w:val="28"/>
          <w:szCs w:val="28"/>
        </w:rPr>
        <w:t>1,000</w:t>
      </w:r>
      <w:r w:rsidRPr="00C77E77">
        <w:rPr>
          <w:rFonts w:ascii="Times New Roman" w:eastAsia="標楷體" w:hAnsi="Times New Roman" w:cs="Times New Roman"/>
          <w:sz w:val="28"/>
          <w:szCs w:val="28"/>
        </w:rPr>
        <w:t>美金設計問卷調查當地狀況，完全不敷使用。越南</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商目前最需要的律師跟會計師，而緬甸之類的未來潛在性國家，一定要智庫提早</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年就去調查，不要等到政策要推行了才急就章，那樣絕對來不及。</w:t>
      </w:r>
    </w:p>
    <w:p w:rsidR="009C20E3" w:rsidRPr="00C77E77" w:rsidRDefault="009C20E3" w:rsidP="005B5AD9">
      <w:pPr>
        <w:pStyle w:val="aff3"/>
        <w:spacing w:beforeLines="50" w:before="180" w:afterLines="50" w:after="180"/>
        <w:ind w:firstLine="482"/>
        <w:jc w:val="both"/>
        <w:rPr>
          <w:rFonts w:cs="Times New Roman"/>
          <w:color w:val="FF0000"/>
          <w:sz w:val="28"/>
          <w:szCs w:val="28"/>
        </w:rPr>
      </w:pPr>
    </w:p>
    <w:p w:rsidR="009C20E3" w:rsidRPr="00C77E77" w:rsidRDefault="009C20E3" w:rsidP="0001327A">
      <w:pPr>
        <w:pStyle w:val="ab"/>
        <w:numPr>
          <w:ilvl w:val="0"/>
          <w:numId w:val="117"/>
        </w:numPr>
        <w:ind w:leftChars="0"/>
        <w:rPr>
          <w:rFonts w:ascii="Times New Roman" w:eastAsia="標楷體" w:hAnsi="Times New Roman" w:cs="Times New Roman"/>
          <w:color w:val="000000" w:themeColor="text1"/>
          <w:sz w:val="28"/>
          <w:szCs w:val="28"/>
        </w:rPr>
      </w:pPr>
      <w:bookmarkStart w:id="223" w:name="_Toc465352206"/>
      <w:r w:rsidRPr="00C77E77">
        <w:rPr>
          <w:rFonts w:ascii="Times New Roman" w:eastAsia="標楷體" w:hAnsi="Times New Roman" w:cs="Times New Roman"/>
          <w:color w:val="000000" w:themeColor="text1"/>
          <w:sz w:val="28"/>
          <w:szCs w:val="28"/>
        </w:rPr>
        <w:t>拜訪味丹食品公司</w:t>
      </w:r>
      <w:bookmarkEnd w:id="223"/>
    </w:p>
    <w:p w:rsidR="009C20E3" w:rsidRPr="00C77E77" w:rsidRDefault="00FD0D5A"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灣要效法日本、韓國的商會成立研究智庫，而且要能夠駐點在當地，不是兩三個月來一次。原因如下：</w:t>
      </w:r>
    </w:p>
    <w:p w:rsidR="009C20E3" w:rsidRPr="00C77E77" w:rsidRDefault="009C20E3" w:rsidP="0001327A">
      <w:pPr>
        <w:pStyle w:val="ab"/>
        <w:numPr>
          <w:ilvl w:val="0"/>
          <w:numId w:val="12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協助建立好的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灣形象。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商在越南分兩種，一是勞力密集產業，如紡織跟鞋業；二是主打內銷（比例很低），例如味丹做味精、統一賣水產飼料、味王賣泡麵（但是也沒打入越南前</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大內）。內銷的通路、企業形象、社會責任、品質控管、品牌知名度、提升附加價值</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等，就非常重要。</w:t>
      </w:r>
    </w:p>
    <w:p w:rsidR="009C20E3" w:rsidRPr="00C77E77" w:rsidRDefault="009C20E3" w:rsidP="0001327A">
      <w:pPr>
        <w:pStyle w:val="ab"/>
        <w:numPr>
          <w:ilvl w:val="0"/>
          <w:numId w:val="12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智庫可以彙整外國大型銀行的調查報告、蒐集法律跟會計相關資訊、分析越南書店的公開資料等，然後再去跟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商做</w:t>
      </w:r>
      <w:r w:rsidRPr="00C77E77">
        <w:rPr>
          <w:rFonts w:ascii="Times New Roman" w:eastAsia="標楷體" w:hAnsi="Times New Roman" w:cs="Times New Roman"/>
          <w:sz w:val="28"/>
          <w:szCs w:val="28"/>
        </w:rPr>
        <w:t>double check</w:t>
      </w:r>
      <w:r w:rsidRPr="00C77E77">
        <w:rPr>
          <w:rFonts w:ascii="Times New Roman" w:eastAsia="標楷體" w:hAnsi="Times New Roman" w:cs="Times New Roman"/>
          <w:sz w:val="28"/>
          <w:szCs w:val="28"/>
        </w:rPr>
        <w:t>，甚至利用高雄市政府或高雄同鄉會的組織力量，就可以逐步建立自己的</w:t>
      </w:r>
      <w:r w:rsidRPr="00C77E77">
        <w:rPr>
          <w:rFonts w:ascii="Times New Roman" w:eastAsia="標楷體" w:hAnsi="Times New Roman" w:cs="Times New Roman"/>
          <w:sz w:val="28"/>
          <w:szCs w:val="28"/>
        </w:rPr>
        <w:t>data base</w:t>
      </w:r>
      <w:r w:rsidRPr="00C77E77">
        <w:rPr>
          <w:rFonts w:ascii="Times New Roman" w:eastAsia="標楷體" w:hAnsi="Times New Roman" w:cs="Times New Roman"/>
          <w:sz w:val="28"/>
          <w:szCs w:val="28"/>
        </w:rPr>
        <w:t>，然後越挖越深，真正達到有效的產學結合。</w:t>
      </w:r>
    </w:p>
    <w:p w:rsidR="009C20E3" w:rsidRPr="00C77E77" w:rsidRDefault="009C20E3" w:rsidP="0001327A">
      <w:pPr>
        <w:pStyle w:val="ab"/>
        <w:numPr>
          <w:ilvl w:val="0"/>
          <w:numId w:val="12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以新農業來說，越南有超過半數的農業人口，主要的穀倉在北部的紅河三角洲，以及南部的湄公河三角洲。這幾年因為氣候變遷，越南被</w:t>
      </w:r>
      <w:r w:rsidRPr="00C77E77">
        <w:rPr>
          <w:rFonts w:ascii="Times New Roman" w:eastAsia="標楷體" w:hAnsi="Times New Roman" w:cs="Times New Roman"/>
          <w:sz w:val="28"/>
          <w:szCs w:val="28"/>
        </w:rPr>
        <w:t>WTO</w:t>
      </w:r>
      <w:r w:rsidRPr="00C77E77">
        <w:rPr>
          <w:rFonts w:ascii="Times New Roman" w:eastAsia="標楷體" w:hAnsi="Times New Roman" w:cs="Times New Roman"/>
          <w:sz w:val="28"/>
          <w:szCs w:val="28"/>
        </w:rPr>
        <w:t>評為全球受暖化影響最大的十個國家之一，所以這幾年越南農業的成長很緩慢。按理講，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灣應該很有機會可以幫忙，農科院也很想要藉此把新農業推到東協南亞國家，但是他們對當地的漁業、農業、飼料</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等市場完全不瞭解，也不知道該循什麼管道進行、該打通哪些環節，這樣要怎麼推的下去？</w:t>
      </w:r>
    </w:p>
    <w:p w:rsidR="009C20E3" w:rsidRPr="00C77E77" w:rsidRDefault="009C20E3"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新農業推行的其它困難點還有：一，越戰後土地被劃分的很小塊，沒辦法大規模推行。二，農民比較重視眼前的利益，不容易管理。三，即使</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灣人只想單純教當地農民技術，也都要先跟當地政府合作，通過申請、試種等程序才可以。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灣必須要由政府單位跟農委會出面，跟越南的農政單位、技術試驗所、農技隊伍等交涉才有機會。</w:t>
      </w:r>
    </w:p>
    <w:p w:rsidR="009C20E3" w:rsidRPr="00C77E77" w:rsidRDefault="009C20E3"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跨境電商在越南不是那麼大塊的餅，不過因為年輕人口眾多，</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灣也許有一點機會。但是越南的金流跟物流都有問題，銀行沒有連線，且習慣貨到付款；另外公路跟鐵路設施都很差。</w:t>
      </w:r>
    </w:p>
    <w:p w:rsidR="009C20E3" w:rsidRPr="00C77E77" w:rsidRDefault="009C20E3"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「智慧」型產業：自動化的推行必須出自於減少出錯、降低危險，而不是取代人工，才有成功的可能。如果自動化造成員工縮減，在勞動法上站不住腳，政府也會有意見。</w:t>
      </w:r>
    </w:p>
    <w:p w:rsidR="009C20E3" w:rsidRPr="00C77E77" w:rsidRDefault="009C20E3"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：節能</w:t>
      </w:r>
      <w:r w:rsidR="005B5AD9" w:rsidRPr="00C77E77">
        <w:rPr>
          <w:rFonts w:ascii="Times New Roman" w:eastAsia="標楷體" w:hAnsi="Times New Roman" w:cs="Times New Roman"/>
          <w:sz w:val="28"/>
          <w:szCs w:val="28"/>
        </w:rPr>
        <w:t>減</w:t>
      </w:r>
      <w:r w:rsidRPr="00C77E77">
        <w:rPr>
          <w:rFonts w:ascii="Times New Roman" w:eastAsia="標楷體" w:hAnsi="Times New Roman" w:cs="Times New Roman"/>
          <w:sz w:val="28"/>
          <w:szCs w:val="28"/>
        </w:rPr>
        <w:t>碳是未來的目標，但在收入還很低的現階段，要全力衝刺經濟成長，還不會想到這一塊。</w:t>
      </w:r>
    </w:p>
    <w:p w:rsidR="009C20E3" w:rsidRPr="00C77E77" w:rsidRDefault="009C20E3"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太陽能：越南缺電，計畫在</w:t>
      </w:r>
      <w:r w:rsidRPr="00C77E77">
        <w:rPr>
          <w:rFonts w:ascii="Times New Roman" w:eastAsia="標楷體" w:hAnsi="Times New Roman" w:cs="Times New Roman"/>
          <w:sz w:val="28"/>
          <w:szCs w:val="28"/>
        </w:rPr>
        <w:t>2030</w:t>
      </w:r>
      <w:r w:rsidRPr="00C77E77">
        <w:rPr>
          <w:rFonts w:ascii="Times New Roman" w:eastAsia="標楷體" w:hAnsi="Times New Roman" w:cs="Times New Roman"/>
          <w:sz w:val="28"/>
          <w:szCs w:val="28"/>
        </w:rPr>
        <w:t>年前要增加</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兆萬瓦，是現在的一倍需求。目前多靠水力發電，不過擴建不易；因為有產煤炭，所以計畫轉成火力發電。會不會蓋核能還不確定。但是越南雨季太長，怎磨可能用太陽能？</w:t>
      </w:r>
    </w:p>
    <w:p w:rsidR="009C20E3" w:rsidRPr="00C77E77" w:rsidRDefault="009C20E3"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越南狹長、道路設施不佳、農村眾多，所以有</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成的販售是走傳統通路。零售批發業是未來的趨勢，現在已經有法國的</w:t>
      </w:r>
      <w:r w:rsidRPr="00C77E77">
        <w:rPr>
          <w:rFonts w:ascii="Times New Roman" w:eastAsia="標楷體" w:hAnsi="Times New Roman" w:cs="Times New Roman"/>
          <w:sz w:val="28"/>
          <w:szCs w:val="28"/>
        </w:rPr>
        <w:t>big C</w:t>
      </w:r>
      <w:r w:rsidRPr="00C77E77">
        <w:rPr>
          <w:rFonts w:ascii="Times New Roman" w:eastAsia="標楷體" w:hAnsi="Times New Roman" w:cs="Times New Roman"/>
          <w:sz w:val="28"/>
          <w:szCs w:val="28"/>
        </w:rPr>
        <w:t>、德國的</w:t>
      </w:r>
      <w:r w:rsidRPr="00C77E77">
        <w:rPr>
          <w:rFonts w:ascii="Times New Roman" w:eastAsia="標楷體" w:hAnsi="Times New Roman" w:cs="Times New Roman"/>
          <w:sz w:val="28"/>
          <w:szCs w:val="28"/>
        </w:rPr>
        <w:t>Metro</w:t>
      </w:r>
      <w:r w:rsidRPr="00C77E77">
        <w:rPr>
          <w:rFonts w:ascii="Times New Roman" w:eastAsia="標楷體" w:hAnsi="Times New Roman" w:cs="Times New Roman"/>
          <w:sz w:val="28"/>
          <w:szCs w:val="28"/>
        </w:rPr>
        <w:t>、韓國樂天、日本的</w:t>
      </w:r>
      <w:r w:rsidRPr="00C77E77">
        <w:rPr>
          <w:rFonts w:ascii="Times New Roman" w:eastAsia="標楷體" w:hAnsi="Times New Roman" w:cs="Times New Roman"/>
          <w:sz w:val="28"/>
          <w:szCs w:val="28"/>
        </w:rPr>
        <w:t>L</w:t>
      </w:r>
      <w:r w:rsidRPr="00C77E77">
        <w:rPr>
          <w:rFonts w:ascii="Times New Roman" w:eastAsia="標楷體" w:hAnsi="Times New Roman" w:cs="Times New Roman"/>
          <w:sz w:val="28"/>
          <w:szCs w:val="28"/>
        </w:rPr>
        <w:t>跟大葉高島屋進駐。泰國現在急起直追，先後收購了</w:t>
      </w:r>
      <w:r w:rsidRPr="00C77E77">
        <w:rPr>
          <w:rFonts w:ascii="Times New Roman" w:eastAsia="標楷體" w:hAnsi="Times New Roman" w:cs="Times New Roman"/>
          <w:sz w:val="28"/>
          <w:szCs w:val="28"/>
        </w:rPr>
        <w:t>big C</w:t>
      </w:r>
      <w:r w:rsidRPr="00C77E77">
        <w:rPr>
          <w:rFonts w:ascii="Times New Roman" w:eastAsia="標楷體" w:hAnsi="Times New Roman" w:cs="Times New Roman"/>
          <w:sz w:val="28"/>
          <w:szCs w:val="28"/>
        </w:rPr>
        <w:t>跟</w:t>
      </w:r>
      <w:r w:rsidRPr="00C77E77">
        <w:rPr>
          <w:rFonts w:ascii="Times New Roman" w:eastAsia="標楷體" w:hAnsi="Times New Roman" w:cs="Times New Roman"/>
          <w:sz w:val="28"/>
          <w:szCs w:val="28"/>
        </w:rPr>
        <w:t>Metro</w:t>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灣這方面顯得很弱，不但沒有通路商進來，連上架費都付不太出來。</w:t>
      </w:r>
    </w:p>
    <w:p w:rsidR="009C20E3" w:rsidRPr="00C77E77" w:rsidRDefault="009C20E3"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建議政府要把錢花在刀口上，過去的大陸工程、國合會、農工處、中華工程等，有成功協助越南的</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號公路擴建。但是後來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灣把經費從經濟部轉到外交部，拿去讓海合會資助邦交國，結果</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灣在東南亞的基礎建設停滯以後，就整個被中國搶過去了。政府應該要再度出面談雙方合作，讓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商跟企業可以回饋社會。</w:t>
      </w:r>
    </w:p>
    <w:p w:rsidR="009C20E3" w:rsidRPr="00C77E77" w:rsidRDefault="009C20E3" w:rsidP="0001327A">
      <w:pPr>
        <w:pStyle w:val="ab"/>
        <w:numPr>
          <w:ilvl w:val="0"/>
          <w:numId w:val="12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新住民第二代有可能在兩地都是強勢，也有可能在兩地都是弱勢，政府跟企業不能把血緣當作是人才的必要條件，因為真正重要的還是在於本身能力的高低。現在越南的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商小學也有七成是越南媽媽，但是如果第二代的中文跟越文都不夠好，為什麼要用他？同樣的邏輯也可以拿來思考留學生的問題，越南的一流人才很少會到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灣留學，他們拿著</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灣文憑過來應徵，結果什麼都不會，完全顯示出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灣教育的失敗。政府要思考的是如何讓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灣變成亞洲教育的首選，而不是擔心後段的學校被淘汰所以一直出手相救，這樣才能真正作到人才培育。</w:t>
      </w:r>
    </w:p>
    <w:p w:rsidR="009C20E3" w:rsidRPr="00C77E77" w:rsidRDefault="009C20E3" w:rsidP="005B5AD9">
      <w:pPr>
        <w:spacing w:beforeLines="50" w:before="180" w:afterLines="50" w:after="180"/>
        <w:ind w:firstLineChars="200" w:firstLine="560"/>
        <w:jc w:val="center"/>
        <w:rPr>
          <w:rFonts w:ascii="Times New Roman" w:eastAsia="標楷體" w:hAnsi="Times New Roman" w:cs="Times New Roman"/>
          <w:sz w:val="28"/>
          <w:szCs w:val="28"/>
        </w:rPr>
      </w:pPr>
    </w:p>
    <w:p w:rsidR="009C20E3" w:rsidRPr="00C77E77" w:rsidRDefault="009C20E3" w:rsidP="0001327A">
      <w:pPr>
        <w:pStyle w:val="ab"/>
        <w:numPr>
          <w:ilvl w:val="0"/>
          <w:numId w:val="117"/>
        </w:numPr>
        <w:ind w:leftChars="0"/>
        <w:rPr>
          <w:rFonts w:ascii="Times New Roman" w:eastAsia="標楷體" w:hAnsi="Times New Roman" w:cs="Times New Roman"/>
          <w:kern w:val="52"/>
          <w:sz w:val="28"/>
          <w:szCs w:val="28"/>
        </w:rPr>
      </w:pPr>
      <w:bookmarkStart w:id="224" w:name="_Toc465352207"/>
      <w:r w:rsidRPr="00C77E77">
        <w:rPr>
          <w:rFonts w:ascii="Times New Roman" w:eastAsia="標楷體" w:hAnsi="Times New Roman" w:cs="Times New Roman"/>
          <w:sz w:val="28"/>
          <w:szCs w:val="28"/>
        </w:rPr>
        <w:t>拜會平陽省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灣商會</w:t>
      </w:r>
      <w:bookmarkEnd w:id="224"/>
    </w:p>
    <w:p w:rsidR="009C20E3" w:rsidRPr="00C77E77" w:rsidRDefault="009C20E3" w:rsidP="0001327A">
      <w:pPr>
        <w:pStyle w:val="ab"/>
        <w:numPr>
          <w:ilvl w:val="0"/>
          <w:numId w:val="12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平陽是全世界最大的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商會，已有會員</w:t>
      </w:r>
      <w:r w:rsidRPr="00C77E77">
        <w:rPr>
          <w:rFonts w:ascii="Times New Roman" w:eastAsia="標楷體" w:hAnsi="Times New Roman" w:cs="Times New Roman"/>
          <w:sz w:val="28"/>
          <w:szCs w:val="28"/>
        </w:rPr>
        <w:t>600</w:t>
      </w:r>
      <w:r w:rsidRPr="00C77E77">
        <w:rPr>
          <w:rFonts w:ascii="Times New Roman" w:eastAsia="標楷體" w:hAnsi="Times New Roman" w:cs="Times New Roman"/>
          <w:sz w:val="28"/>
          <w:szCs w:val="28"/>
        </w:rPr>
        <w:t>家。廠商對投資地的選擇是跟政府政策還有核准的投資執照有關，例如柬埔寨邊境有開放特殊行業，而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商最早進來平陽省的是家具業，除了因為產林木以外，還有網狀交通運輸較為便利。其它還有成衣紡織、鞋業，新投資的遠東也選在平陽，因為有開放具污染性質的染整。現在部分廠商</w:t>
      </w:r>
      <w:r w:rsidR="005F3CBC" w:rsidRPr="00C77E77">
        <w:rPr>
          <w:rFonts w:ascii="Times New Roman" w:eastAsia="標楷體" w:hAnsi="Times New Roman" w:cs="Times New Roman"/>
          <w:sz w:val="28"/>
          <w:szCs w:val="28"/>
        </w:rPr>
        <w:t>存</w:t>
      </w:r>
      <w:r w:rsidRPr="00C77E77">
        <w:rPr>
          <w:rFonts w:ascii="Times New Roman" w:eastAsia="標楷體" w:hAnsi="Times New Roman" w:cs="Times New Roman"/>
          <w:sz w:val="28"/>
          <w:szCs w:val="28"/>
        </w:rPr>
        <w:t>有越南會加入</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的預期心理，所以先把土地買好了，再慢慢觀望。</w:t>
      </w:r>
    </w:p>
    <w:p w:rsidR="009C20E3" w:rsidRPr="00C77E77" w:rsidRDefault="009C20E3" w:rsidP="0001327A">
      <w:pPr>
        <w:pStyle w:val="ab"/>
        <w:numPr>
          <w:ilvl w:val="0"/>
          <w:numId w:val="12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新南向政策應該是政府先要有一整套的規劃下來，然後再請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商協助配合，而不是自己什麼都不知道，只會一直跑來問</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哪些可以做。南向國家的社會、語言、文化差異，難度都比西進還要高很多，政府應該要徹底評估究竟是西進或者南向比較有效率，然後朝具體的措施去做，例如服貿、貨貿、簽證、關稅等問題，政府必須要先處理好，甚至採取出口補貼的方式來降低關稅的衝擊。</w:t>
      </w:r>
      <w:r w:rsidRPr="00C77E77">
        <w:rPr>
          <w:rFonts w:ascii="Times New Roman" w:eastAsia="標楷體" w:hAnsi="Times New Roman" w:cs="Times New Roman"/>
          <w:sz w:val="28"/>
          <w:szCs w:val="28"/>
        </w:rPr>
        <w:t xml:space="preserve"> </w:t>
      </w:r>
    </w:p>
    <w:p w:rsidR="009C20E3" w:rsidRPr="00C77E77" w:rsidRDefault="00FD0D5A" w:rsidP="0001327A">
      <w:pPr>
        <w:pStyle w:val="ab"/>
        <w:numPr>
          <w:ilvl w:val="0"/>
          <w:numId w:val="12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灣的各部會在考察新南向政策的時候，完全沒有去找相對應的越南政府部會，只會來找</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商，這樣對嗎？例如推新農業，</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灣的農科會應該要找到越南的農業局、平陽省書記等相關人士，直接談契作方式、技術傳授等細節，甚至直接砸錢拿到平陽省某部分的農業訂單。</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商能協助的，就是在這個過程中協助出面邀請越南官員。</w:t>
      </w:r>
    </w:p>
    <w:p w:rsidR="009C20E3" w:rsidRPr="00C77E77" w:rsidRDefault="009C20E3" w:rsidP="0001327A">
      <w:pPr>
        <w:pStyle w:val="ab"/>
        <w:numPr>
          <w:ilvl w:val="0"/>
          <w:numId w:val="12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政府還要進一步想清楚，要怎麼推行新南向政策才能對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灣的本地社會有益。例如，在越南推行精緻農業會帶來什麼影響？間接幫助越南的農產品打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灣農民嗎？建議政府先務實的把島內民生經濟顧好，自己強了，別人就會想去找你。</w:t>
      </w:r>
    </w:p>
    <w:p w:rsidR="009C20E3" w:rsidRPr="00C77E77" w:rsidRDefault="009C20E3" w:rsidP="0001327A">
      <w:pPr>
        <w:pStyle w:val="ab"/>
        <w:numPr>
          <w:ilvl w:val="0"/>
          <w:numId w:val="12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日本韓國是造鎮、蓋學校、文化侵略多方並進，韓國在簽</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的時候，評估只有</w:t>
      </w:r>
      <w:r w:rsidRPr="00C77E77">
        <w:rPr>
          <w:rFonts w:ascii="Times New Roman" w:eastAsia="標楷體" w:hAnsi="Times New Roman" w:cs="Times New Roman"/>
          <w:sz w:val="28"/>
          <w:szCs w:val="28"/>
        </w:rPr>
        <w:t>50</w:t>
      </w:r>
      <w:r w:rsidRPr="00C77E77">
        <w:rPr>
          <w:rFonts w:ascii="Times New Roman" w:eastAsia="標楷體" w:hAnsi="Times New Roman" w:cs="Times New Roman"/>
          <w:sz w:val="28"/>
          <w:szCs w:val="28"/>
        </w:rPr>
        <w:t>％有利就敢簽下去。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灣政府只會擔心少數人的權力受損，然後什麼都不敢做。建議政府先把所有的工會聚集起來問清楚，再制訂政策好好推行下去。</w:t>
      </w:r>
    </w:p>
    <w:p w:rsidR="009C20E3" w:rsidRPr="00C77E77" w:rsidRDefault="009C20E3" w:rsidP="0001327A">
      <w:pPr>
        <w:pStyle w:val="ab"/>
        <w:numPr>
          <w:ilvl w:val="0"/>
          <w:numId w:val="12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日本政府把一個地區的學校、工廠、飯店、百貨公司</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全部弄好了，才讓日企放心過來。日本之所以大舉在國外買土地投資，一方面也是因為國內已經負利率了，所以借錢出來在海外創造</w:t>
      </w:r>
      <w:r w:rsidRPr="00C77E77">
        <w:rPr>
          <w:rFonts w:ascii="Times New Roman" w:eastAsia="標楷體" w:hAnsi="Times New Roman" w:cs="Times New Roman"/>
          <w:sz w:val="28"/>
          <w:szCs w:val="28"/>
        </w:rPr>
        <w:t>value</w:t>
      </w:r>
      <w:r w:rsidRPr="00C77E77">
        <w:rPr>
          <w:rFonts w:ascii="Times New Roman" w:eastAsia="標楷體" w:hAnsi="Times New Roman" w:cs="Times New Roman"/>
          <w:sz w:val="28"/>
          <w:szCs w:val="28"/>
        </w:rPr>
        <w:t>，等過個十年二十年後再回去，錢就變大了。</w:t>
      </w:r>
    </w:p>
    <w:p w:rsidR="009C20E3" w:rsidRPr="00C77E77" w:rsidRDefault="00FD0D5A" w:rsidP="0001327A">
      <w:pPr>
        <w:pStyle w:val="ab"/>
        <w:numPr>
          <w:ilvl w:val="0"/>
          <w:numId w:val="12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商未來要往哪裡走？因為環保、勞工、工資、工作態度、土地等問題，不可能回</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w:t>
      </w:r>
      <w:r w:rsidR="009C20E3" w:rsidRPr="00C77E77">
        <w:rPr>
          <w:rFonts w:ascii="Times New Roman" w:eastAsia="標楷體" w:hAnsi="Times New Roman" w:cs="Times New Roman"/>
          <w:sz w:val="28"/>
          <w:szCs w:val="28"/>
        </w:rPr>
        <w:t>513</w:t>
      </w:r>
      <w:r w:rsidR="009C20E3" w:rsidRPr="00C77E77">
        <w:rPr>
          <w:rFonts w:ascii="Times New Roman" w:eastAsia="標楷體" w:hAnsi="Times New Roman" w:cs="Times New Roman"/>
          <w:sz w:val="28"/>
          <w:szCs w:val="28"/>
        </w:rPr>
        <w:t>事件後，愛迪達為了分散風險，逼著一部份的代工廠轉到緬甸去。如果政府以後可以把非洲或印度準備好，那</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商也會願意響應過去。</w:t>
      </w:r>
    </w:p>
    <w:p w:rsidR="009C20E3" w:rsidRPr="00C77E77" w:rsidRDefault="009C20E3" w:rsidP="005B5AD9">
      <w:pPr>
        <w:spacing w:beforeLines="50" w:before="180" w:afterLines="50" w:after="180"/>
        <w:ind w:firstLineChars="200" w:firstLine="560"/>
        <w:jc w:val="center"/>
        <w:rPr>
          <w:rFonts w:ascii="Times New Roman" w:eastAsia="標楷體" w:hAnsi="Times New Roman" w:cs="Times New Roman"/>
          <w:sz w:val="28"/>
          <w:szCs w:val="28"/>
        </w:rPr>
      </w:pPr>
    </w:p>
    <w:p w:rsidR="009C20E3" w:rsidRPr="00C77E77" w:rsidRDefault="009C20E3" w:rsidP="0001327A">
      <w:pPr>
        <w:pStyle w:val="ab"/>
        <w:numPr>
          <w:ilvl w:val="0"/>
          <w:numId w:val="117"/>
        </w:numPr>
        <w:ind w:leftChars="0"/>
        <w:rPr>
          <w:rFonts w:ascii="Times New Roman" w:eastAsia="標楷體" w:hAnsi="Times New Roman" w:cs="Times New Roman"/>
          <w:kern w:val="52"/>
          <w:sz w:val="28"/>
          <w:szCs w:val="28"/>
        </w:rPr>
      </w:pPr>
      <w:bookmarkStart w:id="225" w:name="_Toc465352208"/>
      <w:r w:rsidRPr="00C77E77">
        <w:rPr>
          <w:rFonts w:ascii="Times New Roman" w:eastAsia="標楷體" w:hAnsi="Times New Roman" w:cs="Times New Roman"/>
          <w:sz w:val="28"/>
          <w:szCs w:val="28"/>
        </w:rPr>
        <w:t>拜會大發食品公司</w:t>
      </w:r>
      <w:bookmarkEnd w:id="225"/>
    </w:p>
    <w:p w:rsidR="009C20E3" w:rsidRPr="00C77E77" w:rsidRDefault="009C20E3" w:rsidP="0001327A">
      <w:pPr>
        <w:pStyle w:val="ab"/>
        <w:numPr>
          <w:ilvl w:val="0"/>
          <w:numId w:val="9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如果新南向政策是為了滿足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商需求，其實不一定</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灣有好處。海外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商又沒有繳稅；政府要幫助的應該是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灣本土的經濟。例如：消除各種關稅、非關稅障礙；讓每一個產業的標準都能跟國際接軌。</w:t>
      </w:r>
    </w:p>
    <w:p w:rsidR="009C20E3" w:rsidRPr="00C77E77" w:rsidRDefault="009C20E3" w:rsidP="0001327A">
      <w:pPr>
        <w:pStyle w:val="ab"/>
        <w:numPr>
          <w:ilvl w:val="0"/>
          <w:numId w:val="9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新南向最重要的是促進交流，各種體育、美術</w:t>
      </w:r>
      <w:r w:rsidRPr="00C77E77">
        <w:rPr>
          <w:rFonts w:ascii="Times New Roman" w:eastAsia="標楷體" w:hAnsi="Times New Roman" w:cs="Times New Roman"/>
          <w:sz w:val="28"/>
          <w:szCs w:val="28"/>
        </w:rPr>
        <w:t>…</w:t>
      </w:r>
      <w:r w:rsidR="005F3CBC" w:rsidRPr="00C77E77">
        <w:rPr>
          <w:rFonts w:ascii="Times New Roman" w:eastAsia="標楷體" w:hAnsi="Times New Roman" w:cs="Times New Roman"/>
          <w:sz w:val="28"/>
          <w:szCs w:val="28"/>
        </w:rPr>
        <w:t>各種方面都可以，只要有交流就會產生商機，密切交</w:t>
      </w:r>
      <w:r w:rsidRPr="00C77E77">
        <w:rPr>
          <w:rFonts w:ascii="Times New Roman" w:eastAsia="標楷體" w:hAnsi="Times New Roman" w:cs="Times New Roman"/>
          <w:sz w:val="28"/>
          <w:szCs w:val="28"/>
        </w:rPr>
        <w:t>往後才會出現貿易行為，而不是單純的投資設廠。例如：</w:t>
      </w:r>
    </w:p>
    <w:p w:rsidR="009C20E3" w:rsidRPr="00C77E77" w:rsidRDefault="009C20E3" w:rsidP="0001327A">
      <w:pPr>
        <w:pStyle w:val="ab"/>
        <w:numPr>
          <w:ilvl w:val="0"/>
          <w:numId w:val="9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勞工方面：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灣內部明明有對勞工的需求，但是法規太死，結果通通變成非法。應該放鬆外勞的限制、開放農工。</w:t>
      </w:r>
    </w:p>
    <w:p w:rsidR="009C20E3" w:rsidRPr="00C77E77" w:rsidRDefault="009C20E3" w:rsidP="0001327A">
      <w:pPr>
        <w:pStyle w:val="ab"/>
        <w:numPr>
          <w:ilvl w:val="0"/>
          <w:numId w:val="9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觀光方面：越南人就算有意願去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灣旅遊，但一想到辦簽證很麻煩就不想去了。應該盡量簡化、開放。</w:t>
      </w:r>
    </w:p>
    <w:p w:rsidR="009C20E3" w:rsidRPr="00C77E77" w:rsidRDefault="005F3CBC" w:rsidP="0001327A">
      <w:pPr>
        <w:pStyle w:val="ab"/>
        <w:numPr>
          <w:ilvl w:val="0"/>
          <w:numId w:val="9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產品</w:t>
      </w:r>
      <w:r w:rsidR="009C20E3" w:rsidRPr="00C77E77">
        <w:rPr>
          <w:rFonts w:ascii="Times New Roman" w:eastAsia="標楷體" w:hAnsi="Times New Roman" w:cs="Times New Roman"/>
          <w:sz w:val="28"/>
          <w:szCs w:val="28"/>
        </w:rPr>
        <w:t>方面：</w:t>
      </w:r>
      <w:r w:rsidR="00FD0D5A"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灣規定除了美國以外，其他國家的雞肉都不可以進來，這種規定比很多東南亞國家都還要保守。又如，越南對藥品的規定很嚴格，稅金又高，想進來的話要改登記為健康食品。</w:t>
      </w:r>
    </w:p>
    <w:p w:rsidR="009C20E3" w:rsidRPr="00C77E77" w:rsidRDefault="009C20E3" w:rsidP="0001327A">
      <w:pPr>
        <w:pStyle w:val="ab"/>
        <w:numPr>
          <w:ilvl w:val="0"/>
          <w:numId w:val="9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上述這些交流的障礙，不見得都是</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的問題，事實上很多對南人</w:t>
      </w:r>
      <w:r w:rsidRPr="00C77E77">
        <w:rPr>
          <w:rFonts w:ascii="Times New Roman" w:eastAsia="標楷體" w:hAnsi="Times New Roman" w:cs="Times New Roman"/>
          <w:sz w:val="28"/>
          <w:szCs w:val="28"/>
        </w:rPr>
        <w:lastRenderedPageBreak/>
        <w:t>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灣還是有感情的，因為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商是最早進去投資，而且</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、越都共同面對中國的威脅，多少有點同情心。所以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灣只要不搖旗吶喊，就可以分項跟越南談各種協定、備忘錄，逐步降低雙方關稅，達到</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的具體內容，只是沒有</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的名稱而已。其實這種模式越南不會太忌諱的。</w:t>
      </w:r>
    </w:p>
    <w:p w:rsidR="009C20E3" w:rsidRPr="00C77E77" w:rsidRDefault="009C20E3" w:rsidP="0001327A">
      <w:pPr>
        <w:pStyle w:val="ab"/>
        <w:numPr>
          <w:ilvl w:val="0"/>
          <w:numId w:val="9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批發零售端</w:t>
      </w:r>
    </w:p>
    <w:p w:rsidR="009C20E3" w:rsidRPr="00C77E77" w:rsidRDefault="009C20E3" w:rsidP="0001327A">
      <w:pPr>
        <w:pStyle w:val="ab"/>
        <w:numPr>
          <w:ilvl w:val="0"/>
          <w:numId w:val="10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要進來越南比較困難，因為這是品牌戰跟行銷戰，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灣品牌不是日韓等級，而是馬泰等級，現在政府一年只做一次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灣精品展，後續都不管；這樣</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灣品牌怎麼建立？</w:t>
      </w:r>
    </w:p>
    <w:p w:rsidR="009C20E3" w:rsidRPr="00C77E77" w:rsidRDefault="009C20E3" w:rsidP="0001327A">
      <w:pPr>
        <w:pStyle w:val="ab"/>
        <w:numPr>
          <w:ilvl w:val="0"/>
          <w:numId w:val="10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行銷要下重本，末端行銷考慮的是會虧多久以後才能開始獲利；但是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灣多數的製造代工廠對銷售端不熟，也不願意花這個成本，寧願把東西賣出去，後續就不管了。</w:t>
      </w:r>
    </w:p>
    <w:p w:rsidR="009C20E3" w:rsidRPr="00C77E77" w:rsidRDefault="009C20E3" w:rsidP="0001327A">
      <w:pPr>
        <w:pStyle w:val="ab"/>
        <w:numPr>
          <w:ilvl w:val="0"/>
          <w:numId w:val="10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新加坡的作法是把所有的潛力廠商整合在一起，然後在越南當地的通路設立「新加坡食品專區」，上架費由政府來出，再由食品出口協會幫廠商出廣告。但是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灣貿協是跟廠商收錢來辦展覽的，這有調整的可能嗎？</w:t>
      </w:r>
    </w:p>
    <w:p w:rsidR="009C20E3" w:rsidRPr="00C77E77" w:rsidRDefault="009C20E3" w:rsidP="005B5AD9">
      <w:pPr>
        <w:spacing w:beforeLines="50" w:before="180" w:afterLines="50" w:after="180"/>
        <w:jc w:val="center"/>
        <w:rPr>
          <w:rFonts w:ascii="Times New Roman" w:eastAsia="標楷體" w:hAnsi="Times New Roman" w:cs="Times New Roman"/>
          <w:sz w:val="28"/>
          <w:szCs w:val="28"/>
        </w:rPr>
      </w:pPr>
    </w:p>
    <w:p w:rsidR="009C20E3" w:rsidRPr="00C77E77" w:rsidRDefault="009C20E3" w:rsidP="0001327A">
      <w:pPr>
        <w:pStyle w:val="ab"/>
        <w:numPr>
          <w:ilvl w:val="0"/>
          <w:numId w:val="117"/>
        </w:numPr>
        <w:ind w:leftChars="0"/>
        <w:rPr>
          <w:rFonts w:ascii="Times New Roman" w:eastAsia="標楷體" w:hAnsi="Times New Roman" w:cs="Times New Roman"/>
          <w:color w:val="000000" w:themeColor="text1"/>
          <w:sz w:val="28"/>
          <w:szCs w:val="28"/>
        </w:rPr>
      </w:pPr>
      <w:bookmarkStart w:id="226" w:name="_Toc465352209"/>
      <w:r w:rsidRPr="00C77E77">
        <w:rPr>
          <w:rFonts w:ascii="Times New Roman" w:eastAsia="標楷體" w:hAnsi="Times New Roman" w:cs="Times New Roman"/>
          <w:color w:val="000000" w:themeColor="text1"/>
          <w:sz w:val="28"/>
          <w:szCs w:val="28"/>
        </w:rPr>
        <w:t>拜會</w:t>
      </w:r>
      <w:r w:rsidRPr="00C77E77">
        <w:rPr>
          <w:rFonts w:ascii="Times New Roman" w:eastAsia="標楷體" w:hAnsi="Times New Roman" w:cs="Times New Roman"/>
          <w:sz w:val="28"/>
          <w:szCs w:val="28"/>
        </w:rPr>
        <w:t>世越銀行</w:t>
      </w:r>
      <w:bookmarkEnd w:id="226"/>
    </w:p>
    <w:p w:rsidR="009C20E3" w:rsidRPr="00C77E77" w:rsidRDefault="009C20E3" w:rsidP="0001327A">
      <w:pPr>
        <w:pStyle w:val="ab"/>
        <w:numPr>
          <w:ilvl w:val="0"/>
          <w:numId w:val="123"/>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越南電商跟物流是採取半自動的方式，人力便宜、物流摩托車方便，但是很多人沒有開戶，也對銀行不信任。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灣若想發展跨境電商，要把結合虛擬跟實體店面、用一條龍的方式互相幫襯，讓消費者產生正面的印象才有效。</w:t>
      </w:r>
    </w:p>
    <w:p w:rsidR="009C20E3" w:rsidRPr="00C77E77" w:rsidRDefault="009C20E3" w:rsidP="0001327A">
      <w:pPr>
        <w:pStyle w:val="ab"/>
        <w:numPr>
          <w:ilvl w:val="0"/>
          <w:numId w:val="123"/>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新農業的目標市場要明確，看是要銷回</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灣或是銷到其它國家？因為土地面積的關係，越南的農業規模比較小，不像印尼可以有很大</w:t>
      </w:r>
      <w:r w:rsidRPr="00C77E77">
        <w:rPr>
          <w:rFonts w:ascii="Times New Roman" w:eastAsia="標楷體" w:hAnsi="Times New Roman" w:cs="Times New Roman"/>
          <w:sz w:val="28"/>
          <w:szCs w:val="28"/>
        </w:rPr>
        <w:lastRenderedPageBreak/>
        <w:t>塊的土地。另外行業別也要多加考慮，也許賣種苗可以，但是畜牧業屬於高污染，大成就把農林養豬場賣掉了，現在在中部做魚蝦飼料。</w:t>
      </w:r>
    </w:p>
    <w:p w:rsidR="009C20E3" w:rsidRPr="00C77E77" w:rsidRDefault="009C20E3" w:rsidP="0001327A">
      <w:pPr>
        <w:pStyle w:val="ab"/>
        <w:numPr>
          <w:ilvl w:val="0"/>
          <w:numId w:val="123"/>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灣的品牌幾乎沒有通路，除了行銷不是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灣強項以外，還加上日本、韓國、泰國、馬來西亞的百貨公司只賣本國的東西，把外國物品都放在不顯眼的位置。</w:t>
      </w:r>
    </w:p>
    <w:p w:rsidR="009C20E3" w:rsidRPr="00C77E77" w:rsidRDefault="009C20E3" w:rsidP="0001327A">
      <w:pPr>
        <w:pStyle w:val="ab"/>
        <w:numPr>
          <w:ilvl w:val="0"/>
          <w:numId w:val="123"/>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建議富美興、</w:t>
      </w:r>
      <w:r w:rsidRPr="00C77E77">
        <w:rPr>
          <w:rFonts w:ascii="Times New Roman" w:eastAsia="標楷體" w:hAnsi="Times New Roman" w:cs="Times New Roman"/>
          <w:sz w:val="28"/>
          <w:szCs w:val="28"/>
        </w:rPr>
        <w:t>Nikko</w:t>
      </w:r>
      <w:r w:rsidRPr="00C77E77">
        <w:rPr>
          <w:rFonts w:ascii="Times New Roman" w:eastAsia="標楷體" w:hAnsi="Times New Roman" w:cs="Times New Roman"/>
          <w:sz w:val="28"/>
          <w:szCs w:val="28"/>
        </w:rPr>
        <w:t>等以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灣人投資為主的地區，應該要改變現在只把地方分租出去的模式，那樣太雜亂了，應設計成為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灣形象館，裡面可以劃一區給</w:t>
      </w:r>
      <w:r w:rsidR="005B5AD9" w:rsidRPr="00C77E77">
        <w:rPr>
          <w:rFonts w:ascii="Times New Roman" w:eastAsia="標楷體" w:hAnsi="Times New Roman" w:cs="Times New Roman"/>
          <w:sz w:val="28"/>
          <w:szCs w:val="28"/>
        </w:rPr>
        <w:t>燦坤</w:t>
      </w:r>
      <w:r w:rsidRPr="00C77E77">
        <w:rPr>
          <w:rFonts w:ascii="Times New Roman" w:eastAsia="標楷體" w:hAnsi="Times New Roman" w:cs="Times New Roman"/>
          <w:sz w:val="28"/>
          <w:szCs w:val="28"/>
        </w:rPr>
        <w:t>做</w:t>
      </w:r>
      <w:r w:rsidRPr="00C77E77">
        <w:rPr>
          <w:rFonts w:ascii="Times New Roman" w:eastAsia="標楷體" w:hAnsi="Times New Roman" w:cs="Times New Roman"/>
          <w:sz w:val="28"/>
          <w:szCs w:val="28"/>
        </w:rPr>
        <w:t>3C</w:t>
      </w:r>
      <w:r w:rsidRPr="00C77E77">
        <w:rPr>
          <w:rFonts w:ascii="Times New Roman" w:eastAsia="標楷體" w:hAnsi="Times New Roman" w:cs="Times New Roman"/>
          <w:sz w:val="28"/>
          <w:szCs w:val="28"/>
        </w:rPr>
        <w:t>賣場，販售義美、鼎泰豐、</w:t>
      </w:r>
      <w:r w:rsidRPr="00C77E77">
        <w:rPr>
          <w:rFonts w:ascii="Times New Roman" w:eastAsia="標楷體" w:hAnsi="Times New Roman" w:cs="Times New Roman"/>
          <w:sz w:val="28"/>
          <w:szCs w:val="28"/>
        </w:rPr>
        <w:t>85</w:t>
      </w:r>
      <w:r w:rsidRPr="00C77E77">
        <w:rPr>
          <w:rFonts w:ascii="Times New Roman" w:eastAsia="標楷體" w:hAnsi="Times New Roman" w:cs="Times New Roman"/>
          <w:sz w:val="28"/>
          <w:szCs w:val="28"/>
        </w:rPr>
        <w:t>度</w:t>
      </w:r>
      <w:r w:rsidRPr="00C77E77">
        <w:rPr>
          <w:rFonts w:ascii="Times New Roman" w:eastAsia="標楷體" w:hAnsi="Times New Roman" w:cs="Times New Roman"/>
          <w:sz w:val="28"/>
          <w:szCs w:val="28"/>
        </w:rPr>
        <w:t>C</w:t>
      </w:r>
      <w:r w:rsidRPr="00C77E77">
        <w:rPr>
          <w:rFonts w:ascii="Times New Roman" w:eastAsia="標楷體" w:hAnsi="Times New Roman" w:cs="Times New Roman"/>
          <w:sz w:val="28"/>
          <w:szCs w:val="28"/>
        </w:rPr>
        <w:t>等</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灣商品。然後凡是持我們世越銀行信用卡的，還可以享八折、九折等優惠。多管道的合作，以增加通路跟效益。</w:t>
      </w:r>
    </w:p>
    <w:p w:rsidR="009C20E3" w:rsidRPr="00C77E77" w:rsidRDefault="00FD0D5A" w:rsidP="0001327A">
      <w:pPr>
        <w:pStyle w:val="ab"/>
        <w:numPr>
          <w:ilvl w:val="0"/>
          <w:numId w:val="123"/>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灣政府的新住民計畫，大多是慈善性質，距離提升國家的競爭力還差太遠。實力才是人才的重點，例如</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商需要的英文、越文、中文人才，這裡很多越南華人跟留學生都比</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灣的新住民第二代還要優秀。</w:t>
      </w:r>
    </w:p>
    <w:p w:rsidR="009C20E3" w:rsidRPr="00C77E77" w:rsidRDefault="00FD0D5A" w:rsidP="0001327A">
      <w:pPr>
        <w:pStyle w:val="ab"/>
        <w:numPr>
          <w:ilvl w:val="0"/>
          <w:numId w:val="123"/>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媒體跟政府的報導太膚淺，用半個小時介紹十個國家，每個都蜻蜓點水。應該要從一國一產業詳細介紹做起，例如用兩個小時介紹越南的家具業，從開始投入、成功個案追蹤、失敗個案的對照仔細報導，然後再慢慢增加。</w:t>
      </w:r>
    </w:p>
    <w:p w:rsidR="009C20E3" w:rsidRPr="00C77E77" w:rsidRDefault="00FD0D5A" w:rsidP="0001327A">
      <w:pPr>
        <w:pStyle w:val="ab"/>
        <w:numPr>
          <w:ilvl w:val="0"/>
          <w:numId w:val="123"/>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商學校攸關國際形象，胡志明市</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商學校遲遲沒有翻新，因為宿舍建照拿不出來，學校師資又差，在一堆國際學校裡面顯得灰頭土臉。政府應該要收掉那些已經沒有什麼學生就讀的</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校，像是檳城，把資源撥到胡志明</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校，設法進行改善。</w:t>
      </w:r>
    </w:p>
    <w:p w:rsidR="009C20E3" w:rsidRPr="00C77E77" w:rsidRDefault="009C20E3" w:rsidP="005B5AD9">
      <w:pPr>
        <w:spacing w:beforeLines="50" w:before="180" w:afterLines="50" w:after="180"/>
        <w:jc w:val="center"/>
        <w:rPr>
          <w:rFonts w:ascii="Times New Roman" w:eastAsia="標楷體" w:hAnsi="Times New Roman" w:cs="Times New Roman"/>
          <w:sz w:val="28"/>
          <w:szCs w:val="28"/>
        </w:rPr>
      </w:pPr>
    </w:p>
    <w:p w:rsidR="009C20E3" w:rsidRPr="00C77E77" w:rsidRDefault="009C20E3" w:rsidP="0001327A">
      <w:pPr>
        <w:pStyle w:val="ab"/>
        <w:numPr>
          <w:ilvl w:val="0"/>
          <w:numId w:val="116"/>
        </w:numPr>
        <w:ind w:leftChars="0"/>
        <w:rPr>
          <w:rFonts w:ascii="Times New Roman" w:eastAsia="標楷體" w:hAnsi="Times New Roman" w:cs="Times New Roman"/>
          <w:b/>
          <w:sz w:val="28"/>
          <w:szCs w:val="28"/>
        </w:rPr>
      </w:pPr>
      <w:bookmarkStart w:id="227" w:name="_Toc465352210"/>
      <w:r w:rsidRPr="00C77E77">
        <w:rPr>
          <w:rFonts w:ascii="Times New Roman" w:eastAsia="標楷體" w:hAnsi="Times New Roman" w:cs="Times New Roman"/>
          <w:b/>
          <w:sz w:val="28"/>
          <w:szCs w:val="28"/>
        </w:rPr>
        <w:t>越南訪問工作之產、學界意見歸納</w:t>
      </w:r>
      <w:bookmarkEnd w:id="227"/>
    </w:p>
    <w:p w:rsidR="009C20E3" w:rsidRPr="00C77E77" w:rsidRDefault="009C20E3" w:rsidP="0001327A">
      <w:pPr>
        <w:pStyle w:val="ab"/>
        <w:numPr>
          <w:ilvl w:val="0"/>
          <w:numId w:val="10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新南向整體評估</w:t>
      </w:r>
    </w:p>
    <w:p w:rsidR="009C20E3" w:rsidRPr="00C77E77" w:rsidRDefault="009C20E3" w:rsidP="0001327A">
      <w:pPr>
        <w:pStyle w:val="ab"/>
        <w:numPr>
          <w:ilvl w:val="0"/>
          <w:numId w:val="10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政府的新南向政策是找有潛力的廠商往外發展，但是這種作法脫離了海外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商的特質與強項。目前越南</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商最強的六大產業是：鞋業、家具、紡織、自行車、木製品、成衣業。政府沒有在既有的基礎上延續提昇，例如支持在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灣設立鞋業實驗室、打樣工廠、綠能工廠</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等高科技研發，或是採取科專計畫補助，協助越南鞋業轉向工業</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，在過程中把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灣的職技人才轉進來。導致新南向政策無法和國內產業產生連結。</w:t>
      </w:r>
    </w:p>
    <w:p w:rsidR="009C20E3" w:rsidRPr="00C77E77" w:rsidRDefault="009C20E3" w:rsidP="0001327A">
      <w:pPr>
        <w:pStyle w:val="ab"/>
        <w:numPr>
          <w:ilvl w:val="0"/>
          <w:numId w:val="10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新南向最重要的是促進交流，各種體育、美術</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各種方面都可以，只要有交流就會產生商機，密切教往後才會出現貿易行為，而不是單純的投資設廠。例如：</w:t>
      </w:r>
    </w:p>
    <w:p w:rsidR="009C20E3" w:rsidRPr="00C77E77" w:rsidRDefault="009C20E3" w:rsidP="0001327A">
      <w:pPr>
        <w:pStyle w:val="ab"/>
        <w:numPr>
          <w:ilvl w:val="0"/>
          <w:numId w:val="11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勞工方面：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灣內部明明有對勞工的需求，但是法規太死，結果通通變成非法。應該放鬆外勞的限制、開放農工。</w:t>
      </w:r>
    </w:p>
    <w:p w:rsidR="009C20E3" w:rsidRPr="00C77E77" w:rsidRDefault="009C20E3" w:rsidP="0001327A">
      <w:pPr>
        <w:pStyle w:val="ab"/>
        <w:numPr>
          <w:ilvl w:val="0"/>
          <w:numId w:val="11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觀光方面：越南人就算有意願去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灣旅遊，但一想到辦簽證很麻煩就不想去了。應該盡量簡化、開放。</w:t>
      </w:r>
    </w:p>
    <w:p w:rsidR="009C20E3" w:rsidRPr="00C77E77" w:rsidRDefault="009C20E3" w:rsidP="0001327A">
      <w:pPr>
        <w:pStyle w:val="ab"/>
        <w:numPr>
          <w:ilvl w:val="0"/>
          <w:numId w:val="11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物的方面：</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灣規定除了美國以外，其他國家的雞肉都不可以進來，這種規定比很多東南亞國家都還要保守。又如，越南對藥品的規定很嚴格，稅金又高，想進來的話要改登記為健康食品。</w:t>
      </w:r>
    </w:p>
    <w:p w:rsidR="009C20E3" w:rsidRPr="00C77E77" w:rsidRDefault="009C20E3" w:rsidP="0001327A">
      <w:pPr>
        <w:pStyle w:val="ab"/>
        <w:numPr>
          <w:ilvl w:val="0"/>
          <w:numId w:val="10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如果新南向政策是為了滿足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商需求，其實不一定</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灣有好處。政府要幫助的應該是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灣本土的經濟。例如：消除各種關稅、非關稅障礙；讓每一個產業的標準都能跟國際接軌。政府還要進一步想清楚，要怎麼推行新南向政策才能對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灣的本地社會有益。例如，在越南推行精緻農業會不會間接幫助越南的農產品打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灣農民？</w:t>
      </w:r>
      <w:r w:rsidRPr="00C77E77">
        <w:rPr>
          <w:rFonts w:ascii="Times New Roman" w:eastAsia="標楷體" w:hAnsi="Times New Roman" w:cs="Times New Roman"/>
          <w:sz w:val="28"/>
          <w:szCs w:val="28"/>
        </w:rPr>
        <w:t xml:space="preserve"> </w:t>
      </w:r>
    </w:p>
    <w:p w:rsidR="009C20E3" w:rsidRPr="00C77E77" w:rsidRDefault="009C20E3" w:rsidP="0001327A">
      <w:pPr>
        <w:pStyle w:val="ab"/>
        <w:numPr>
          <w:ilvl w:val="0"/>
          <w:numId w:val="102"/>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政府應該要有一整套的新南向政策規劃下來，然後再請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商協助配合，而不是一直問</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商有哪些項目可以做。南向國家的社會、語言、文化</w:t>
      </w:r>
      <w:r w:rsidRPr="00C77E77">
        <w:rPr>
          <w:rFonts w:ascii="Times New Roman" w:eastAsia="標楷體" w:hAnsi="Times New Roman" w:cs="Times New Roman"/>
          <w:sz w:val="28"/>
          <w:szCs w:val="28"/>
        </w:rPr>
        <w:lastRenderedPageBreak/>
        <w:t>差異，難度都比西進還要高很多，政府應該要徹底評估究竟是西進或者南向何者比較有效率，然後朝具體的措施去做，例如先處理好服貿、貨貿、簽證、關稅等問題，甚至採取出口補貼的方式來降低關稅的衝擊。</w:t>
      </w:r>
    </w:p>
    <w:p w:rsidR="009C20E3" w:rsidRPr="00C77E77" w:rsidRDefault="009C20E3" w:rsidP="0001327A">
      <w:pPr>
        <w:pStyle w:val="ab"/>
        <w:numPr>
          <w:ilvl w:val="0"/>
          <w:numId w:val="10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產業評估</w:t>
      </w:r>
    </w:p>
    <w:p w:rsidR="009C20E3" w:rsidRPr="00C77E77" w:rsidRDefault="009C20E3" w:rsidP="0001327A">
      <w:pPr>
        <w:pStyle w:val="ab"/>
        <w:numPr>
          <w:ilvl w:val="0"/>
          <w:numId w:val="103"/>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新農業</w:t>
      </w:r>
    </w:p>
    <w:p w:rsidR="009C20E3" w:rsidRPr="00C77E77" w:rsidRDefault="009C20E3" w:rsidP="0001327A">
      <w:pPr>
        <w:pStyle w:val="ab"/>
        <w:numPr>
          <w:ilvl w:val="0"/>
          <w:numId w:val="10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越南是農業大國，農、漁、養殖業都很強，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灣應該把握。但如果是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灣的政府或企業租地自己種的話，越南員工學會以後就在旁邊蓋茶園、挖魚池，被員工搞到賠錢，所以建議用契作的方式：</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技術還是會給，教當地農民怎麼種植蘆薈、鳳梨</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w:t>
      </w:r>
      <w:r w:rsidRPr="00C77E77">
        <w:rPr>
          <w:rFonts w:ascii="Times New Roman" w:eastAsia="標楷體" w:hAnsi="Times New Roman" w:cs="Times New Roman"/>
          <w:sz w:val="28"/>
          <w:szCs w:val="28"/>
        </w:rPr>
        <w:t xml:space="preserve"> (2)</w:t>
      </w:r>
      <w:r w:rsidRPr="00C77E77">
        <w:rPr>
          <w:rFonts w:ascii="Times New Roman" w:eastAsia="標楷體" w:hAnsi="Times New Roman" w:cs="Times New Roman"/>
          <w:sz w:val="28"/>
          <w:szCs w:val="28"/>
        </w:rPr>
        <w:t>重點是自己要能掌握通路，收購回來拿去賣。</w:t>
      </w:r>
    </w:p>
    <w:p w:rsidR="009C20E3" w:rsidRPr="00C77E77" w:rsidRDefault="009C20E3" w:rsidP="0001327A">
      <w:pPr>
        <w:pStyle w:val="ab"/>
        <w:numPr>
          <w:ilvl w:val="0"/>
          <w:numId w:val="10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越南有超過半數的農業人口，主要的穀倉在北部的紅河三角洲，以及南部的湄公河三角洲，林同省也是農業大省。這幾年因為氣候變遷，越南被</w:t>
      </w:r>
      <w:r w:rsidRPr="00C77E77">
        <w:rPr>
          <w:rFonts w:ascii="Times New Roman" w:eastAsia="標楷體" w:hAnsi="Times New Roman" w:cs="Times New Roman"/>
          <w:sz w:val="28"/>
          <w:szCs w:val="28"/>
        </w:rPr>
        <w:t>WTO</w:t>
      </w:r>
      <w:r w:rsidRPr="00C77E77">
        <w:rPr>
          <w:rFonts w:ascii="Times New Roman" w:eastAsia="標楷體" w:hAnsi="Times New Roman" w:cs="Times New Roman"/>
          <w:sz w:val="28"/>
          <w:szCs w:val="28"/>
        </w:rPr>
        <w:t>評為全球受暖化影響最大的十個國家之一，所以這幾年越南農業的成長很緩慢。按理講，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應該很有機會可以幫忙，農科院也很想要藉此把新農業推到東協南亞國家，但是新農業推行的困難點在於：一，越戰後土地被劃分的很小塊，沒辦法大規模推行。二，農民比較重視眼前的利益，不容易管理。三，即使</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灣人只想單純教當地農民技術，也都要先跟當地政府合作，通過申請、試種等程序才可以。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灣必須要由政府單位跟農委會出面，跟越南的農政單位、技術試驗所、農技隊伍等交涉才有機會。四，</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灣對當地的漁業、農業、飼料</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等市場完全不瞭解，也不知道該循什麼管道進行、該打通哪些環節。</w:t>
      </w:r>
    </w:p>
    <w:p w:rsidR="009C20E3" w:rsidRPr="00C77E77" w:rsidRDefault="009C20E3" w:rsidP="0001327A">
      <w:pPr>
        <w:pStyle w:val="ab"/>
        <w:numPr>
          <w:ilvl w:val="0"/>
          <w:numId w:val="107"/>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新農業的目標市場要明確，看是要銷回</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灣或是銷到其它國家？因為土地面積的關係，越南的農業規模比較小，不像印尼可以有很大塊的土地。另外行業別也要多加考慮，也許賣種苗可以，但</w:t>
      </w:r>
      <w:r w:rsidRPr="00C77E77">
        <w:rPr>
          <w:rFonts w:ascii="Times New Roman" w:eastAsia="標楷體" w:hAnsi="Times New Roman" w:cs="Times New Roman"/>
          <w:sz w:val="28"/>
          <w:szCs w:val="28"/>
        </w:rPr>
        <w:lastRenderedPageBreak/>
        <w:t>是畜牧業屬於高污染，像大成就把農林養豬場賣掉了，現在是越南在中部做魚蝦飼料。</w:t>
      </w:r>
    </w:p>
    <w:p w:rsidR="009C20E3" w:rsidRPr="00C77E77" w:rsidRDefault="009C20E3" w:rsidP="0001327A">
      <w:pPr>
        <w:pStyle w:val="ab"/>
        <w:numPr>
          <w:ilvl w:val="0"/>
          <w:numId w:val="103"/>
        </w:numPr>
        <w:spacing w:beforeLines="50" w:before="180" w:afterLines="50" w:after="180" w:line="500" w:lineRule="exact"/>
        <w:ind w:leftChars="0"/>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電子商務</w:t>
      </w:r>
    </w:p>
    <w:p w:rsidR="009C20E3" w:rsidRPr="00C77E77" w:rsidRDefault="009C20E3" w:rsidP="0001327A">
      <w:pPr>
        <w:pStyle w:val="ab"/>
        <w:numPr>
          <w:ilvl w:val="0"/>
          <w:numId w:val="106"/>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越南電商跟物流是採取半自動的方式，人力便宜、物流摩托車方便，但是很多人沒有開戶，也對銀行不信任。</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灣若想發展跨境電商，要把結合虛擬跟實體店面、用一條龍的方式互相幫襯，讓消費者產生正面的印象才有效。</w:t>
      </w:r>
    </w:p>
    <w:p w:rsidR="009C20E3" w:rsidRPr="00C77E77" w:rsidRDefault="00FD0D5A" w:rsidP="0001327A">
      <w:pPr>
        <w:pStyle w:val="ab"/>
        <w:numPr>
          <w:ilvl w:val="0"/>
          <w:numId w:val="106"/>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灣的電商可用併購當地第二大、第三大</w:t>
      </w:r>
      <w:r w:rsidR="005F3CBC" w:rsidRPr="00C77E77">
        <w:rPr>
          <w:rFonts w:ascii="Times New Roman" w:eastAsia="標楷體" w:hAnsi="Times New Roman" w:cs="Times New Roman"/>
          <w:sz w:val="28"/>
          <w:szCs w:val="28"/>
        </w:rPr>
        <w:t>在</w:t>
      </w:r>
      <w:r w:rsidR="009C20E3" w:rsidRPr="00C77E77">
        <w:rPr>
          <w:rFonts w:ascii="Times New Roman" w:eastAsia="標楷體" w:hAnsi="Times New Roman" w:cs="Times New Roman"/>
          <w:sz w:val="28"/>
          <w:szCs w:val="28"/>
        </w:rPr>
        <w:t>地電商的方式，加速進來越南。就像阿里巴巴併購</w:t>
      </w:r>
      <w:r w:rsidR="009C20E3" w:rsidRPr="00C77E77">
        <w:rPr>
          <w:rFonts w:ascii="Times New Roman" w:eastAsia="標楷體" w:hAnsi="Times New Roman" w:cs="Times New Roman"/>
          <w:sz w:val="28"/>
          <w:szCs w:val="28"/>
        </w:rPr>
        <w:t>Lazarda</w:t>
      </w:r>
      <w:r w:rsidR="009C20E3" w:rsidRPr="00C77E77">
        <w:rPr>
          <w:rFonts w:ascii="Times New Roman" w:eastAsia="標楷體" w:hAnsi="Times New Roman" w:cs="Times New Roman"/>
          <w:sz w:val="28"/>
          <w:szCs w:val="28"/>
        </w:rPr>
        <w:t>那樣掌握通路。</w:t>
      </w:r>
    </w:p>
    <w:p w:rsidR="009C20E3" w:rsidRPr="00C77E77" w:rsidRDefault="009C20E3" w:rsidP="0001327A">
      <w:pPr>
        <w:pStyle w:val="ab"/>
        <w:numPr>
          <w:ilvl w:val="0"/>
          <w:numId w:val="106"/>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越南電商採取中國的模式，上網訂購、外送等服務已經很成熟，且當地很多西貢商業大學的畢業生選擇當</w:t>
      </w:r>
      <w:r w:rsidRPr="00C77E77">
        <w:rPr>
          <w:rFonts w:ascii="Times New Roman" w:eastAsia="標楷體" w:hAnsi="Times New Roman" w:cs="Times New Roman"/>
          <w:sz w:val="28"/>
          <w:szCs w:val="28"/>
        </w:rPr>
        <w:t>soho</w:t>
      </w:r>
      <w:r w:rsidRPr="00C77E77">
        <w:rPr>
          <w:rFonts w:ascii="Times New Roman" w:eastAsia="標楷體" w:hAnsi="Times New Roman" w:cs="Times New Roman"/>
          <w:sz w:val="28"/>
          <w:szCs w:val="28"/>
        </w:rPr>
        <w:t>族，專門協助越南廠商建立電商平</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灣電商的中文、越文能力都不夠強，很難構思出切合當地市場的商業模式。</w:t>
      </w:r>
    </w:p>
    <w:p w:rsidR="009C20E3" w:rsidRPr="00C77E77" w:rsidRDefault="009C20E3" w:rsidP="0001327A">
      <w:pPr>
        <w:pStyle w:val="ab"/>
        <w:numPr>
          <w:ilvl w:val="0"/>
          <w:numId w:val="103"/>
        </w:numPr>
        <w:spacing w:beforeLines="50" w:before="180" w:afterLines="50" w:after="180" w:line="500" w:lineRule="exact"/>
        <w:ind w:leftChars="0" w:left="423" w:hangingChars="151" w:hanging="423"/>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智慧物流</w:t>
      </w:r>
    </w:p>
    <w:p w:rsidR="009C20E3" w:rsidRPr="00C77E77" w:rsidRDefault="009C20E3" w:rsidP="0001327A">
      <w:pPr>
        <w:pStyle w:val="ab"/>
        <w:numPr>
          <w:ilvl w:val="0"/>
          <w:numId w:val="10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要結合越南跨境電商來看，目前還在發展中。越南的金流跟物流都有問題，銀行沒有連線，且習慣貨到付款；另外公路跟鐵路設施都很差。</w:t>
      </w:r>
    </w:p>
    <w:p w:rsidR="009C20E3" w:rsidRPr="00C77E77" w:rsidRDefault="009C20E3" w:rsidP="0001327A">
      <w:pPr>
        <w:pStyle w:val="ab"/>
        <w:numPr>
          <w:ilvl w:val="0"/>
          <w:numId w:val="108"/>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不過越南的地形狹長，整個國土都是海岸線，政府正積極發展港口。中國已經</w:t>
      </w:r>
      <w:r w:rsidRPr="00C77E77">
        <w:rPr>
          <w:rFonts w:ascii="Times New Roman" w:eastAsia="標楷體" w:hAnsi="Times New Roman" w:cs="Times New Roman"/>
          <w:sz w:val="28"/>
          <w:szCs w:val="28"/>
        </w:rPr>
        <w:t>ODA</w:t>
      </w:r>
      <w:r w:rsidRPr="00C77E77">
        <w:rPr>
          <w:rFonts w:ascii="Times New Roman" w:eastAsia="標楷體" w:hAnsi="Times New Roman" w:cs="Times New Roman"/>
          <w:sz w:val="28"/>
          <w:szCs w:val="28"/>
        </w:rPr>
        <w:t>很多港灣建設，日本也捐助了過港隧道。</w:t>
      </w:r>
    </w:p>
    <w:p w:rsidR="009C20E3" w:rsidRPr="00C77E77" w:rsidRDefault="009C20E3" w:rsidP="0001327A">
      <w:pPr>
        <w:pStyle w:val="ab"/>
        <w:numPr>
          <w:ilvl w:val="0"/>
          <w:numId w:val="103"/>
        </w:numPr>
        <w:spacing w:beforeLines="50" w:before="180" w:afterLines="50" w:after="180" w:line="500" w:lineRule="exact"/>
        <w:ind w:leftChars="0" w:left="423" w:hangingChars="151" w:hanging="423"/>
        <w:jc w:val="both"/>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智慧校園</w:t>
      </w:r>
    </w:p>
    <w:p w:rsidR="009C20E3" w:rsidRPr="00C77E77" w:rsidRDefault="009C20E3" w:rsidP="0001327A">
      <w:pPr>
        <w:pStyle w:val="ab"/>
        <w:numPr>
          <w:ilvl w:val="0"/>
          <w:numId w:val="11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智慧校園有六個子項目，找出目前</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灣發展的最好的項目出來發揮。建議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灣可以參考美國的「</w:t>
      </w:r>
      <w:r w:rsidRPr="00C77E77">
        <w:rPr>
          <w:rFonts w:ascii="Times New Roman" w:eastAsia="標楷體" w:hAnsi="Times New Roman" w:cs="Times New Roman"/>
          <w:sz w:val="28"/>
          <w:szCs w:val="28"/>
        </w:rPr>
        <w:t>NYC</w:t>
      </w:r>
      <w:r w:rsidRPr="00C77E77">
        <w:rPr>
          <w:rFonts w:ascii="Times New Roman" w:eastAsia="標楷體" w:hAnsi="Times New Roman" w:cs="Times New Roman"/>
          <w:sz w:val="28"/>
          <w:szCs w:val="28"/>
        </w:rPr>
        <w:t>計畫」，和海外的</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所學校交流競賽（</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個國家</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所學校），很快打響知名度。</w:t>
      </w:r>
    </w:p>
    <w:p w:rsidR="009C20E3" w:rsidRPr="00C77E77" w:rsidRDefault="00FD0D5A" w:rsidP="0001327A">
      <w:pPr>
        <w:pStyle w:val="ab"/>
        <w:numPr>
          <w:ilvl w:val="0"/>
          <w:numId w:val="11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灣要先在本土建立起一個成功的模範以後，才可以進行海外學校的媒合，請外國學校過來參觀，看有沒有合作的意願。建議等</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北酷客</w:t>
      </w:r>
      <w:r w:rsidR="009C20E3" w:rsidRPr="00C77E77">
        <w:rPr>
          <w:rFonts w:ascii="Times New Roman" w:eastAsia="標楷體" w:hAnsi="Times New Roman" w:cs="Times New Roman"/>
          <w:sz w:val="28"/>
          <w:szCs w:val="28"/>
        </w:rPr>
        <w:lastRenderedPageBreak/>
        <w:t>雲的智慧校園軟體發展的更成熟以後，直接過來跟丁善理紀念學校洽談。</w:t>
      </w:r>
    </w:p>
    <w:p w:rsidR="009C20E3" w:rsidRPr="00C77E77" w:rsidRDefault="009C20E3" w:rsidP="0001327A">
      <w:pPr>
        <w:pStyle w:val="ab"/>
        <w:numPr>
          <w:ilvl w:val="0"/>
          <w:numId w:val="110"/>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步驟：</w:t>
      </w:r>
      <w:r w:rsidR="005F3CBC" w:rsidRPr="00C77E77">
        <w:rPr>
          <w:rFonts w:ascii="Times New Roman" w:eastAsia="標楷體" w:hAnsi="Times New Roman" w:cs="Times New Roman"/>
          <w:sz w:val="28"/>
          <w:szCs w:val="28"/>
        </w:rPr>
        <w:t>A.</w:t>
      </w:r>
      <w:r w:rsidRPr="00C77E77">
        <w:rPr>
          <w:rFonts w:ascii="Times New Roman" w:eastAsia="標楷體" w:hAnsi="Times New Roman" w:cs="Times New Roman"/>
          <w:sz w:val="28"/>
          <w:szCs w:val="28"/>
        </w:rPr>
        <w:t>找一個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灣的目標學校，例如中崙高中（酷客雲的負責學校）、建中、北一女、或是麗山高中，發展成智慧校園的典範。網頁要有多語版，包括簡體中文、英文等，設法行銷海外。</w:t>
      </w:r>
      <w:r w:rsidR="005F3CBC" w:rsidRPr="00C77E77">
        <w:rPr>
          <w:rFonts w:ascii="Times New Roman" w:eastAsia="標楷體" w:hAnsi="Times New Roman" w:cs="Times New Roman"/>
          <w:sz w:val="28"/>
          <w:szCs w:val="28"/>
        </w:rPr>
        <w:t>B.</w:t>
      </w:r>
      <w:r w:rsidRPr="00C77E77">
        <w:rPr>
          <w:rFonts w:ascii="Times New Roman" w:eastAsia="標楷體" w:hAnsi="Times New Roman" w:cs="Times New Roman"/>
          <w:sz w:val="28"/>
          <w:szCs w:val="28"/>
        </w:rPr>
        <w:t>找海外的第三語學校合作，例如丁善理紀念學校。</w:t>
      </w:r>
      <w:r w:rsidR="005F3CBC" w:rsidRPr="00C77E77">
        <w:rPr>
          <w:rFonts w:ascii="Times New Roman" w:eastAsia="標楷體" w:hAnsi="Times New Roman" w:cs="Times New Roman"/>
          <w:sz w:val="28"/>
          <w:szCs w:val="28"/>
        </w:rPr>
        <w:t>C.</w:t>
      </w:r>
      <w:r w:rsidRPr="00C77E77">
        <w:rPr>
          <w:rFonts w:ascii="Times New Roman" w:eastAsia="標楷體" w:hAnsi="Times New Roman" w:cs="Times New Roman"/>
          <w:sz w:val="28"/>
          <w:szCs w:val="28"/>
        </w:rPr>
        <w:t>同步進行、再逐步擴大。</w:t>
      </w:r>
    </w:p>
    <w:p w:rsidR="009C20E3" w:rsidRPr="00C77E77" w:rsidRDefault="009C20E3" w:rsidP="0001327A">
      <w:pPr>
        <w:pStyle w:val="ab"/>
        <w:numPr>
          <w:ilvl w:val="0"/>
          <w:numId w:val="109"/>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注意</w:t>
      </w:r>
      <w:r w:rsidRPr="00C77E77">
        <w:rPr>
          <w:rFonts w:ascii="Times New Roman" w:eastAsia="標楷體" w:hAnsi="Times New Roman" w:cs="Times New Roman"/>
          <w:sz w:val="28"/>
          <w:szCs w:val="28"/>
        </w:rPr>
        <w:t>：「智慧」型產業的自動化推行必須出自於減少出錯、降低危險，而不是取代人工，才有成功的可能。如果自動化造成員工縮減，在勞動法上站不住腳，政府也會有意見。</w:t>
      </w:r>
    </w:p>
    <w:p w:rsidR="009C20E3" w:rsidRPr="00C77E77" w:rsidRDefault="009C20E3" w:rsidP="0001327A">
      <w:pPr>
        <w:pStyle w:val="ab"/>
        <w:numPr>
          <w:ilvl w:val="0"/>
          <w:numId w:val="103"/>
        </w:numPr>
        <w:spacing w:beforeLines="50" w:before="180" w:afterLines="50" w:after="180" w:line="500" w:lineRule="exact"/>
        <w:ind w:leftChars="0" w:left="423"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智慧醫療</w:t>
      </w:r>
      <w:r w:rsidRPr="00C77E77">
        <w:rPr>
          <w:rFonts w:ascii="Times New Roman" w:eastAsia="標楷體" w:hAnsi="Times New Roman" w:cs="Times New Roman"/>
          <w:sz w:val="28"/>
          <w:szCs w:val="28"/>
        </w:rPr>
        <w:t>：同奈省已經有彰化基督教醫院過來合作蓋醫院，預計</w:t>
      </w:r>
      <w:r w:rsidRPr="00C77E77">
        <w:rPr>
          <w:rFonts w:ascii="Times New Roman" w:eastAsia="標楷體" w:hAnsi="Times New Roman" w:cs="Times New Roman"/>
          <w:sz w:val="28"/>
          <w:szCs w:val="28"/>
        </w:rPr>
        <w:t>2017</w:t>
      </w:r>
      <w:r w:rsidRPr="00C77E77">
        <w:rPr>
          <w:rFonts w:ascii="Times New Roman" w:eastAsia="標楷體" w:hAnsi="Times New Roman" w:cs="Times New Roman"/>
          <w:sz w:val="28"/>
          <w:szCs w:val="28"/>
        </w:rPr>
        <w:t>年落成。但是遠距醫療、智慧穿戴那些還不適合。</w:t>
      </w:r>
    </w:p>
    <w:p w:rsidR="009C20E3" w:rsidRPr="00C77E77" w:rsidRDefault="009C20E3" w:rsidP="0001327A">
      <w:pPr>
        <w:pStyle w:val="ab"/>
        <w:numPr>
          <w:ilvl w:val="0"/>
          <w:numId w:val="103"/>
        </w:numPr>
        <w:spacing w:beforeLines="50" w:before="180" w:afterLines="50" w:after="180" w:line="500" w:lineRule="exact"/>
        <w:ind w:leftChars="0" w:left="423"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電子化政府</w:t>
      </w:r>
      <w:r w:rsidRPr="00C77E77">
        <w:rPr>
          <w:rFonts w:ascii="Times New Roman" w:eastAsia="標楷體" w:hAnsi="Times New Roman" w:cs="Times New Roman"/>
          <w:sz w:val="28"/>
          <w:szCs w:val="28"/>
        </w:rPr>
        <w:t>：發展還很不足，例如，不像</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灣有聯合徵信中心，越南的金融系統、銀行、稅務單位沒有連線，呆帳率很高。</w:t>
      </w:r>
    </w:p>
    <w:p w:rsidR="009C20E3" w:rsidRPr="00C77E77" w:rsidRDefault="009C20E3" w:rsidP="0001327A">
      <w:pPr>
        <w:pStyle w:val="ab"/>
        <w:numPr>
          <w:ilvl w:val="0"/>
          <w:numId w:val="103"/>
        </w:numPr>
        <w:spacing w:beforeLines="50" w:before="180" w:afterLines="50" w:after="180" w:line="500" w:lineRule="exact"/>
        <w:ind w:leftChars="0" w:left="423"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石化業</w:t>
      </w:r>
      <w:r w:rsidRPr="00C77E77">
        <w:rPr>
          <w:rFonts w:ascii="Times New Roman" w:eastAsia="標楷體" w:hAnsi="Times New Roman" w:cs="Times New Roman"/>
          <w:sz w:val="28"/>
          <w:szCs w:val="28"/>
        </w:rPr>
        <w:t>：其實越南缺油，但是另一個國家投資的煉油廠現在也喊停了。越南政府的作法是把原油出口、再進口柴油。</w:t>
      </w:r>
    </w:p>
    <w:p w:rsidR="009C20E3" w:rsidRPr="00C77E77" w:rsidRDefault="009C20E3" w:rsidP="0001327A">
      <w:pPr>
        <w:pStyle w:val="ab"/>
        <w:numPr>
          <w:ilvl w:val="0"/>
          <w:numId w:val="103"/>
        </w:numPr>
        <w:spacing w:beforeLines="50" w:before="180" w:afterLines="50" w:after="180" w:line="500" w:lineRule="exact"/>
        <w:ind w:leftChars="0" w:left="423"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LED</w:t>
      </w:r>
      <w:r w:rsidR="005F3CBC" w:rsidRPr="00C77E77">
        <w:rPr>
          <w:rFonts w:ascii="Times New Roman" w:eastAsia="標楷體" w:hAnsi="Times New Roman" w:cs="Times New Roman"/>
          <w:sz w:val="28"/>
          <w:szCs w:val="28"/>
        </w:rPr>
        <w:t>：節能減</w:t>
      </w:r>
      <w:r w:rsidRPr="00C77E77">
        <w:rPr>
          <w:rFonts w:ascii="Times New Roman" w:eastAsia="標楷體" w:hAnsi="Times New Roman" w:cs="Times New Roman"/>
          <w:sz w:val="28"/>
          <w:szCs w:val="28"/>
        </w:rPr>
        <w:t>碳是未來的目標，但在收入還很低的現階段，要全力衝刺經濟成長，</w:t>
      </w:r>
      <w:r w:rsidR="005F3CBC" w:rsidRPr="00C77E77">
        <w:rPr>
          <w:rFonts w:ascii="Times New Roman" w:eastAsia="標楷體" w:hAnsi="Times New Roman" w:cs="Times New Roman"/>
          <w:sz w:val="28"/>
          <w:szCs w:val="28"/>
        </w:rPr>
        <w:t>暫無此類需求</w:t>
      </w:r>
      <w:r w:rsidRPr="00C77E77">
        <w:rPr>
          <w:rFonts w:ascii="Times New Roman" w:eastAsia="標楷體" w:hAnsi="Times New Roman" w:cs="Times New Roman"/>
          <w:sz w:val="28"/>
          <w:szCs w:val="28"/>
        </w:rPr>
        <w:t>。</w:t>
      </w:r>
    </w:p>
    <w:p w:rsidR="009C20E3" w:rsidRPr="00C77E77" w:rsidRDefault="009C20E3" w:rsidP="0001327A">
      <w:pPr>
        <w:pStyle w:val="ab"/>
        <w:numPr>
          <w:ilvl w:val="0"/>
          <w:numId w:val="103"/>
        </w:numPr>
        <w:spacing w:beforeLines="50" w:before="180" w:afterLines="50" w:after="180" w:line="500" w:lineRule="exact"/>
        <w:ind w:leftChars="0" w:left="423" w:hangingChars="151" w:hanging="423"/>
        <w:jc w:val="both"/>
        <w:rPr>
          <w:rFonts w:ascii="Times New Roman" w:eastAsia="標楷體" w:hAnsi="Times New Roman" w:cs="Times New Roman"/>
          <w:sz w:val="28"/>
          <w:szCs w:val="28"/>
        </w:rPr>
      </w:pPr>
      <w:r w:rsidRPr="00C77E77">
        <w:rPr>
          <w:rFonts w:ascii="Times New Roman" w:eastAsia="標楷體" w:hAnsi="Times New Roman" w:cs="Times New Roman"/>
          <w:b/>
          <w:sz w:val="28"/>
          <w:szCs w:val="28"/>
        </w:rPr>
        <w:t>太陽能</w:t>
      </w:r>
      <w:r w:rsidRPr="00C77E77">
        <w:rPr>
          <w:rFonts w:ascii="Times New Roman" w:eastAsia="標楷體" w:hAnsi="Times New Roman" w:cs="Times New Roman"/>
          <w:sz w:val="28"/>
          <w:szCs w:val="28"/>
        </w:rPr>
        <w:t>：越南缺電，計畫在</w:t>
      </w:r>
      <w:r w:rsidRPr="00C77E77">
        <w:rPr>
          <w:rFonts w:ascii="Times New Roman" w:eastAsia="標楷體" w:hAnsi="Times New Roman" w:cs="Times New Roman"/>
          <w:sz w:val="28"/>
          <w:szCs w:val="28"/>
        </w:rPr>
        <w:t>2030</w:t>
      </w:r>
      <w:r w:rsidRPr="00C77E77">
        <w:rPr>
          <w:rFonts w:ascii="Times New Roman" w:eastAsia="標楷體" w:hAnsi="Times New Roman" w:cs="Times New Roman"/>
          <w:sz w:val="28"/>
          <w:szCs w:val="28"/>
        </w:rPr>
        <w:t>年前要增加</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兆萬瓦，是現在的一倍需求。目前多靠水力發電，不過水庫擴建不易。未來會不會蓋核能電廠還不確定，因為越南產煤炭，所以計畫轉成火力發電。但是越南雨季太長，很難採取太陽能。</w:t>
      </w:r>
    </w:p>
    <w:p w:rsidR="009C20E3" w:rsidRPr="00C77E77" w:rsidRDefault="009C20E3" w:rsidP="0001327A">
      <w:pPr>
        <w:pStyle w:val="ab"/>
        <w:numPr>
          <w:ilvl w:val="0"/>
          <w:numId w:val="10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服務業、零售批發</w:t>
      </w:r>
    </w:p>
    <w:p w:rsidR="009C20E3" w:rsidRPr="00C77E77" w:rsidRDefault="009C20E3" w:rsidP="0001327A">
      <w:pPr>
        <w:pStyle w:val="ab"/>
        <w:numPr>
          <w:ilvl w:val="2"/>
          <w:numId w:val="101"/>
        </w:numPr>
        <w:spacing w:beforeLines="50" w:before="180" w:afterLines="50" w:after="180" w:line="500" w:lineRule="exact"/>
        <w:ind w:leftChars="0" w:left="851"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製造業不會遇到語言問題，不過</w:t>
      </w:r>
      <w:r w:rsidR="00056A67" w:rsidRPr="00C77E77">
        <w:rPr>
          <w:rFonts w:ascii="Times New Roman" w:eastAsia="標楷體" w:hAnsi="Times New Roman" w:cs="Times New Roman"/>
          <w:sz w:val="28"/>
          <w:szCs w:val="28"/>
        </w:rPr>
        <w:t>有</w:t>
      </w:r>
      <w:r w:rsidRPr="00C77E77">
        <w:rPr>
          <w:rFonts w:ascii="Times New Roman" w:eastAsia="標楷體" w:hAnsi="Times New Roman" w:cs="Times New Roman"/>
          <w:sz w:val="28"/>
          <w:szCs w:val="28"/>
        </w:rPr>
        <w:t>外移出走的疑慮。相對的，服務業朝海外發展是擴大規模，並不會影響到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灣本土的狀況，只是必須克</w:t>
      </w:r>
      <w:r w:rsidRPr="00C77E77">
        <w:rPr>
          <w:rFonts w:ascii="Times New Roman" w:eastAsia="標楷體" w:hAnsi="Times New Roman" w:cs="Times New Roman"/>
          <w:sz w:val="28"/>
          <w:szCs w:val="28"/>
        </w:rPr>
        <w:lastRenderedPageBreak/>
        <w:t>服溝通障礙。</w:t>
      </w:r>
    </w:p>
    <w:p w:rsidR="009C20E3" w:rsidRPr="00C77E77" w:rsidRDefault="00FD0D5A" w:rsidP="0001327A">
      <w:pPr>
        <w:pStyle w:val="ab"/>
        <w:numPr>
          <w:ilvl w:val="2"/>
          <w:numId w:val="101"/>
        </w:numPr>
        <w:spacing w:beforeLines="50" w:before="180" w:afterLines="50" w:after="180" w:line="500" w:lineRule="exact"/>
        <w:ind w:leftChars="0" w:left="851"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餐飲服務業多用權利金一次賣斷的方式，開出天價，但不願涉入經營問題，把服務業當作是貿易來搞，只想現賺；連帶也降低了越南當地業者的合作意願。但是日、韓都是找代理商、設辦公室，長期經營服務業。</w:t>
      </w:r>
    </w:p>
    <w:p w:rsidR="009C20E3" w:rsidRPr="00C77E77" w:rsidRDefault="009C20E3" w:rsidP="0001327A">
      <w:pPr>
        <w:pStyle w:val="ab"/>
        <w:numPr>
          <w:ilvl w:val="2"/>
          <w:numId w:val="101"/>
        </w:numPr>
        <w:spacing w:beforeLines="50" w:before="180" w:afterLines="50" w:after="180" w:line="500" w:lineRule="exact"/>
        <w:ind w:leftChars="0" w:left="851"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批發零售端是品牌戰跟行銷戰，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灣品牌不是日韓等級，而是馬泰等級，現在政府一年只做一次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灣精品展，後續都不管，很難建立</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灣品牌。加上末端行銷要下重本，考慮的是會虧多久以後才能開始獲利；但是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灣多數的製造代工廠對銷售端不熟，也不願意花這個成本，寧願把東西賣出去，後續就不管了。</w:t>
      </w:r>
    </w:p>
    <w:p w:rsidR="009C20E3" w:rsidRPr="00C77E77" w:rsidRDefault="009C20E3" w:rsidP="0001327A">
      <w:pPr>
        <w:pStyle w:val="ab"/>
        <w:numPr>
          <w:ilvl w:val="2"/>
          <w:numId w:val="101"/>
        </w:numPr>
        <w:spacing w:beforeLines="50" w:before="180" w:afterLines="50" w:after="180" w:line="500" w:lineRule="exact"/>
        <w:ind w:leftChars="0" w:left="851"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新加坡的作法是把所有的潛力廠商整合在一起，然後在越南當地的通路設立「新加坡食品專區」，上架費由政府來出，再由食品出口協會幫廠商出廣告。但是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灣貿協都是跟廠商收錢來辦展覽，作法完全不一樣。</w:t>
      </w:r>
    </w:p>
    <w:p w:rsidR="009C20E3" w:rsidRPr="00C77E77" w:rsidRDefault="009C20E3" w:rsidP="0001327A">
      <w:pPr>
        <w:pStyle w:val="ab"/>
        <w:numPr>
          <w:ilvl w:val="2"/>
          <w:numId w:val="101"/>
        </w:numPr>
        <w:spacing w:beforeLines="50" w:before="180" w:afterLines="50" w:after="180" w:line="500" w:lineRule="exact"/>
        <w:ind w:leftChars="0" w:left="851"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百貨公司、賣場、超商等零售通路本身就是火車頭。越南在兩、三年前開始有外國的零售通路、</w:t>
      </w:r>
      <w:r w:rsidRPr="00C77E77">
        <w:rPr>
          <w:rFonts w:ascii="Times New Roman" w:eastAsia="標楷體" w:hAnsi="Times New Roman" w:cs="Times New Roman"/>
          <w:sz w:val="28"/>
          <w:szCs w:val="28"/>
        </w:rPr>
        <w:t>mall</w:t>
      </w:r>
      <w:r w:rsidRPr="00C77E77">
        <w:rPr>
          <w:rFonts w:ascii="Times New Roman" w:eastAsia="標楷體" w:hAnsi="Times New Roman" w:cs="Times New Roman"/>
          <w:sz w:val="28"/>
          <w:szCs w:val="28"/>
        </w:rPr>
        <w:t>進來，現在越南還是街邊店較多，還有一點發展空間，但是再</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年就沒有了。</w:t>
      </w:r>
    </w:p>
    <w:p w:rsidR="009C20E3" w:rsidRPr="00C77E77" w:rsidRDefault="009C20E3" w:rsidP="0001327A">
      <w:pPr>
        <w:pStyle w:val="ab"/>
        <w:numPr>
          <w:ilvl w:val="2"/>
          <w:numId w:val="101"/>
        </w:numPr>
        <w:spacing w:beforeLines="50" w:before="180" w:afterLines="50" w:after="180" w:line="500" w:lineRule="exact"/>
        <w:ind w:leftChars="0" w:left="851"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零售批發業是未來的趨勢，現在已經有法國的</w:t>
      </w:r>
      <w:r w:rsidRPr="00C77E77">
        <w:rPr>
          <w:rFonts w:ascii="Times New Roman" w:eastAsia="標楷體" w:hAnsi="Times New Roman" w:cs="Times New Roman"/>
          <w:sz w:val="28"/>
          <w:szCs w:val="28"/>
        </w:rPr>
        <w:t>big C</w:t>
      </w:r>
      <w:r w:rsidRPr="00C77E77">
        <w:rPr>
          <w:rFonts w:ascii="Times New Roman" w:eastAsia="標楷體" w:hAnsi="Times New Roman" w:cs="Times New Roman"/>
          <w:sz w:val="28"/>
          <w:szCs w:val="28"/>
        </w:rPr>
        <w:t>、德國的</w:t>
      </w:r>
      <w:r w:rsidRPr="00C77E77">
        <w:rPr>
          <w:rFonts w:ascii="Times New Roman" w:eastAsia="標楷體" w:hAnsi="Times New Roman" w:cs="Times New Roman"/>
          <w:sz w:val="28"/>
          <w:szCs w:val="28"/>
        </w:rPr>
        <w:t>Metro</w:t>
      </w:r>
      <w:r w:rsidRPr="00C77E77">
        <w:rPr>
          <w:rFonts w:ascii="Times New Roman" w:eastAsia="標楷體" w:hAnsi="Times New Roman" w:cs="Times New Roman"/>
          <w:sz w:val="28"/>
          <w:szCs w:val="28"/>
        </w:rPr>
        <w:t>、韓國樂天、日本的</w:t>
      </w:r>
      <w:r w:rsidRPr="00C77E77">
        <w:rPr>
          <w:rFonts w:ascii="Times New Roman" w:eastAsia="標楷體" w:hAnsi="Times New Roman" w:cs="Times New Roman"/>
          <w:sz w:val="28"/>
          <w:szCs w:val="28"/>
        </w:rPr>
        <w:t>L</w:t>
      </w:r>
      <w:r w:rsidRPr="00C77E77">
        <w:rPr>
          <w:rFonts w:ascii="Times New Roman" w:eastAsia="標楷體" w:hAnsi="Times New Roman" w:cs="Times New Roman"/>
          <w:sz w:val="28"/>
          <w:szCs w:val="28"/>
        </w:rPr>
        <w:t>跟大葉高島屋進駐。泰國現在急起直追，先後收購了</w:t>
      </w:r>
      <w:r w:rsidRPr="00C77E77">
        <w:rPr>
          <w:rFonts w:ascii="Times New Roman" w:eastAsia="標楷體" w:hAnsi="Times New Roman" w:cs="Times New Roman"/>
          <w:sz w:val="28"/>
          <w:szCs w:val="28"/>
        </w:rPr>
        <w:t>big C</w:t>
      </w:r>
      <w:r w:rsidRPr="00C77E77">
        <w:rPr>
          <w:rFonts w:ascii="Times New Roman" w:eastAsia="標楷體" w:hAnsi="Times New Roman" w:cs="Times New Roman"/>
          <w:sz w:val="28"/>
          <w:szCs w:val="28"/>
        </w:rPr>
        <w:t>跟</w:t>
      </w:r>
      <w:r w:rsidRPr="00C77E77">
        <w:rPr>
          <w:rFonts w:ascii="Times New Roman" w:eastAsia="標楷體" w:hAnsi="Times New Roman" w:cs="Times New Roman"/>
          <w:sz w:val="28"/>
          <w:szCs w:val="28"/>
        </w:rPr>
        <w:t>Metro</w:t>
      </w:r>
      <w:r w:rsidRPr="00C77E77">
        <w:rPr>
          <w:rFonts w:ascii="Times New Roman" w:eastAsia="標楷體" w:hAnsi="Times New Roman" w:cs="Times New Roman"/>
          <w:sz w:val="28"/>
          <w:szCs w:val="28"/>
        </w:rPr>
        <w:t>。</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灣這方面顯得很弱，不但沒有通路商進來，連上架費都付不太出來。現在每個國家的通路都主打自己國家的商品，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灣的產品快要沒地方賣了。所以在未來的</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年內零售服務業要趕快進來，不然</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灣商品就失去了販售通路。</w:t>
      </w:r>
    </w:p>
    <w:p w:rsidR="009C20E3" w:rsidRPr="00C77E77" w:rsidRDefault="009C20E3" w:rsidP="0001327A">
      <w:pPr>
        <w:pStyle w:val="ab"/>
        <w:numPr>
          <w:ilvl w:val="2"/>
          <w:numId w:val="101"/>
        </w:numPr>
        <w:spacing w:beforeLines="50" w:before="180" w:afterLines="50" w:after="180" w:line="500" w:lineRule="exact"/>
        <w:ind w:leftChars="0" w:left="851"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建議富美興、</w:t>
      </w:r>
      <w:r w:rsidRPr="00C77E77">
        <w:rPr>
          <w:rFonts w:ascii="Times New Roman" w:eastAsia="標楷體" w:hAnsi="Times New Roman" w:cs="Times New Roman"/>
          <w:sz w:val="28"/>
          <w:szCs w:val="28"/>
        </w:rPr>
        <w:t>Nikko</w:t>
      </w:r>
      <w:r w:rsidRPr="00C77E77">
        <w:rPr>
          <w:rFonts w:ascii="Times New Roman" w:eastAsia="標楷體" w:hAnsi="Times New Roman" w:cs="Times New Roman"/>
          <w:sz w:val="28"/>
          <w:szCs w:val="28"/>
        </w:rPr>
        <w:t>等以</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灣人投資為主的地區，應該要改變現在只把地方分租出去的模式，設計成為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灣形象館，裡面可以劃一區給</w:t>
      </w:r>
      <w:r w:rsidR="005B5AD9" w:rsidRPr="00C77E77">
        <w:rPr>
          <w:rFonts w:ascii="Times New Roman" w:eastAsia="標楷體" w:hAnsi="Times New Roman" w:cs="Times New Roman"/>
          <w:sz w:val="28"/>
          <w:szCs w:val="28"/>
        </w:rPr>
        <w:t>燦</w:t>
      </w:r>
      <w:r w:rsidR="005B5AD9" w:rsidRPr="00C77E77">
        <w:rPr>
          <w:rFonts w:ascii="Times New Roman" w:eastAsia="標楷體" w:hAnsi="Times New Roman" w:cs="Times New Roman"/>
          <w:sz w:val="28"/>
          <w:szCs w:val="28"/>
        </w:rPr>
        <w:lastRenderedPageBreak/>
        <w:t>坤</w:t>
      </w:r>
      <w:r w:rsidRPr="00C77E77">
        <w:rPr>
          <w:rFonts w:ascii="Times New Roman" w:eastAsia="標楷體" w:hAnsi="Times New Roman" w:cs="Times New Roman"/>
          <w:sz w:val="28"/>
          <w:szCs w:val="28"/>
        </w:rPr>
        <w:t>做</w:t>
      </w:r>
      <w:r w:rsidRPr="00C77E77">
        <w:rPr>
          <w:rFonts w:ascii="Times New Roman" w:eastAsia="標楷體" w:hAnsi="Times New Roman" w:cs="Times New Roman"/>
          <w:sz w:val="28"/>
          <w:szCs w:val="28"/>
        </w:rPr>
        <w:t>3C</w:t>
      </w:r>
      <w:r w:rsidRPr="00C77E77">
        <w:rPr>
          <w:rFonts w:ascii="Times New Roman" w:eastAsia="標楷體" w:hAnsi="Times New Roman" w:cs="Times New Roman"/>
          <w:sz w:val="28"/>
          <w:szCs w:val="28"/>
        </w:rPr>
        <w:t>賣場，販售義美、鼎泰豐、</w:t>
      </w:r>
      <w:r w:rsidRPr="00C77E77">
        <w:rPr>
          <w:rFonts w:ascii="Times New Roman" w:eastAsia="標楷體" w:hAnsi="Times New Roman" w:cs="Times New Roman"/>
          <w:sz w:val="28"/>
          <w:szCs w:val="28"/>
        </w:rPr>
        <w:t>85</w:t>
      </w:r>
      <w:r w:rsidRPr="00C77E77">
        <w:rPr>
          <w:rFonts w:ascii="Times New Roman" w:eastAsia="標楷體" w:hAnsi="Times New Roman" w:cs="Times New Roman"/>
          <w:sz w:val="28"/>
          <w:szCs w:val="28"/>
        </w:rPr>
        <w:t>度</w:t>
      </w:r>
      <w:r w:rsidRPr="00C77E77">
        <w:rPr>
          <w:rFonts w:ascii="Times New Roman" w:eastAsia="標楷體" w:hAnsi="Times New Roman" w:cs="Times New Roman"/>
          <w:sz w:val="28"/>
          <w:szCs w:val="28"/>
        </w:rPr>
        <w:t>C</w:t>
      </w:r>
      <w:r w:rsidRPr="00C77E77">
        <w:rPr>
          <w:rFonts w:ascii="Times New Roman" w:eastAsia="標楷體" w:hAnsi="Times New Roman" w:cs="Times New Roman"/>
          <w:sz w:val="28"/>
          <w:szCs w:val="28"/>
        </w:rPr>
        <w:t>等</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灣商品。然後再推凡是持</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資信用卡的，還可以享八折、九折優惠。透過多管道的合作增加通路跟效益。</w:t>
      </w:r>
    </w:p>
    <w:p w:rsidR="009C20E3" w:rsidRPr="00C77E77" w:rsidRDefault="009C20E3" w:rsidP="0001327A">
      <w:pPr>
        <w:pStyle w:val="ab"/>
        <w:numPr>
          <w:ilvl w:val="2"/>
          <w:numId w:val="101"/>
        </w:numPr>
        <w:spacing w:beforeLines="50" w:before="180" w:afterLines="50" w:after="180" w:line="500" w:lineRule="exact"/>
        <w:ind w:leftChars="0" w:left="851" w:hanging="284"/>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灣本土的大潤發、新光三越（要換個名字把三越拿掉再進來）可以用併購當地業者的模式進來。一旦火車頭進來了，</w:t>
      </w:r>
      <w:r w:rsidRPr="00C77E77">
        <w:rPr>
          <w:rFonts w:ascii="Times New Roman" w:eastAsia="標楷體" w:hAnsi="Times New Roman" w:cs="Times New Roman"/>
          <w:sz w:val="28"/>
          <w:szCs w:val="28"/>
        </w:rPr>
        <w:t>85</w:t>
      </w:r>
      <w:r w:rsidRPr="00C77E77">
        <w:rPr>
          <w:rFonts w:ascii="Times New Roman" w:eastAsia="標楷體" w:hAnsi="Times New Roman" w:cs="Times New Roman"/>
          <w:sz w:val="28"/>
          <w:szCs w:val="28"/>
        </w:rPr>
        <w:t>度</w:t>
      </w:r>
      <w:r w:rsidRPr="00C77E77">
        <w:rPr>
          <w:rFonts w:ascii="Times New Roman" w:eastAsia="標楷體" w:hAnsi="Times New Roman" w:cs="Times New Roman"/>
          <w:sz w:val="28"/>
          <w:szCs w:val="28"/>
        </w:rPr>
        <w:t>C</w:t>
      </w:r>
      <w:r w:rsidRPr="00C77E77">
        <w:rPr>
          <w:rFonts w:ascii="Times New Roman" w:eastAsia="標楷體" w:hAnsi="Times New Roman" w:cs="Times New Roman"/>
          <w:sz w:val="28"/>
          <w:szCs w:val="28"/>
        </w:rPr>
        <w:t>、鼎泰豐可能就願意進來經營了。</w:t>
      </w:r>
    </w:p>
    <w:p w:rsidR="009C20E3" w:rsidRPr="00C77E77" w:rsidRDefault="009C20E3" w:rsidP="0001327A">
      <w:pPr>
        <w:pStyle w:val="ab"/>
        <w:numPr>
          <w:ilvl w:val="0"/>
          <w:numId w:val="10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對政府的建議</w:t>
      </w:r>
    </w:p>
    <w:p w:rsidR="009C20E3" w:rsidRPr="00C77E77" w:rsidRDefault="00FD0D5A"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灣跟越南之間交流的障礙，不見得都是</w:t>
      </w:r>
      <w:r w:rsidR="009C20E3" w:rsidRPr="00C77E77">
        <w:rPr>
          <w:rFonts w:ascii="Times New Roman" w:eastAsia="標楷體" w:hAnsi="Times New Roman" w:cs="Times New Roman"/>
          <w:sz w:val="28"/>
          <w:szCs w:val="28"/>
        </w:rPr>
        <w:t>FTA</w:t>
      </w:r>
      <w:r w:rsidR="009C20E3" w:rsidRPr="00C77E77">
        <w:rPr>
          <w:rFonts w:ascii="Times New Roman" w:eastAsia="標楷體" w:hAnsi="Times New Roman" w:cs="Times New Roman"/>
          <w:sz w:val="28"/>
          <w:szCs w:val="28"/>
        </w:rPr>
        <w:t>的問題，事實上很多對南人對</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灣還是有感情的，因為</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商是最早進去投資，而且</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、越都共同面對中國的威脅，多少有點同情心。所以</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灣只要不搖旗吶喊，就可以分項跟越南談各種協定、備忘錄，逐步降低雙方關稅，達到</w:t>
      </w:r>
      <w:r w:rsidR="009C20E3" w:rsidRPr="00C77E77">
        <w:rPr>
          <w:rFonts w:ascii="Times New Roman" w:eastAsia="標楷體" w:hAnsi="Times New Roman" w:cs="Times New Roman"/>
          <w:sz w:val="28"/>
          <w:szCs w:val="28"/>
        </w:rPr>
        <w:t>FTA</w:t>
      </w:r>
      <w:r w:rsidR="009C20E3" w:rsidRPr="00C77E77">
        <w:rPr>
          <w:rFonts w:ascii="Times New Roman" w:eastAsia="標楷體" w:hAnsi="Times New Roman" w:cs="Times New Roman"/>
          <w:sz w:val="28"/>
          <w:szCs w:val="28"/>
        </w:rPr>
        <w:t>的具體內容，只是沒有</w:t>
      </w:r>
      <w:r w:rsidR="009C20E3" w:rsidRPr="00C77E77">
        <w:rPr>
          <w:rFonts w:ascii="Times New Roman" w:eastAsia="標楷體" w:hAnsi="Times New Roman" w:cs="Times New Roman"/>
          <w:sz w:val="28"/>
          <w:szCs w:val="28"/>
        </w:rPr>
        <w:t>FTA</w:t>
      </w:r>
      <w:r w:rsidR="009C20E3" w:rsidRPr="00C77E77">
        <w:rPr>
          <w:rFonts w:ascii="Times New Roman" w:eastAsia="標楷體" w:hAnsi="Times New Roman" w:cs="Times New Roman"/>
          <w:sz w:val="28"/>
          <w:szCs w:val="28"/>
        </w:rPr>
        <w:t>的名稱而已。</w:t>
      </w:r>
    </w:p>
    <w:p w:rsidR="009C20E3" w:rsidRPr="00C77E77" w:rsidRDefault="009C20E3"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與其把</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灣的外交資源那去給</w:t>
      </w:r>
      <w:r w:rsidRPr="00C77E77">
        <w:rPr>
          <w:rFonts w:ascii="Times New Roman" w:eastAsia="標楷體" w:hAnsi="Times New Roman" w:cs="Times New Roman"/>
          <w:sz w:val="28"/>
          <w:szCs w:val="28"/>
        </w:rPr>
        <w:t>20</w:t>
      </w:r>
      <w:r w:rsidRPr="00C77E77">
        <w:rPr>
          <w:rFonts w:ascii="Times New Roman" w:eastAsia="標楷體" w:hAnsi="Times New Roman" w:cs="Times New Roman"/>
          <w:sz w:val="28"/>
          <w:szCs w:val="28"/>
        </w:rPr>
        <w:t>幾個邦交國家，不如拿到真正有經濟利益的新南向國家，可以換來好的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灣形象。例如：送一座太陽能發電廠給越南，規模可大可小；送一套電子政府裡面的某一塊像是某個港口的通關系統給越南。既然是用送的，越南政府何樂而不為？而且這些可以成為很好的示範點。</w:t>
      </w:r>
    </w:p>
    <w:p w:rsidR="009C20E3" w:rsidRPr="00C77E77" w:rsidRDefault="009C20E3"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建議政府要把錢花在刀口上，過去的大陸工程、國合會、農工處、中華工程等，有成功協助越南的</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號公路擴建。但是後來</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灣把經費從經濟部轉到外交部，拿去讓海合會資助邦交國，結果</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灣在東南亞的基礎建設停滯以後，就整個被中國搶過去了。政府應該要再度出面談雙方合作，讓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企可以回饋社會。</w:t>
      </w:r>
    </w:p>
    <w:p w:rsidR="009C20E3" w:rsidRPr="00C77E77" w:rsidRDefault="009C20E3"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「十大系統」整合推動的最大問題，是找不到每個系統的頭去整合、推到國外。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灣如果沒有夠份量的業者出來，就要試著跟當地業者合作，因為本地人比較容易拿到標案。</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灣就算想要跟日本合作爭取越</w:t>
      </w:r>
      <w:r w:rsidRPr="00C77E77">
        <w:rPr>
          <w:rFonts w:ascii="Times New Roman" w:eastAsia="標楷體" w:hAnsi="Times New Roman" w:cs="Times New Roman"/>
          <w:sz w:val="28"/>
          <w:szCs w:val="28"/>
        </w:rPr>
        <w:lastRenderedPageBreak/>
        <w:t>南的公共建設，但是日本也已經表明要優先給日本廠商去做，很難交給</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w:t>
      </w:r>
    </w:p>
    <w:p w:rsidR="009C20E3" w:rsidRPr="00C77E77" w:rsidRDefault="009C20E3"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政府的各部會，尤其是勞動部、財政部、教育部、立法院</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等，應該過來跟越南洽談相關事項：</w:t>
      </w:r>
      <w:r w:rsidRPr="00C77E77">
        <w:rPr>
          <w:rFonts w:ascii="Times New Roman" w:eastAsia="標楷體" w:hAnsi="Times New Roman" w:cs="Times New Roman"/>
          <w:sz w:val="28"/>
          <w:szCs w:val="28"/>
        </w:rPr>
        <w:t xml:space="preserve">(1) </w:t>
      </w:r>
      <w:r w:rsidRPr="00C77E77">
        <w:rPr>
          <w:rFonts w:ascii="Times New Roman" w:eastAsia="標楷體" w:hAnsi="Times New Roman" w:cs="Times New Roman"/>
          <w:sz w:val="28"/>
          <w:szCs w:val="28"/>
        </w:rPr>
        <w:t>投保協議</w:t>
      </w:r>
      <w:r w:rsidRPr="00C77E77">
        <w:rPr>
          <w:rFonts w:ascii="Times New Roman" w:eastAsia="標楷體" w:hAnsi="Times New Roman" w:cs="Times New Roman"/>
          <w:sz w:val="28"/>
          <w:szCs w:val="28"/>
        </w:rPr>
        <w:t xml:space="preserve"> (2) </w:t>
      </w:r>
      <w:r w:rsidRPr="00C77E77">
        <w:rPr>
          <w:rFonts w:ascii="Times New Roman" w:eastAsia="標楷體" w:hAnsi="Times New Roman" w:cs="Times New Roman"/>
          <w:sz w:val="28"/>
          <w:szCs w:val="28"/>
        </w:rPr>
        <w:t>工作簽證與居留證</w:t>
      </w:r>
      <w:r w:rsidRPr="00C77E77">
        <w:rPr>
          <w:rFonts w:ascii="Times New Roman" w:eastAsia="標楷體" w:hAnsi="Times New Roman" w:cs="Times New Roman"/>
          <w:sz w:val="28"/>
          <w:szCs w:val="28"/>
        </w:rPr>
        <w:t xml:space="preserve"> (3) </w:t>
      </w:r>
      <w:r w:rsidRPr="00C77E77">
        <w:rPr>
          <w:rFonts w:ascii="Times New Roman" w:eastAsia="標楷體" w:hAnsi="Times New Roman" w:cs="Times New Roman"/>
          <w:sz w:val="28"/>
          <w:szCs w:val="28"/>
        </w:rPr>
        <w:t>外國人員額限制</w:t>
      </w:r>
      <w:r w:rsidRPr="00C77E77">
        <w:rPr>
          <w:rFonts w:ascii="Times New Roman" w:eastAsia="標楷體" w:hAnsi="Times New Roman" w:cs="Times New Roman"/>
          <w:sz w:val="28"/>
          <w:szCs w:val="28"/>
        </w:rPr>
        <w:t xml:space="preserve"> (4) </w:t>
      </w:r>
      <w:r w:rsidRPr="00C77E77">
        <w:rPr>
          <w:rFonts w:ascii="Times New Roman" w:eastAsia="標楷體" w:hAnsi="Times New Roman" w:cs="Times New Roman"/>
          <w:sz w:val="28"/>
          <w:szCs w:val="28"/>
        </w:rPr>
        <w:t>稅法</w:t>
      </w:r>
      <w:r w:rsidRPr="00C77E77">
        <w:rPr>
          <w:rFonts w:ascii="Times New Roman" w:eastAsia="標楷體" w:hAnsi="Times New Roman" w:cs="Times New Roman"/>
          <w:sz w:val="28"/>
          <w:szCs w:val="28"/>
        </w:rPr>
        <w:t xml:space="preserve"> (5) </w:t>
      </w:r>
      <w:r w:rsidRPr="00C77E77">
        <w:rPr>
          <w:rFonts w:ascii="Times New Roman" w:eastAsia="標楷體" w:hAnsi="Times New Roman" w:cs="Times New Roman"/>
          <w:sz w:val="28"/>
          <w:szCs w:val="28"/>
        </w:rPr>
        <w:t>社會保險</w:t>
      </w:r>
      <w:r w:rsidRPr="00C77E77">
        <w:rPr>
          <w:rFonts w:ascii="Times New Roman" w:eastAsia="標楷體" w:hAnsi="Times New Roman" w:cs="Times New Roman"/>
          <w:sz w:val="28"/>
          <w:szCs w:val="28"/>
        </w:rPr>
        <w:t xml:space="preserve"> (6) </w:t>
      </w:r>
      <w:r w:rsidRPr="00C77E77">
        <w:rPr>
          <w:rFonts w:ascii="Times New Roman" w:eastAsia="標楷體" w:hAnsi="Times New Roman" w:cs="Times New Roman"/>
          <w:sz w:val="28"/>
          <w:szCs w:val="28"/>
        </w:rPr>
        <w:t>加班工時</w:t>
      </w:r>
      <w:r w:rsidRPr="00C77E77">
        <w:rPr>
          <w:rFonts w:ascii="Times New Roman" w:eastAsia="標楷體" w:hAnsi="Times New Roman" w:cs="Times New Roman"/>
          <w:sz w:val="28"/>
          <w:szCs w:val="28"/>
        </w:rPr>
        <w:t xml:space="preserve"> (7)</w:t>
      </w:r>
      <w:r w:rsidRPr="00C77E77">
        <w:rPr>
          <w:rFonts w:ascii="Times New Roman" w:eastAsia="標楷體" w:hAnsi="Times New Roman" w:cs="Times New Roman"/>
          <w:sz w:val="28"/>
          <w:szCs w:val="28"/>
        </w:rPr>
        <w:t>人才培育</w:t>
      </w:r>
      <w:r w:rsidRPr="00C77E77">
        <w:rPr>
          <w:rFonts w:ascii="Times New Roman" w:eastAsia="標楷體" w:hAnsi="Times New Roman" w:cs="Times New Roman"/>
          <w:sz w:val="28"/>
          <w:szCs w:val="28"/>
        </w:rPr>
        <w:t xml:space="preserve"> (8) 2018</w:t>
      </w:r>
      <w:r w:rsidRPr="00C77E77">
        <w:rPr>
          <w:rFonts w:ascii="Times New Roman" w:eastAsia="標楷體" w:hAnsi="Times New Roman" w:cs="Times New Roman"/>
          <w:sz w:val="28"/>
          <w:szCs w:val="28"/>
        </w:rPr>
        <w:t>年全薪投保。</w:t>
      </w:r>
    </w:p>
    <w:p w:rsidR="009C20E3" w:rsidRPr="00C77E77" w:rsidRDefault="00FD0D5A"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灣的各部會在考察新南向政策的時候，完全沒有去找相對應的越南政府部會，只會來找</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商。例如推新農業，</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灣的農科會應該要找到越南的農業局、平陽省書記等相關人士，直接談契作方式、技術傳授等細節，甚至直接砸錢拿到平陽省某部分的農業訂單。</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商能協助的，是在這個過程中協助出面邀請越南官員。</w:t>
      </w:r>
    </w:p>
    <w:p w:rsidR="009C20E3" w:rsidRPr="00C77E77" w:rsidRDefault="00056A67"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建議外館要有更多的資金、技術、人才，才有能</w:t>
      </w:r>
      <w:r w:rsidR="009C20E3" w:rsidRPr="00C77E77">
        <w:rPr>
          <w:rFonts w:ascii="Times New Roman" w:eastAsia="標楷體" w:hAnsi="Times New Roman" w:cs="Times New Roman"/>
          <w:sz w:val="28"/>
          <w:szCs w:val="28"/>
        </w:rPr>
        <w:t>力辦事。</w:t>
      </w:r>
    </w:p>
    <w:p w:rsidR="009C20E3" w:rsidRPr="00C77E77" w:rsidRDefault="009C20E3"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建議在當地另外設立一個權責機構：「南向辦公室越南分部」，這樣才會有亮點。</w:t>
      </w:r>
      <w:r w:rsidR="00056A67" w:rsidRPr="00C77E77">
        <w:rPr>
          <w:rFonts w:ascii="Times New Roman" w:eastAsia="標楷體" w:hAnsi="Times New Roman" w:cs="Times New Roman"/>
          <w:sz w:val="28"/>
          <w:szCs w:val="28"/>
        </w:rPr>
        <w:t>同時</w:t>
      </w:r>
      <w:r w:rsidRPr="00C77E77">
        <w:rPr>
          <w:rFonts w:ascii="Times New Roman" w:eastAsia="標楷體" w:hAnsi="Times New Roman" w:cs="Times New Roman"/>
          <w:sz w:val="28"/>
          <w:szCs w:val="28"/>
        </w:rPr>
        <w:t>成立統一的新聞中心，爭取在越南媒體的曝光機會，包裝行銷</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灣在當地的善行跟義舉；並深入瞭解海外的法規，協助</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商處理問題。</w:t>
      </w:r>
    </w:p>
    <w:p w:rsidR="009C20E3" w:rsidRPr="00C77E77" w:rsidRDefault="009C20E3"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政府似乎忽略了製造業其實是</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商最具競爭力的部分，應把現有的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商穩固好，學習德國、日本，給予服務業與製造業同樣的尊重。日本職人的精神跟技術是建立在嚴謹的</w:t>
      </w:r>
      <w:r w:rsidRPr="00C77E77">
        <w:rPr>
          <w:rFonts w:ascii="Times New Roman" w:eastAsia="標楷體" w:hAnsi="Times New Roman" w:cs="Times New Roman"/>
          <w:sz w:val="28"/>
          <w:szCs w:val="28"/>
        </w:rPr>
        <w:t>SOP</w:t>
      </w:r>
      <w:r w:rsidRPr="00C77E77">
        <w:rPr>
          <w:rFonts w:ascii="Times New Roman" w:eastAsia="標楷體" w:hAnsi="Times New Roman" w:cs="Times New Roman"/>
          <w:sz w:val="28"/>
          <w:szCs w:val="28"/>
        </w:rPr>
        <w:t>上，代代相傳不會流失。德國更是明白宣示「藍領不會低於白領」。</w:t>
      </w:r>
    </w:p>
    <w:p w:rsidR="009C20E3" w:rsidRPr="00C77E77" w:rsidRDefault="00FD0D5A"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媒體跟政府的報導太膚淺，用半個小時介紹十個國家，每個都蜻蜓點水。應該要從一國一產業詳細介紹做起，例如用兩個小時介紹越南的家具業，從開始投入、成功個案追蹤、失敗個案的對照仔細報導，然後再慢慢增加。</w:t>
      </w:r>
    </w:p>
    <w:p w:rsidR="009C20E3" w:rsidRPr="00C77E77" w:rsidRDefault="00FD0D5A" w:rsidP="0001327A">
      <w:pPr>
        <w:pStyle w:val="ab"/>
        <w:numPr>
          <w:ilvl w:val="0"/>
          <w:numId w:val="105"/>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商學校攸關國際形象，胡志明市</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商學校遲遲沒有翻新，因為宿舍</w:t>
      </w:r>
      <w:r w:rsidR="009C20E3" w:rsidRPr="00C77E77">
        <w:rPr>
          <w:rFonts w:ascii="Times New Roman" w:eastAsia="標楷體" w:hAnsi="Times New Roman" w:cs="Times New Roman"/>
          <w:sz w:val="28"/>
          <w:szCs w:val="28"/>
        </w:rPr>
        <w:lastRenderedPageBreak/>
        <w:t>建照拿不出來，學校師資又差，在一堆國際學校裡面顯得灰頭土臉。政府應該要收掉那些已經沒有什麼學生就讀的</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校，像是檳城，把資源撥到胡志明</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校，設法進行改善。</w:t>
      </w:r>
    </w:p>
    <w:p w:rsidR="009C20E3" w:rsidRPr="00C77E77" w:rsidRDefault="009C20E3" w:rsidP="0001327A">
      <w:pPr>
        <w:pStyle w:val="ab"/>
        <w:numPr>
          <w:ilvl w:val="0"/>
          <w:numId w:val="10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結合產、官、學</w:t>
      </w:r>
    </w:p>
    <w:p w:rsidR="009C20E3" w:rsidRPr="00C77E77" w:rsidRDefault="009C20E3" w:rsidP="0001327A">
      <w:pPr>
        <w:pStyle w:val="ab"/>
        <w:numPr>
          <w:ilvl w:val="0"/>
          <w:numId w:val="10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加速建立東南亞智庫。日本、韓國、德國等在進行海外投資以前，都會有一群智庫先行調查研究，成員包括銀行、律師、會計師等。然而，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灣只有僑委會每個月撥款</w:t>
      </w:r>
      <w:r w:rsidRPr="00C77E77">
        <w:rPr>
          <w:rFonts w:ascii="Times New Roman" w:eastAsia="標楷體" w:hAnsi="Times New Roman" w:cs="Times New Roman"/>
          <w:sz w:val="28"/>
          <w:szCs w:val="28"/>
        </w:rPr>
        <w:t>1,000</w:t>
      </w:r>
      <w:r w:rsidRPr="00C77E77">
        <w:rPr>
          <w:rFonts w:ascii="Times New Roman" w:eastAsia="標楷體" w:hAnsi="Times New Roman" w:cs="Times New Roman"/>
          <w:sz w:val="28"/>
          <w:szCs w:val="28"/>
        </w:rPr>
        <w:t>美金設計問卷調查當地狀況，完全不敷使用。越南</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商目前最需要的律師跟會計師，而緬甸之類的未來潛在性國家，一定要智庫提早</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年就去調查，不要等到政策要推行了才急就章，那樣絕對來不及。</w:t>
      </w:r>
    </w:p>
    <w:p w:rsidR="009C20E3" w:rsidRPr="00C77E77" w:rsidRDefault="009C20E3" w:rsidP="0001327A">
      <w:pPr>
        <w:pStyle w:val="ab"/>
        <w:numPr>
          <w:ilvl w:val="0"/>
          <w:numId w:val="10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研究智庫要能夠駐點在當地。可以彙整外國大型銀行的調查報告、蒐集法律跟會計相關資訊、分析越南書店的公開資料等，然後再去跟</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商做</w:t>
      </w:r>
      <w:r w:rsidRPr="00C77E77">
        <w:rPr>
          <w:rFonts w:ascii="Times New Roman" w:eastAsia="標楷體" w:hAnsi="Times New Roman" w:cs="Times New Roman"/>
          <w:sz w:val="28"/>
          <w:szCs w:val="28"/>
        </w:rPr>
        <w:t>double check</w:t>
      </w:r>
      <w:r w:rsidRPr="00C77E77">
        <w:rPr>
          <w:rFonts w:ascii="Times New Roman" w:eastAsia="標楷體" w:hAnsi="Times New Roman" w:cs="Times New Roman"/>
          <w:sz w:val="28"/>
          <w:szCs w:val="28"/>
        </w:rPr>
        <w:t>，甚至利用高雄市政府或高雄同鄉會的組織力量，就可以逐步建立自己的</w:t>
      </w:r>
      <w:r w:rsidRPr="00C77E77">
        <w:rPr>
          <w:rFonts w:ascii="Times New Roman" w:eastAsia="標楷體" w:hAnsi="Times New Roman" w:cs="Times New Roman"/>
          <w:sz w:val="28"/>
          <w:szCs w:val="28"/>
        </w:rPr>
        <w:t>data base</w:t>
      </w:r>
      <w:r w:rsidRPr="00C77E77">
        <w:rPr>
          <w:rFonts w:ascii="Times New Roman" w:eastAsia="標楷體" w:hAnsi="Times New Roman" w:cs="Times New Roman"/>
          <w:sz w:val="28"/>
          <w:szCs w:val="28"/>
        </w:rPr>
        <w:t>，然後越挖越深，真正達到有效的產學結合。</w:t>
      </w:r>
    </w:p>
    <w:p w:rsidR="009C20E3" w:rsidRPr="00C77E77" w:rsidRDefault="00FD0D5A" w:rsidP="0001327A">
      <w:pPr>
        <w:pStyle w:val="ab"/>
        <w:numPr>
          <w:ilvl w:val="0"/>
          <w:numId w:val="10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灣商會都是無給職、義務性的，目前很多單位都是為了消化預算過來訪談，回去報告交了以後，承辦人就把報告束之高閣，無法累積成果。建議政府應協助</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灣商會變成像美國商會一樣具有影響力的組織，例如：撥經費到</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灣商會，讓商會可以跟智庫、亞總等單位合作進行長期的研究。也建議智庫多邀請</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商會的人到研究中心座談、演講，分享經驗。</w:t>
      </w:r>
    </w:p>
    <w:p w:rsidR="009C20E3" w:rsidRPr="00C77E77" w:rsidRDefault="009C20E3" w:rsidP="0001327A">
      <w:pPr>
        <w:pStyle w:val="ab"/>
        <w:numPr>
          <w:ilvl w:val="0"/>
          <w:numId w:val="104"/>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智庫協助企業建立好的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灣形象。</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商若想打入內銷，其通路、企業形象、社會責任、品質控管、品牌知名度、提升附加價值</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等，就非常重要。</w:t>
      </w:r>
    </w:p>
    <w:p w:rsidR="009C20E3" w:rsidRPr="00C77E77" w:rsidRDefault="009C20E3" w:rsidP="0001327A">
      <w:pPr>
        <w:pStyle w:val="ab"/>
        <w:numPr>
          <w:ilvl w:val="0"/>
          <w:numId w:val="101"/>
        </w:numPr>
        <w:spacing w:beforeLines="50" w:before="180" w:afterLines="50" w:after="18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人才培育</w:t>
      </w:r>
    </w:p>
    <w:p w:rsidR="009C20E3" w:rsidRPr="00C77E77" w:rsidRDefault="009C20E3" w:rsidP="0001327A">
      <w:pPr>
        <w:pStyle w:val="ab"/>
        <w:numPr>
          <w:ilvl w:val="2"/>
          <w:numId w:val="101"/>
        </w:numPr>
        <w:spacing w:beforeLines="50" w:before="180" w:afterLines="50" w:after="180" w:line="500" w:lineRule="exact"/>
        <w:ind w:leftChars="0" w:left="426" w:hanging="19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新住民第二代有可能在兩地都是強勢，也有可能在兩地都是弱勢，政府跟企業不能把血緣當作是人才的必要條件，因為真正重要的還是在於本身能力的高低。現在越南的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商小學也有七成是越南媽媽，但是如果第</w:t>
      </w:r>
      <w:r w:rsidRPr="00C77E77">
        <w:rPr>
          <w:rFonts w:ascii="Times New Roman" w:eastAsia="標楷體" w:hAnsi="Times New Roman" w:cs="Times New Roman"/>
          <w:sz w:val="28"/>
          <w:szCs w:val="28"/>
        </w:rPr>
        <w:lastRenderedPageBreak/>
        <w:t>二代的中文跟越文都不夠好，為什麼要用他？同樣的邏輯也可以拿來思考留學生的問題，越南的一流人才很少會到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灣留學，他們拿著</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灣文憑過來應徵，結果什麼都不會，完全顯示出</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灣教育的失敗。政府要思考的是如何讓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灣變成亞洲教育的首選，而不是擔心後段的學校被淘汰所以一直出手相救，這樣才能真正作到人才培育。</w:t>
      </w:r>
    </w:p>
    <w:p w:rsidR="009C20E3" w:rsidRPr="00C77E77" w:rsidRDefault="00FD0D5A" w:rsidP="0001327A">
      <w:pPr>
        <w:pStyle w:val="ab"/>
        <w:numPr>
          <w:ilvl w:val="2"/>
          <w:numId w:val="101"/>
        </w:numPr>
        <w:spacing w:beforeLines="50" w:before="180" w:afterLines="50" w:after="180" w:line="500" w:lineRule="exact"/>
        <w:ind w:leftChars="0" w:left="426" w:hanging="19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灣政府的新住民計畫，大多是慈善性質，距離提升國家的競爭力還差太遠。實力才是人才的重點，例如</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商需要的英文、越文、中文人才，這裡很多越南華人跟留學生都比</w:t>
      </w:r>
      <w:r w:rsidRPr="00C77E77">
        <w:rPr>
          <w:rFonts w:ascii="Times New Roman" w:eastAsia="標楷體" w:hAnsi="Times New Roman" w:cs="Times New Roman"/>
          <w:sz w:val="28"/>
          <w:szCs w:val="28"/>
        </w:rPr>
        <w:t>臺</w:t>
      </w:r>
      <w:r w:rsidR="009C20E3" w:rsidRPr="00C77E77">
        <w:rPr>
          <w:rFonts w:ascii="Times New Roman" w:eastAsia="標楷體" w:hAnsi="Times New Roman" w:cs="Times New Roman"/>
          <w:sz w:val="28"/>
          <w:szCs w:val="28"/>
        </w:rPr>
        <w:t>灣的新住民第二代還要優秀。</w:t>
      </w:r>
    </w:p>
    <w:p w:rsidR="009C20E3" w:rsidRPr="00C77E77" w:rsidRDefault="009C20E3" w:rsidP="0001327A">
      <w:pPr>
        <w:pStyle w:val="ab"/>
        <w:numPr>
          <w:ilvl w:val="2"/>
          <w:numId w:val="101"/>
        </w:numPr>
        <w:spacing w:beforeLines="50" w:before="180" w:afterLines="50" w:after="180" w:line="500" w:lineRule="exact"/>
        <w:ind w:leftChars="0" w:left="426" w:hanging="19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老的、在地的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多是白手起家的製造業者，本身是技術出身，學歷可能不夠高，但有紮實的實務基礎。他們到了越南以後都轉做管理職，政府應該協助他們進修，提升文憑、學歷、管理觀念的教育，這樣不只企業競爭力會更好，也能更有效的帶領年輕員工，避免前輩跟後輩之間的相怨。</w:t>
      </w:r>
    </w:p>
    <w:p w:rsidR="009C20E3" w:rsidRPr="00C77E77" w:rsidRDefault="009C20E3" w:rsidP="0001327A">
      <w:pPr>
        <w:pStyle w:val="ab"/>
        <w:numPr>
          <w:ilvl w:val="2"/>
          <w:numId w:val="101"/>
        </w:numPr>
        <w:spacing w:beforeLines="50" w:before="180" w:afterLines="50" w:after="180" w:line="500" w:lineRule="exact"/>
        <w:ind w:leftChars="0" w:left="426" w:hanging="19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促進師資在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灣本土與海外的流動。海外</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商有進修的需求，同時</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商第二代的接班問題跟教育訓練也迫在眉睫。然而，</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灣本土的教師卻嚴重過剩，一堆博士跟老師找不到工作。政府應該採取補助或專案，把這些教師吸引到海外從事教育工作。</w:t>
      </w:r>
    </w:p>
    <w:p w:rsidR="009C20E3" w:rsidRPr="00C77E77" w:rsidRDefault="009C20E3" w:rsidP="0001327A">
      <w:pPr>
        <w:pStyle w:val="ab"/>
        <w:numPr>
          <w:ilvl w:val="2"/>
          <w:numId w:val="101"/>
        </w:numPr>
        <w:spacing w:beforeLines="50" w:before="180" w:afterLines="50" w:after="180" w:line="500" w:lineRule="exact"/>
        <w:ind w:leftChars="0" w:left="426" w:hanging="19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目前只有高雄市政府提供經費，讓</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商委託高雄空大開放給在同奈的</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商進行海外學習（已計畫未來在胡志明市跟平陽也開分班）。不過仍然不夠，建議政府要開放學校的海外授課與認證，尤其是管理相關課程。</w:t>
      </w:r>
    </w:p>
    <w:p w:rsidR="00E77DD6" w:rsidRPr="00C77E77" w:rsidRDefault="009C20E3" w:rsidP="0001327A">
      <w:pPr>
        <w:pStyle w:val="ab"/>
        <w:numPr>
          <w:ilvl w:val="2"/>
          <w:numId w:val="101"/>
        </w:numPr>
        <w:spacing w:beforeLines="50" w:before="180" w:afterLines="50" w:after="180" w:line="500" w:lineRule="exact"/>
        <w:ind w:leftChars="0" w:left="426" w:hanging="19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建議</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灣的年輕人多到越南的日企、韓企工作，不見得一定要待在</w:t>
      </w:r>
      <w:r w:rsidR="00FD0D5A" w:rsidRPr="00C77E77">
        <w:rPr>
          <w:rFonts w:ascii="Times New Roman" w:eastAsia="標楷體" w:hAnsi="Times New Roman" w:cs="Times New Roman"/>
          <w:sz w:val="28"/>
          <w:szCs w:val="28"/>
        </w:rPr>
        <w:t>臺</w:t>
      </w:r>
      <w:r w:rsidRPr="00C77E77">
        <w:rPr>
          <w:rFonts w:ascii="Times New Roman" w:eastAsia="標楷體" w:hAnsi="Times New Roman" w:cs="Times New Roman"/>
          <w:sz w:val="28"/>
          <w:szCs w:val="28"/>
        </w:rPr>
        <w:t>企裡。因為透過國際競爭能夠提升實力，而且可以迴避政治上的敏感問題，結交各國友人。</w:t>
      </w:r>
    </w:p>
    <w:p w:rsidR="00E77DD6" w:rsidRPr="00C77E77" w:rsidRDefault="00E77DD6">
      <w:pPr>
        <w:widowControl/>
        <w:rPr>
          <w:rFonts w:ascii="Times New Roman" w:eastAsia="標楷體" w:hAnsi="Times New Roman" w:cs="Times New Roman"/>
          <w:sz w:val="28"/>
          <w:szCs w:val="28"/>
        </w:rPr>
      </w:pPr>
      <w:r w:rsidRPr="00C77E77">
        <w:rPr>
          <w:rFonts w:ascii="Times New Roman" w:eastAsia="標楷體" w:hAnsi="Times New Roman" w:cs="Times New Roman"/>
          <w:sz w:val="28"/>
          <w:szCs w:val="28"/>
        </w:rPr>
        <w:br w:type="page"/>
      </w:r>
    </w:p>
    <w:p w:rsidR="009C20E3" w:rsidRPr="00C77E77" w:rsidRDefault="009A1102" w:rsidP="00BB2B2A">
      <w:pPr>
        <w:pStyle w:val="1"/>
        <w:rPr>
          <w:rFonts w:ascii="Times New Roman" w:eastAsia="標楷體" w:hAnsi="Times New Roman" w:cs="Times New Roman"/>
          <w:sz w:val="31"/>
          <w:szCs w:val="31"/>
        </w:rPr>
      </w:pPr>
      <w:bookmarkStart w:id="228" w:name="_Toc470676339"/>
      <w:r w:rsidRPr="00C77E77">
        <w:rPr>
          <w:rFonts w:ascii="Times New Roman" w:eastAsia="標楷體" w:hAnsi="Times New Roman" w:cs="Times New Roman"/>
          <w:sz w:val="31"/>
          <w:szCs w:val="31"/>
        </w:rPr>
        <w:lastRenderedPageBreak/>
        <w:t>附錄十二</w:t>
      </w:r>
      <w:r w:rsidR="00BB2B2A" w:rsidRPr="00C77E77">
        <w:rPr>
          <w:rFonts w:ascii="Times New Roman" w:eastAsia="標楷體" w:hAnsi="Times New Roman" w:cs="Times New Roman"/>
          <w:sz w:val="31"/>
          <w:szCs w:val="31"/>
        </w:rPr>
        <w:t>：「中國大陸一帶一路對新南向政策之影響」建議報告書</w:t>
      </w:r>
      <w:bookmarkEnd w:id="228"/>
    </w:p>
    <w:p w:rsidR="00E77DD6" w:rsidRPr="00C77E77" w:rsidRDefault="00E77DD6" w:rsidP="00BB2B2A">
      <w:pPr>
        <w:pStyle w:val="Web"/>
        <w:spacing w:beforeLines="50" w:before="180" w:beforeAutospacing="0" w:afterLines="50" w:after="180" w:afterAutospacing="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中國大陸總書記習近平於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28</w:t>
      </w:r>
      <w:r w:rsidRPr="00C77E77">
        <w:rPr>
          <w:rFonts w:ascii="Times New Roman" w:eastAsia="標楷體" w:hAnsi="Times New Roman" w:cs="Times New Roman"/>
          <w:sz w:val="28"/>
          <w:szCs w:val="28"/>
        </w:rPr>
        <w:t>日透過國家發展改革委員會、外交部、商務部聯合發佈「推動共建絲綢之路經濟帶和</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世紀海上絲綢之路的願景與行動」（以下簡稱「一帶一路」）的新戰略構想，其中絲綢之路經濟帶將打通歐亞非大陸屏障，而</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則希望從中國大陸沿海出發，分別延伸至印度洋及南太平洋。由於「一帶一路」策略中的海上絲綢經濟帶與東南亞國家息息相關，勢將影響我國推動之「新南向政策」。對此，本政策建議報告依序說明中國大陸「一帶一路」與我新南向政策之問題分析與影響評估，最後提出</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個方向之政策建議以供參考。</w:t>
      </w:r>
    </w:p>
    <w:p w:rsidR="00E77DD6" w:rsidRPr="00C77E77" w:rsidRDefault="00E77DD6" w:rsidP="00BB2B2A">
      <w:pPr>
        <w:pStyle w:val="Web"/>
        <w:spacing w:beforeLines="50" w:before="180" w:beforeAutospacing="0" w:afterLines="50" w:after="180" w:afterAutospacing="0" w:line="500" w:lineRule="exact"/>
        <w:jc w:val="both"/>
        <w:rPr>
          <w:rFonts w:ascii="Times New Roman" w:eastAsia="標楷體" w:hAnsi="Times New Roman" w:cs="Times New Roman"/>
          <w:b/>
          <w:sz w:val="28"/>
          <w:szCs w:val="28"/>
        </w:rPr>
      </w:pPr>
      <w:bookmarkStart w:id="229" w:name="_Toc463023903"/>
      <w:r w:rsidRPr="00C77E77">
        <w:rPr>
          <w:rFonts w:ascii="Times New Roman" w:eastAsia="標楷體" w:hAnsi="Times New Roman" w:cs="Times New Roman"/>
          <w:b/>
          <w:sz w:val="28"/>
          <w:szCs w:val="28"/>
        </w:rPr>
        <w:t>一、問題分析</w:t>
      </w:r>
      <w:bookmarkEnd w:id="229"/>
    </w:p>
    <w:p w:rsidR="00E77DD6" w:rsidRPr="00C77E77" w:rsidRDefault="00E77DD6" w:rsidP="00BB2B2A">
      <w:pPr>
        <w:pStyle w:val="Web"/>
        <w:spacing w:beforeLines="50" w:before="180" w:beforeAutospacing="0" w:afterLines="50" w:after="180" w:afterAutospacing="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當今全球各主要經濟強國爭相推動區域經濟整合之際，「一帶一路」已寫入《中共中央關於制定國民經濟和社會發展第十三個五年規劃的建議》，成為中國大陸未來「十三五時期」的區域經濟整合大戰略。以下分析「一帶一路」政策內容以及與我新南向政策之關聯性。</w:t>
      </w:r>
    </w:p>
    <w:p w:rsidR="00E77DD6" w:rsidRPr="00C77E77" w:rsidRDefault="00E77DD6" w:rsidP="00BB2B2A">
      <w:pPr>
        <w:pStyle w:val="Web"/>
        <w:spacing w:beforeLines="50" w:before="180" w:beforeAutospacing="0" w:afterLines="50" w:after="180" w:afterAutospacing="0" w:line="500" w:lineRule="exact"/>
        <w:jc w:val="both"/>
        <w:rPr>
          <w:rFonts w:ascii="Times New Roman" w:eastAsia="標楷體" w:hAnsi="Times New Roman" w:cs="Times New Roman"/>
          <w:b/>
          <w:sz w:val="28"/>
          <w:szCs w:val="28"/>
        </w:rPr>
      </w:pPr>
      <w:bookmarkStart w:id="230" w:name="_Toc463023904"/>
      <w:r w:rsidRPr="00C77E77">
        <w:rPr>
          <w:rFonts w:ascii="Times New Roman" w:eastAsia="標楷體" w:hAnsi="Times New Roman" w:cs="Times New Roman"/>
          <w:b/>
          <w:sz w:val="28"/>
          <w:szCs w:val="28"/>
        </w:rPr>
        <w:t>（一）中國大陸「一帶一路」政策之內容分析</w:t>
      </w:r>
      <w:bookmarkEnd w:id="230"/>
    </w:p>
    <w:p w:rsidR="00E77DD6" w:rsidRPr="00C77E77" w:rsidRDefault="00E77DD6" w:rsidP="00BB2B2A">
      <w:pPr>
        <w:pStyle w:val="Web"/>
        <w:spacing w:beforeLines="50" w:before="180" w:beforeAutospacing="0" w:afterLines="50" w:after="180" w:afterAutospacing="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中國大陸於</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年提出「一帶一路」策略，並於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28</w:t>
      </w:r>
      <w:r w:rsidRPr="00C77E77">
        <w:rPr>
          <w:rFonts w:ascii="Times New Roman" w:eastAsia="標楷體" w:hAnsi="Times New Roman" w:cs="Times New Roman"/>
          <w:sz w:val="28"/>
          <w:szCs w:val="28"/>
        </w:rPr>
        <w:t>日公佈《推動共建絲綢之路經濟帶和</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世紀海上絲綢之路的願景與行動》，正式發布「一帶一路」路線圖。希望透過絲綢之路經濟帶及</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以政策溝通、設施聯通、貿易暢通、資金融通、民心相通五大內容，貫穿亞歐非大陸，透過加強中國大陸與沿線國家合作，發展內陸沿線發展，建構連結東亞經濟圈及歐洲經濟圈的新陸權時代。</w:t>
      </w:r>
    </w:p>
    <w:p w:rsidR="00E77DD6" w:rsidRPr="00C77E77" w:rsidRDefault="00E77DD6" w:rsidP="00BB2B2A">
      <w:pPr>
        <w:pStyle w:val="Web"/>
        <w:spacing w:beforeLines="50" w:before="180" w:beforeAutospacing="0" w:afterLines="50" w:after="180" w:afterAutospacing="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「一帶一路」路線圖乃是由中國大陸輻射貫穿歐亞非大陸之規劃，包括「絲綢之路經濟帶」及「</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世紀海上絲綢之路」。「絲綢之路經濟帶」包括三大路線，路線一是經過中亞及俄羅斯，到達歐洲（波羅的海）；路線二是</w:t>
      </w:r>
      <w:r w:rsidRPr="00C77E77">
        <w:rPr>
          <w:rFonts w:ascii="Times New Roman" w:eastAsia="標楷體" w:hAnsi="Times New Roman" w:cs="Times New Roman"/>
          <w:sz w:val="28"/>
          <w:szCs w:val="28"/>
        </w:rPr>
        <w:lastRenderedPageBreak/>
        <w:t>經中亞、西亞，到達波斯灣及地中海；路線三則是往東南亞、南亞、印度洋；「</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世紀海上絲綢之路」則分兩路，從中國大陸沿海港口過南海後，路線一到印度洋再延伸至歐洲，路線二則延伸至南太平洋。</w:t>
      </w:r>
    </w:p>
    <w:p w:rsidR="00E77DD6" w:rsidRPr="00C77E77" w:rsidRDefault="00DB4FEF" w:rsidP="00BB2B2A">
      <w:pPr>
        <w:pStyle w:val="Web"/>
        <w:spacing w:beforeLines="50" w:before="180" w:beforeAutospacing="0" w:afterLines="50" w:after="180" w:afterAutospacing="0" w:line="500" w:lineRule="exact"/>
        <w:ind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4pt;margin-top:110.5pt;width:459pt;height:342.75pt;z-index:251661312" wrapcoords="-35 0 -35 21553 21600 21553 21600 0 -35 0">
            <v:imagedata r:id="rId175" o:title=""/>
            <w10:wrap type="tight"/>
          </v:shape>
          <o:OLEObject Type="Embed" ProgID="PBrush" ShapeID="_x0000_s1030" DrawAspect="Content" ObjectID="_1544418445" r:id="rId176"/>
        </w:object>
      </w:r>
      <w:r w:rsidR="00E77DD6" w:rsidRPr="00C77E77">
        <w:rPr>
          <w:rFonts w:ascii="Times New Roman" w:eastAsia="標楷體" w:hAnsi="Times New Roman" w:cs="Times New Roman"/>
          <w:sz w:val="28"/>
          <w:szCs w:val="28"/>
        </w:rPr>
        <w:t>「一帶一路」東接亞太經濟圈，西進歐洲經濟圈，沿途連通中亞、東南亞、南亞、西亞和東非等</w:t>
      </w:r>
      <w:r w:rsidR="00E77DD6" w:rsidRPr="00C77E77">
        <w:rPr>
          <w:rFonts w:ascii="Times New Roman" w:eastAsia="標楷體" w:hAnsi="Times New Roman" w:cs="Times New Roman"/>
          <w:sz w:val="28"/>
          <w:szCs w:val="28"/>
        </w:rPr>
        <w:t>64</w:t>
      </w:r>
      <w:r w:rsidR="00E77DD6" w:rsidRPr="00C77E77">
        <w:rPr>
          <w:rFonts w:ascii="Times New Roman" w:eastAsia="標楷體" w:hAnsi="Times New Roman" w:cs="Times New Roman"/>
          <w:sz w:val="28"/>
          <w:szCs w:val="28"/>
        </w:rPr>
        <w:t>個國家。沿線大多是新興經濟體和發展中國家，目前總人口約</w:t>
      </w:r>
      <w:r w:rsidR="00E77DD6" w:rsidRPr="00C77E77">
        <w:rPr>
          <w:rFonts w:ascii="Times New Roman" w:eastAsia="標楷體" w:hAnsi="Times New Roman" w:cs="Times New Roman"/>
          <w:sz w:val="28"/>
          <w:szCs w:val="28"/>
        </w:rPr>
        <w:t>44</w:t>
      </w:r>
      <w:r w:rsidR="00E77DD6" w:rsidRPr="00C77E77">
        <w:rPr>
          <w:rFonts w:ascii="Times New Roman" w:eastAsia="標楷體" w:hAnsi="Times New Roman" w:cs="Times New Roman"/>
          <w:sz w:val="28"/>
          <w:szCs w:val="28"/>
        </w:rPr>
        <w:t>億人，經濟總量約</w:t>
      </w:r>
      <w:r w:rsidR="00E77DD6" w:rsidRPr="00C77E77">
        <w:rPr>
          <w:rFonts w:ascii="Times New Roman" w:eastAsia="標楷體" w:hAnsi="Times New Roman" w:cs="Times New Roman"/>
          <w:sz w:val="28"/>
          <w:szCs w:val="28"/>
        </w:rPr>
        <w:t>21</w:t>
      </w:r>
      <w:r w:rsidR="00E77DD6" w:rsidRPr="00C77E77">
        <w:rPr>
          <w:rFonts w:ascii="Times New Roman" w:eastAsia="標楷體" w:hAnsi="Times New Roman" w:cs="Times New Roman"/>
          <w:sz w:val="28"/>
          <w:szCs w:val="28"/>
        </w:rPr>
        <w:t>萬億美元。「一帶一路」路線圖如下圖</w:t>
      </w:r>
      <w:r w:rsidR="00E77DD6" w:rsidRPr="00C77E77">
        <w:rPr>
          <w:rFonts w:ascii="Times New Roman" w:eastAsia="標楷體" w:hAnsi="Times New Roman" w:cs="Times New Roman"/>
          <w:sz w:val="28"/>
          <w:szCs w:val="28"/>
        </w:rPr>
        <w:t>1</w:t>
      </w:r>
      <w:r w:rsidR="00E77DD6" w:rsidRPr="00C77E77">
        <w:rPr>
          <w:rFonts w:ascii="Times New Roman" w:eastAsia="標楷體" w:hAnsi="Times New Roman" w:cs="Times New Roman"/>
          <w:sz w:val="28"/>
          <w:szCs w:val="28"/>
        </w:rPr>
        <w:t>所示。</w:t>
      </w:r>
    </w:p>
    <w:p w:rsidR="00E77DD6" w:rsidRPr="00C77E77" w:rsidRDefault="00E77DD6" w:rsidP="00BB2B2A">
      <w:pPr>
        <w:pStyle w:val="Web"/>
        <w:spacing w:beforeLines="50" w:before="180" w:beforeAutospacing="0" w:afterLines="50" w:after="180" w:afterAutospacing="0" w:line="500" w:lineRule="exact"/>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圖</w:t>
      </w:r>
      <w:r w:rsidRPr="00C77E77">
        <w:rPr>
          <w:rFonts w:ascii="Times New Roman" w:eastAsia="標楷體" w:hAnsi="Times New Roman" w:cs="Times New Roman"/>
          <w:b/>
          <w:sz w:val="28"/>
          <w:szCs w:val="28"/>
        </w:rPr>
        <w:t>1</w:t>
      </w:r>
      <w:r w:rsidRPr="00C77E77">
        <w:rPr>
          <w:rFonts w:ascii="Times New Roman" w:eastAsia="標楷體" w:hAnsi="Times New Roman" w:cs="Times New Roman"/>
          <w:b/>
          <w:sz w:val="28"/>
          <w:szCs w:val="28"/>
        </w:rPr>
        <w:t xml:space="preserve">　「一帶一路」路線圖</w:t>
      </w:r>
    </w:p>
    <w:p w:rsidR="00E77DD6" w:rsidRPr="00C77E77" w:rsidRDefault="00E77DD6" w:rsidP="00BB2B2A">
      <w:pPr>
        <w:pStyle w:val="Web"/>
        <w:spacing w:before="50" w:beforeAutospacing="0" w:after="50" w:afterAutospacing="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資料來源：鉅亨網</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「一帶一路」倡議亦已納入</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日公佈的《中共中央關於制定國民經濟和社會發展第十三個五年規劃的建議》（《十三五規劃建議稿》）之中，成為中國大陸</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至</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年經濟發展的重要推動項目之一。</w:t>
      </w:r>
      <w:r w:rsidRPr="00C77E77">
        <w:rPr>
          <w:rFonts w:ascii="Times New Roman" w:eastAsia="標楷體" w:hAnsi="Times New Roman" w:cs="Times New Roman"/>
          <w:sz w:val="28"/>
          <w:szCs w:val="28"/>
        </w:rPr>
        <w:lastRenderedPageBreak/>
        <w:t>《十三五規劃建議稿》更具體提出「一帶一路」路線圖未來五年重點工作，包括：第一，以共商共建共用原則，以企業為主體，推進基礎設施互聯互通和國際大通道建設，共同建設國際經濟合作走廊；第二，加強能源資源合作，提高就地加工轉化率；第三，共建境外產業集聚區，推動建立當地產業體系；第四，吸引國際資金共建開放多元共贏的金融合作平臺，包括加強與國際金融機構合作、參與亞洲基礎設施投資銀行、金磚國家新開發銀行建設、發揮絲路基金作用等。</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對於中國大陸內部而言，透過「十三五規劃」期間推動「一帶一路」，將可促進產業結構調整與轉型升級，並深化經濟體制改革，其內容包括：第一，透過在「一帶一路」建設，優化發展京津冀、長三角、珠三角三大城市群，支援綠色城市、智慧城市、森林城市建設和城際基礎設施互聯互通，並推動城鄉一體化。第二，實施重大公共設施和基礎設施工程，除完善水利、</w:t>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sz w:val="28"/>
          <w:szCs w:val="28"/>
        </w:rPr>
        <w:t>鐵路、公路、水運、民航、通用航空、管道、郵政等基礎設施網路及能源安全儲備制度之外，亦將加快電力、電信、交通、石油、天然氣、市政公用等民營化時程；第三，支持香港、澳門參與國家雙向開放「一帶一路」建設。</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對於國際面向方面，中國大陸試圖運用「一帶一路」戰略與相關國家進行所謂「政策溝通、設施聯通、貿易暢通、資金融通、民心相通」之「五通」聯繫，擴大中國大陸的國際市場及投資領域，並貫穿過去執行政策，例如：發揮上海合作組織（</w:t>
      </w:r>
      <w:r w:rsidRPr="00C77E77">
        <w:rPr>
          <w:rFonts w:ascii="Times New Roman" w:eastAsia="標楷體" w:hAnsi="Times New Roman" w:cs="Times New Roman"/>
          <w:sz w:val="28"/>
          <w:szCs w:val="28"/>
        </w:rPr>
        <w:t>SCO</w:t>
      </w:r>
      <w:r w:rsidRPr="00C77E77">
        <w:rPr>
          <w:rFonts w:ascii="Times New Roman" w:eastAsia="標楷體" w:hAnsi="Times New Roman" w:cs="Times New Roman"/>
          <w:sz w:val="28"/>
          <w:szCs w:val="28"/>
        </w:rPr>
        <w:t>）、中國</w:t>
      </w:r>
      <w:r w:rsidRPr="00C77E77">
        <w:rPr>
          <w:rFonts w:ascii="Times New Roman" w:hAnsi="Times New Roman" w:cs="Times New Roman"/>
          <w:sz w:val="28"/>
          <w:szCs w:val="28"/>
        </w:rPr>
        <w:t>─</w:t>
      </w:r>
      <w:r w:rsidRPr="00C77E77">
        <w:rPr>
          <w:rFonts w:ascii="Times New Roman" w:eastAsia="標楷體" w:hAnsi="Times New Roman" w:cs="Times New Roman"/>
          <w:sz w:val="28"/>
          <w:szCs w:val="28"/>
        </w:rPr>
        <w:t>東協「</w:t>
      </w:r>
      <w:r w:rsidRPr="00C77E77">
        <w:rPr>
          <w:rFonts w:ascii="Times New Roman" w:eastAsia="標楷體" w:hAnsi="Times New Roman" w:cs="Times New Roman"/>
          <w:sz w:val="28"/>
          <w:szCs w:val="28"/>
        </w:rPr>
        <w:t>10+1</w:t>
      </w:r>
      <w:r w:rsidRPr="00C77E77">
        <w:rPr>
          <w:rFonts w:ascii="Times New Roman" w:eastAsia="標楷體" w:hAnsi="Times New Roman" w:cs="Times New Roman"/>
          <w:sz w:val="28"/>
          <w:szCs w:val="28"/>
        </w:rPr>
        <w:t>」、亞太經合組織（</w:t>
      </w:r>
      <w:r w:rsidRPr="00C77E77">
        <w:rPr>
          <w:rFonts w:ascii="Times New Roman" w:eastAsia="標楷體" w:hAnsi="Times New Roman" w:cs="Times New Roman"/>
          <w:sz w:val="28"/>
          <w:szCs w:val="28"/>
        </w:rPr>
        <w:t>APEC</w:t>
      </w:r>
      <w:r w:rsidRPr="00C77E77">
        <w:rPr>
          <w:rFonts w:ascii="Times New Roman" w:eastAsia="標楷體" w:hAnsi="Times New Roman" w:cs="Times New Roman"/>
          <w:sz w:val="28"/>
          <w:szCs w:val="28"/>
        </w:rPr>
        <w:t>）、亞歐會議（</w:t>
      </w:r>
      <w:r w:rsidRPr="00C77E77">
        <w:rPr>
          <w:rFonts w:ascii="Times New Roman" w:eastAsia="標楷體" w:hAnsi="Times New Roman" w:cs="Times New Roman"/>
          <w:sz w:val="28"/>
          <w:szCs w:val="28"/>
        </w:rPr>
        <w:t>ASEM</w:t>
      </w:r>
      <w:r w:rsidRPr="00C77E77">
        <w:rPr>
          <w:rFonts w:ascii="Times New Roman" w:eastAsia="標楷體" w:hAnsi="Times New Roman" w:cs="Times New Roman"/>
          <w:sz w:val="28"/>
          <w:szCs w:val="28"/>
        </w:rPr>
        <w:t>）、亞洲合作對話（</w:t>
      </w:r>
      <w:r w:rsidRPr="00C77E77">
        <w:rPr>
          <w:rFonts w:ascii="Times New Roman" w:eastAsia="標楷體" w:hAnsi="Times New Roman" w:cs="Times New Roman"/>
          <w:sz w:val="28"/>
          <w:szCs w:val="28"/>
        </w:rPr>
        <w:t>ACD</w:t>
      </w:r>
      <w:r w:rsidRPr="00C77E77">
        <w:rPr>
          <w:rFonts w:ascii="Times New Roman" w:eastAsia="標楷體" w:hAnsi="Times New Roman" w:cs="Times New Roman"/>
          <w:sz w:val="28"/>
          <w:szCs w:val="28"/>
        </w:rPr>
        <w:t>）、亞信會議（</w:t>
      </w:r>
      <w:r w:rsidRPr="00C77E77">
        <w:rPr>
          <w:rFonts w:ascii="Times New Roman" w:eastAsia="標楷體" w:hAnsi="Times New Roman" w:cs="Times New Roman"/>
          <w:sz w:val="28"/>
          <w:szCs w:val="28"/>
        </w:rPr>
        <w:t>CICA</w:t>
      </w:r>
      <w:r w:rsidRPr="00C77E77">
        <w:rPr>
          <w:rFonts w:ascii="Times New Roman" w:eastAsia="標楷體" w:hAnsi="Times New Roman" w:cs="Times New Roman"/>
          <w:sz w:val="28"/>
          <w:szCs w:val="28"/>
        </w:rPr>
        <w:t>）、中阿合作論壇、中國－海合會戰略對話、大湄公河次區域（</w:t>
      </w:r>
      <w:r w:rsidRPr="00C77E77">
        <w:rPr>
          <w:rFonts w:ascii="Times New Roman" w:eastAsia="標楷體" w:hAnsi="Times New Roman" w:cs="Times New Roman"/>
          <w:sz w:val="28"/>
          <w:szCs w:val="28"/>
        </w:rPr>
        <w:t>GMS</w:t>
      </w:r>
      <w:r w:rsidRPr="00C77E77">
        <w:rPr>
          <w:rFonts w:ascii="Times New Roman" w:eastAsia="標楷體" w:hAnsi="Times New Roman" w:cs="Times New Roman"/>
          <w:sz w:val="28"/>
          <w:szCs w:val="28"/>
        </w:rPr>
        <w:t>）經濟合作、中亞區域經濟合作（</w:t>
      </w:r>
      <w:r w:rsidRPr="00C77E77">
        <w:rPr>
          <w:rFonts w:ascii="Times New Roman" w:eastAsia="標楷體" w:hAnsi="Times New Roman" w:cs="Times New Roman"/>
          <w:sz w:val="28"/>
          <w:szCs w:val="28"/>
        </w:rPr>
        <w:t>CAREC</w:t>
      </w:r>
      <w:r w:rsidRPr="00C77E77">
        <w:rPr>
          <w:rFonts w:ascii="Times New Roman" w:eastAsia="標楷體" w:hAnsi="Times New Roman" w:cs="Times New Roman"/>
          <w:sz w:val="28"/>
          <w:szCs w:val="28"/>
        </w:rPr>
        <w:t>）等。</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為了集資挹注「一帶一路」所需資金，並進一步舒緩亞太國家因為基礎建設不足所導致的發展瓶頸，中國大陸倡議並成功成立亞洲基礎設施投資銀行（</w:t>
      </w:r>
      <w:r w:rsidRPr="00C77E77">
        <w:rPr>
          <w:rFonts w:ascii="Times New Roman" w:eastAsia="標楷體" w:hAnsi="Times New Roman" w:cs="Times New Roman"/>
          <w:sz w:val="28"/>
          <w:szCs w:val="28"/>
        </w:rPr>
        <w:t>Asian Infrastructure Investment Bank, AIIB</w:t>
      </w:r>
      <w:r w:rsidRPr="00C77E77">
        <w:rPr>
          <w:rFonts w:ascii="Times New Roman" w:eastAsia="標楷體" w:hAnsi="Times New Roman" w:cs="Times New Roman"/>
          <w:sz w:val="28"/>
          <w:szCs w:val="28"/>
        </w:rPr>
        <w:t>，以下簡稱亞投行）及</w:t>
      </w:r>
      <w:r w:rsidRPr="00C77E77">
        <w:rPr>
          <w:rFonts w:ascii="Times New Roman" w:eastAsia="標楷體" w:hAnsi="Times New Roman" w:cs="Times New Roman"/>
          <w:sz w:val="28"/>
          <w:szCs w:val="28"/>
        </w:rPr>
        <w:lastRenderedPageBreak/>
        <w:t>絲路基金。首先，中國大陸以釋出邊防基礎建設合作誘因，吸引歐洲資金注入亞投行，透過亞投行所建立的國際聯貸體系，可以補足亞洲開發銀行（</w:t>
      </w:r>
      <w:r w:rsidRPr="00C77E77">
        <w:rPr>
          <w:rFonts w:ascii="Times New Roman" w:eastAsia="標楷體" w:hAnsi="Times New Roman" w:cs="Times New Roman"/>
          <w:sz w:val="28"/>
          <w:szCs w:val="28"/>
        </w:rPr>
        <w:t>Asian Development Bank, ADB</w:t>
      </w:r>
      <w:r w:rsidRPr="00C77E77">
        <w:rPr>
          <w:rFonts w:ascii="Times New Roman" w:eastAsia="標楷體" w:hAnsi="Times New Roman" w:cs="Times New Roman"/>
          <w:sz w:val="28"/>
          <w:szCs w:val="28"/>
        </w:rPr>
        <w:t>）之職能，增加溢注於亞太地區基礎建設的額度，提供亟需改善基礎建設的國家財源。因此，就亞洲開發中國家而言，中國大陸倡議成立亞投行，對於正需資金改善基礎設施的東南亞及非洲國家，猶如止旱甘霖。對於亞洲國家而言，參與亞投行等於多了一個融資管道。對於歐洲先進國家，加入亞投行有貸款獲利預期，並加入亞洲金融互聯體系，對於歐洲國家金融服務業進駐亞洲有其助益。因此，亞投行的倡議對於融資需求及供給者都有好處。</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綜合「一帶一路」相關政策內容，可以發現「一帶一路」具有明確的空間概念，以連結歐亞非大陸為主，透過與沿邊國家友好方式，降低邊境衝突，保障能源安全，達成以歐亞大陸為中心的新陸權時代。「一帶一路」策略是宏遠而長期的目標，在未來五年間將以項目投資促進歐亞大陸合作方式為主，以創造需求帶動成長為目的。</w:t>
      </w:r>
    </w:p>
    <w:p w:rsidR="00E77DD6" w:rsidRPr="00C77E77" w:rsidRDefault="00E77DD6" w:rsidP="00BB2B2A">
      <w:pPr>
        <w:pStyle w:val="Web"/>
        <w:spacing w:beforeLines="50" w:before="180" w:beforeAutospacing="0" w:afterLines="50" w:after="180" w:afterAutospacing="0" w:line="500" w:lineRule="exact"/>
        <w:jc w:val="both"/>
        <w:rPr>
          <w:rFonts w:ascii="Times New Roman" w:eastAsia="標楷體" w:hAnsi="Times New Roman" w:cs="Times New Roman"/>
          <w:b/>
          <w:sz w:val="28"/>
          <w:szCs w:val="28"/>
        </w:rPr>
      </w:pPr>
      <w:bookmarkStart w:id="231" w:name="_Toc463023905"/>
      <w:r w:rsidRPr="00C77E77">
        <w:rPr>
          <w:rFonts w:ascii="Times New Roman" w:eastAsia="標楷體" w:hAnsi="Times New Roman" w:cs="Times New Roman"/>
          <w:b/>
          <w:sz w:val="28"/>
          <w:szCs w:val="28"/>
        </w:rPr>
        <w:t>（二）「一帶一路」與我「新南向政策」之關聯性</w:t>
      </w:r>
      <w:bookmarkEnd w:id="231"/>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我國自前總統李登輝時期開始，始提出「</w:t>
      </w:r>
      <w:r w:rsidR="00464606" w:rsidRPr="00C77E77">
        <w:rPr>
          <w:rFonts w:ascii="Times New Roman" w:eastAsia="標楷體" w:hAnsi="Times New Roman" w:cs="Times New Roman"/>
          <w:sz w:val="28"/>
          <w:szCs w:val="28"/>
        </w:rPr>
        <w:t>南向政策」，至前總統陳水扁時期，我國政府共有三波南向政策。</w:t>
      </w:r>
      <w:r w:rsidRPr="00C77E77">
        <w:rPr>
          <w:rFonts w:ascii="Times New Roman" w:eastAsia="標楷體" w:hAnsi="Times New Roman" w:cs="Times New Roman"/>
          <w:sz w:val="28"/>
          <w:szCs w:val="28"/>
        </w:rPr>
        <w:t>2016</w:t>
      </w:r>
      <w:r w:rsidR="00464606"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蔡政府上臺後，正式提出「新南向政策」，可謂我國政府所倡議之第四波南向政策。過去我國三波「南向政策」是從分散風險的角度來思考，單向在當地設工廠。</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9</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日行政院公布「新南向推動計畫」，目標市場瞄準於東協十國、南亞六國以及澳洲、紐西蘭，並以「經貿合作」、「人才交流」、「資源共享」與「區域鏈結」四大面向作為推廣執行方針。</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雖然新南向政策各項措施已經積極的展開，但是不可諱言，新南向的推動過程可能遭受來自中國大陸的龐大阻力。以下分別就新南向政策與中國大陸「一帶一路」戰略中的相關性進行比較。</w:t>
      </w:r>
    </w:p>
    <w:p w:rsidR="00E77DD6" w:rsidRPr="00C77E77" w:rsidRDefault="00E77DD6" w:rsidP="0001327A">
      <w:pPr>
        <w:pStyle w:val="Web"/>
        <w:numPr>
          <w:ilvl w:val="0"/>
          <w:numId w:val="137"/>
        </w:numPr>
        <w:spacing w:beforeLines="50" w:before="180" w:beforeAutospacing="0" w:afterLines="50" w:after="180" w:afterAutospacing="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「一帶一路」與新南向政策之推出皆為因應國際與區域整合之趨勢，故有地域重疊之現象。</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帶一路」中對於西南地區（包括東協、南亞）的規劃，與我新南向政策在對象國家的設定上重疊性最高。新南向政策涵蓋國家包括東協十國、印度、巴基斯坦、孟加拉、斯里蘭卡、尼泊爾、不丹等南亞六國，及澳洲、紐西蘭兩國，總計</w:t>
      </w:r>
      <w:r w:rsidRPr="00C77E77">
        <w:rPr>
          <w:rFonts w:ascii="Times New Roman" w:eastAsia="標楷體" w:hAnsi="Times New Roman" w:cs="Times New Roman"/>
          <w:sz w:val="28"/>
          <w:szCs w:val="28"/>
        </w:rPr>
        <w:t>18</w:t>
      </w:r>
      <w:r w:rsidRPr="00C77E77">
        <w:rPr>
          <w:rFonts w:ascii="Times New Roman" w:eastAsia="標楷體" w:hAnsi="Times New Roman" w:cs="Times New Roman"/>
          <w:sz w:val="28"/>
          <w:szCs w:val="28"/>
        </w:rPr>
        <w:t>國。我政府希冀藉由行政院經貿談判辦公室，建立政府層級的協商與對話，強化國際間夥伴關係，視狀況與</w:t>
      </w:r>
      <w:r w:rsidRPr="00C77E77">
        <w:rPr>
          <w:rFonts w:ascii="Times New Roman" w:eastAsia="標楷體" w:hAnsi="Times New Roman" w:cs="Times New Roman"/>
          <w:sz w:val="28"/>
          <w:szCs w:val="28"/>
        </w:rPr>
        <w:t>18</w:t>
      </w:r>
      <w:r w:rsidRPr="00C77E77">
        <w:rPr>
          <w:rFonts w:ascii="Times New Roman" w:eastAsia="標楷體" w:hAnsi="Times New Roman" w:cs="Times New Roman"/>
          <w:sz w:val="28"/>
          <w:szCs w:val="28"/>
        </w:rPr>
        <w:t>國洽簽通關、租稅、關務互助、投資保障等協定，最終目標是洽簽自由貿易協定（</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），不僅提高我產品競爭力，更為我國未來加入</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奠定基礎能量。經濟部並規劃在印尼、印度、泰國、緬甸等地建立臺灣窗口，協助臺商在地布局；在國內將成立新南向經貿單一服務窗口，成立新南向產經資訊諮詢中心收集商情，定期公布投資風險評估報告，對重大個案建立應變及預警機制。</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中國大陸方面，過去中國大陸在國際與區域整合方面的發展模式是由試點，再逐步擴大到面的發展模式，如</w:t>
      </w:r>
      <w:r w:rsidRPr="00C77E77">
        <w:rPr>
          <w:rFonts w:ascii="Times New Roman" w:eastAsia="標楷體" w:hAnsi="Times New Roman" w:cs="Times New Roman"/>
          <w:sz w:val="28"/>
          <w:szCs w:val="28"/>
        </w:rPr>
        <w:t>1980</w:t>
      </w:r>
      <w:r w:rsidRPr="00C77E77">
        <w:rPr>
          <w:rFonts w:ascii="Times New Roman" w:eastAsia="標楷體" w:hAnsi="Times New Roman" w:cs="Times New Roman"/>
          <w:sz w:val="28"/>
          <w:szCs w:val="28"/>
        </w:rPr>
        <w:t>年代大陸設立</w:t>
      </w:r>
      <w:r w:rsidRPr="00C77E77">
        <w:rPr>
          <w:rFonts w:ascii="Times New Roman" w:eastAsia="標楷體" w:hAnsi="Times New Roman" w:cs="Times New Roman"/>
          <w:sz w:val="28"/>
          <w:szCs w:val="28"/>
        </w:rPr>
        <w:t>4</w:t>
      </w:r>
      <w:r w:rsidRPr="00C77E77">
        <w:rPr>
          <w:rFonts w:ascii="Times New Roman" w:eastAsia="標楷體" w:hAnsi="Times New Roman" w:cs="Times New Roman"/>
          <w:sz w:val="28"/>
          <w:szCs w:val="28"/>
        </w:rPr>
        <w:t>個經濟特區試點市場經濟；隨後將特區經驗推向全大陸，並設定「西部大開發」、「振興老東北工業區」，以及「中部崛起」等區域發展戰略。但「一帶一路」首度整合了外交戰略與經濟戰略，希望建構連結東亞經濟圈及歐洲經濟圈的新陸權時代，在向西及向南拓展的同時，突破美國以推動</w:t>
      </w:r>
      <w:r w:rsidRPr="00C77E77">
        <w:rPr>
          <w:rFonts w:ascii="Times New Roman" w:eastAsia="標楷體" w:hAnsi="Times New Roman" w:cs="Times New Roman"/>
          <w:sz w:val="28"/>
          <w:szCs w:val="28"/>
        </w:rPr>
        <w:t>TPP</w:t>
      </w:r>
      <w:r w:rsidRPr="00C77E77">
        <w:rPr>
          <w:rFonts w:ascii="Times New Roman" w:eastAsia="標楷體" w:hAnsi="Times New Roman" w:cs="Times New Roman"/>
          <w:sz w:val="28"/>
          <w:szCs w:val="28"/>
        </w:rPr>
        <w:t>、拓展亞太區域經濟整合的方式封鎖中國大陸向東北及西南拓展經貿影響力的可能。</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進言之，「一帶一路」規劃範圍分別以其北方、西南、內陸、沿海、及港澳為橋樑，展開其對外幅射的經貿戰略，其中西南部份是利用廣西與東協國家陸海相鄰的獨特優勢，發展北部灣經濟區和珠江－西江經濟帶，建立西南、中南地區開放發展的戰略支點；並發揮雲南區位優勢，推進與周邊國家的國際運輸通道建設，打造大湄公河次區域經濟合作新高地，建</w:t>
      </w:r>
      <w:r w:rsidRPr="00C77E77">
        <w:rPr>
          <w:rFonts w:ascii="Times New Roman" w:eastAsia="標楷體" w:hAnsi="Times New Roman" w:cs="Times New Roman"/>
          <w:sz w:val="28"/>
          <w:szCs w:val="28"/>
        </w:rPr>
        <w:lastRenderedPageBreak/>
        <w:t>設成為面向南亞、東南亞的輻射中心。且推進西藏與尼泊爾等國家邊境貿易和旅遊文化合作。</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同時，因為中國大陸提出的「一帶一路」路線圖，希望透過絲綢之路經濟帶及</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世紀海上絲綢之路，從中國大陸輻射貫穿歐亞非大陸。其中</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世紀海上絲綢之路受益於中國大陸</w:t>
      </w:r>
      <w:r w:rsidRPr="00C77E77">
        <w:rPr>
          <w:rFonts w:ascii="Times New Roman" w:eastAsia="標楷體" w:hAnsi="Times New Roman" w:cs="Times New Roman"/>
          <w:sz w:val="28"/>
          <w:szCs w:val="28"/>
        </w:rPr>
        <w:t>─</w:t>
      </w:r>
      <w:r w:rsidRPr="00C77E77">
        <w:rPr>
          <w:rFonts w:ascii="Times New Roman" w:eastAsia="標楷體" w:hAnsi="Times New Roman" w:cs="Times New Roman"/>
          <w:sz w:val="28"/>
          <w:szCs w:val="28"/>
        </w:rPr>
        <w:t>東協自由貿易區已然形成，加上中國大陸與東協十國較為密切的經貿互動關係，因此實踐的可能性高於需通過亞歐大陸橋、中蒙俄國際經濟合作走廊、中國大陸－中亞－西亞國際經濟合作走廊、中巴經濟走廊等邊防險峻大山的絲綢之路經濟帶。因此，可以預期中國大陸將傾力拓展建設</w:t>
      </w:r>
      <w:r w:rsidRPr="00C77E77">
        <w:rPr>
          <w:rFonts w:ascii="Times New Roman" w:eastAsia="標楷體" w:hAnsi="Times New Roman" w:cs="Times New Roman"/>
          <w:sz w:val="28"/>
          <w:szCs w:val="28"/>
        </w:rPr>
        <w:t>21</w:t>
      </w:r>
      <w:r w:rsidRPr="00C77E77">
        <w:rPr>
          <w:rFonts w:ascii="Times New Roman" w:eastAsia="標楷體" w:hAnsi="Times New Roman" w:cs="Times New Roman"/>
          <w:sz w:val="28"/>
          <w:szCs w:val="28"/>
        </w:rPr>
        <w:t>世紀海上絲綢之路。</w:t>
      </w:r>
    </w:p>
    <w:p w:rsidR="00E77DD6" w:rsidRPr="00C77E77" w:rsidRDefault="00E77DD6" w:rsidP="0001327A">
      <w:pPr>
        <w:pStyle w:val="Web"/>
        <w:numPr>
          <w:ilvl w:val="0"/>
          <w:numId w:val="137"/>
        </w:numPr>
        <w:spacing w:beforeLines="50" w:before="180" w:beforeAutospacing="0" w:afterLines="50" w:after="180" w:afterAutospacing="0" w:line="500" w:lineRule="exact"/>
        <w:ind w:left="567" w:hanging="35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中國大陸運用「一帶一路」深化與東協、南亞國家經濟互動合作，可能制約我新南向政策成效。</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就長期目標而言，「一帶一路」與新南向政策皆意識到應與對象國家互惠合作取代單向獲利。我國「新南向推動計畫」以「長期深耕、多元開展、雙向互惠」作為計畫之核心理念，規劃投入約</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億元，推動投資貿易、文化、醫療、科技、教育等「雙向」交流合作，期能以互利共贏的新合作模式，建立「經濟發展的繁榮夥伴」、「人才資源的共享夥伴」、「生活品質的創新夥伴」及「國際鏈結的互惠夥伴」，最終凝聚「經濟共同體意識」。</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我國政府亦規劃以醫療、文化、觀光、科技農業、等交流為主，達到資源共享的目標。如農委會將成立資本額</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億元之「臺灣國際農業開發公司」，從生產、契作、集貨、品牌一條龍，以國家隊品牌擴展海外市場。同時將鬆綁簽證擴大東南亞等新南向國家觀光旅客來臺，規劃農業、勞工、科技、文化、醫療交流，與投資貿易整合資源，包裹運用，以爭取更高等級投資保障協定內容洽簽。</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中國大陸方面，亦相當著重與「一帶一路」相關國家加強溝通，與各合作國家間建立雙邊合作，開展多層次、多管道溝通磋商，推動雙邊關係</w:t>
      </w:r>
      <w:r w:rsidRPr="00C77E77">
        <w:rPr>
          <w:rFonts w:ascii="Times New Roman" w:eastAsia="標楷體" w:hAnsi="Times New Roman" w:cs="Times New Roman"/>
          <w:sz w:val="28"/>
          <w:szCs w:val="28"/>
        </w:rPr>
        <w:lastRenderedPageBreak/>
        <w:t>全面發展，並強化多邊合作機制作用。因「一帶一路」策略首重打通歐亞大陸之間阻礙，由於打破自然屏障所費不貲，加上陸路拓展設及鄰國邊防，「一帶一路」採用共建原則降低自身及鄰國財政負擔，並以共同商討及共同享用的一同參與方式，降低「一帶一路」建設邊防的阻礙。</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帶一路」戰略的對外訴求，是中國大陸與絲路、太平洋沿海等歐亞非國家分享優質產能，共商專案投資、共建基礎設施、共用合作成果，內容包括道路聯通、貿易暢通、貨幣流通、政策溝通、人心相通等「五通」。「一帶一路」路線圖強調共商共建共用，媒合連結歐亞非大陸所需的資源與需求，在政策溝通、設施聯通、貿易暢通、資金融通等部分加強合作，達成推進沿線國家發展的目標。例如中國大陸以廣西和雲南與東協相鄰的優勢，加快發展北部灣經濟區、珠江和西江經濟帶的發展，並推動與周邊國家的運輸通道建設，使廣西與雲南成為面向南亞及東南亞的輻射中心。</w:t>
      </w:r>
    </w:p>
    <w:p w:rsidR="00E77DD6" w:rsidRPr="00C77E77" w:rsidRDefault="00E77DD6" w:rsidP="0001327A">
      <w:pPr>
        <w:pStyle w:val="Web"/>
        <w:numPr>
          <w:ilvl w:val="0"/>
          <w:numId w:val="137"/>
        </w:numPr>
        <w:spacing w:beforeLines="50" w:before="180" w:beforeAutospacing="0" w:afterLines="50" w:after="180" w:afterAutospacing="0" w:line="500" w:lineRule="exact"/>
        <w:ind w:left="56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「一帶一路」提供的資金挹注、人才培育措施，可能影響我新南向政策對東協、南亞國家的號召力。</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「一帶一路」與新南向政策皆強調人才的培養與交流，但採取的方式有所差異</w:t>
      </w:r>
      <w:r w:rsidRPr="00C77E77">
        <w:rPr>
          <w:rFonts w:ascii="Times New Roman" w:eastAsia="標楷體" w:hAnsi="Times New Roman" w:cs="Times New Roman"/>
          <w:b/>
          <w:sz w:val="28"/>
          <w:szCs w:val="28"/>
        </w:rPr>
        <w:t>。</w:t>
      </w:r>
      <w:r w:rsidRPr="00C77E77">
        <w:rPr>
          <w:rFonts w:ascii="Times New Roman" w:eastAsia="標楷體" w:hAnsi="Times New Roman" w:cs="Times New Roman"/>
          <w:sz w:val="28"/>
          <w:szCs w:val="28"/>
        </w:rPr>
        <w:t>我國政府目標是與亞洲其他國家建立多元、多面向夥伴關係，著重人才、資金、技術乃至文化和生活模式的雙向交流。教育部投入</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億元推動人才交流，新南向公費獎學金補助學生到東協等國的臺企實習；華語文獎學金送華語師資到越南等國協助推廣華語教學。未來將培育第二代新住民為南向種籽，</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年國教綱領增新住民語言，讓新住民二代學習母語，並對新南向相關科系予新住民加分優惠。同時將廣設臺灣獎學金，吸引東南亞學生來臺就學，並職訓合作為各國代訓產業所需人才，針對專門技術性藍領外籍移工，將建評點制，符合條件者，</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年期滿可延長在臺居留，以彌補國內產業人力。</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中國大陸方面，因體認到「一帶一路」沿線國家國情、宗教信仰、地緣政治、民心社情等較為複雜，政局動盪較難預期，只有透過沿線國家的</w:t>
      </w:r>
      <w:r w:rsidRPr="00C77E77">
        <w:rPr>
          <w:rFonts w:ascii="Times New Roman" w:eastAsia="標楷體" w:hAnsi="Times New Roman" w:cs="Times New Roman"/>
          <w:sz w:val="28"/>
          <w:szCs w:val="28"/>
        </w:rPr>
        <w:lastRenderedPageBreak/>
        <w:t>學者、企業家、政府部門、民間組織和民眾充分理解歷史文化背景與民心社情，才能消除誤解、促進合作。因此中國大陸相當重視民族和文化理解的相關教育，目前經中國大陸教育部批准的境外辦學有廈門大學馬來西亞分校、寮國蘇州大學、雲南財經大學曼谷商學院和北京語言大學東京學院等；同時，還與</w:t>
      </w:r>
      <w:r w:rsidRPr="00C77E77">
        <w:rPr>
          <w:rFonts w:ascii="Times New Roman" w:eastAsia="標楷體" w:hAnsi="Times New Roman" w:cs="Times New Roman"/>
          <w:sz w:val="28"/>
          <w:szCs w:val="28"/>
        </w:rPr>
        <w:t>180</w:t>
      </w:r>
      <w:r w:rsidRPr="00C77E77">
        <w:rPr>
          <w:rFonts w:ascii="Times New Roman" w:eastAsia="標楷體" w:hAnsi="Times New Roman" w:cs="Times New Roman"/>
          <w:sz w:val="28"/>
          <w:szCs w:val="28"/>
        </w:rPr>
        <w:t>多個國家和地區建立了雙邊和多邊教育交流合作關係，與</w:t>
      </w:r>
      <w:r w:rsidRPr="00C77E77">
        <w:rPr>
          <w:rFonts w:ascii="Times New Roman" w:eastAsia="標楷體" w:hAnsi="Times New Roman" w:cs="Times New Roman"/>
          <w:sz w:val="28"/>
          <w:szCs w:val="28"/>
        </w:rPr>
        <w:t>41</w:t>
      </w:r>
      <w:r w:rsidRPr="00C77E77">
        <w:rPr>
          <w:rFonts w:ascii="Times New Roman" w:eastAsia="標楷體" w:hAnsi="Times New Roman" w:cs="Times New Roman"/>
          <w:sz w:val="28"/>
          <w:szCs w:val="28"/>
        </w:rPr>
        <w:t>個國家和地區簽署了學歷學位互認協定，主要皆分佈在東南亞國家。</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同時，中國大陸實施「雙十萬學生流動計畫」，目標是</w:t>
      </w:r>
      <w:r w:rsidRPr="00C77E77">
        <w:rPr>
          <w:rFonts w:ascii="Times New Roman" w:eastAsia="標楷體" w:hAnsi="Times New Roman" w:cs="Times New Roman"/>
          <w:sz w:val="28"/>
          <w:szCs w:val="28"/>
        </w:rPr>
        <w:t>2020</w:t>
      </w:r>
      <w:r w:rsidRPr="00C77E77">
        <w:rPr>
          <w:rFonts w:ascii="Times New Roman" w:eastAsia="標楷體" w:hAnsi="Times New Roman" w:cs="Times New Roman"/>
          <w:sz w:val="28"/>
          <w:szCs w:val="28"/>
        </w:rPr>
        <w:t>年達成中國和東協國家雙向留學生均達到</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萬人規模（目前東協國家留學生約為</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萬人）。至</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月之統計數據，中國大陸接收外國留學生的院校達</w:t>
      </w:r>
      <w:r w:rsidRPr="00C77E77">
        <w:rPr>
          <w:rFonts w:ascii="Times New Roman" w:eastAsia="標楷體" w:hAnsi="Times New Roman" w:cs="Times New Roman"/>
          <w:sz w:val="28"/>
          <w:szCs w:val="28"/>
        </w:rPr>
        <w:t>700</w:t>
      </w:r>
      <w:r w:rsidRPr="00C77E77">
        <w:rPr>
          <w:rFonts w:ascii="Times New Roman" w:eastAsia="標楷體" w:hAnsi="Times New Roman" w:cs="Times New Roman"/>
          <w:sz w:val="28"/>
          <w:szCs w:val="28"/>
        </w:rPr>
        <w:t>多所，留學生來源地排名前</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位的國家中，有泰國、越南、印尼、哈薩克和巴基斯坦等</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個「一帶一路」沿線國家。且針對「一帶一路」沿線國家所提供的中國政府獎學金數量，超過中國政府獎學金總數的</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w:t>
      </w:r>
    </w:p>
    <w:p w:rsidR="00E77DD6" w:rsidRPr="00C77E77" w:rsidRDefault="00E77DD6" w:rsidP="0001327A">
      <w:pPr>
        <w:pStyle w:val="Web"/>
        <w:numPr>
          <w:ilvl w:val="0"/>
          <w:numId w:val="137"/>
        </w:numPr>
        <w:spacing w:beforeLines="50" w:before="180" w:beforeAutospacing="0" w:afterLines="50" w:after="180" w:afterAutospacing="0" w:line="500" w:lineRule="exact"/>
        <w:ind w:left="567" w:hanging="35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中國大陸挾其經貿力量推動「一帶一路」，可能降低我新南向政策對東協、南亞國家的吸引力。</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一帶一路」與新南向政策皆立基於國內產業結構的調整，但我國與大陸發展之產業有所差異。我國政府為取代過去南向政策侷限於單向的投資，且因應我國產業轉型、目標市場當地消費潛力提升等因素，新南向政策擬透過產業供應鏈整合，將目標市場視為我國內需市場的延伸。我國最大的優勢在於科技、人文等軟實力，故我國針對目標市場的產業能量及需求，鎖定消費族群，強化我具競爭優勢之產業，進行雙邊貿易及投資合作。政府也扮演整合角色，規劃組成「國家隊」帶領企業出征投資，並由經濟部匡列</w:t>
      </w:r>
      <w:r w:rsidRPr="00C77E77">
        <w:rPr>
          <w:rFonts w:ascii="Times New Roman" w:eastAsia="標楷體" w:hAnsi="Times New Roman" w:cs="Times New Roman"/>
          <w:sz w:val="28"/>
          <w:szCs w:val="28"/>
        </w:rPr>
        <w:t>15</w:t>
      </w:r>
      <w:r w:rsidRPr="00C77E77">
        <w:rPr>
          <w:rFonts w:ascii="Times New Roman" w:eastAsia="標楷體" w:hAnsi="Times New Roman" w:cs="Times New Roman"/>
          <w:sz w:val="28"/>
          <w:szCs w:val="28"/>
        </w:rPr>
        <w:t>億元，在產業鏈結輔導潛力廠商及</w:t>
      </w:r>
      <w:r w:rsidRPr="00C77E77">
        <w:rPr>
          <w:rFonts w:ascii="Times New Roman" w:eastAsia="標楷體" w:hAnsi="Times New Roman" w:cs="Times New Roman"/>
          <w:sz w:val="28"/>
          <w:szCs w:val="28"/>
        </w:rPr>
        <w:t>ETC</w:t>
      </w:r>
      <w:r w:rsidRPr="00C77E77">
        <w:rPr>
          <w:rFonts w:ascii="Times New Roman" w:eastAsia="標楷體" w:hAnsi="Times New Roman" w:cs="Times New Roman"/>
          <w:sz w:val="28"/>
          <w:szCs w:val="28"/>
        </w:rPr>
        <w:t>、智慧醫療等，提升臺灣企業品牌形象，進行系統輸出及整廠整案輸出，同時鼓勵國內銀行到東南亞等國家設立據點。加上由於目標市場皆為海外國家，因此規劃推動跨境電商及網實行銷連結，結合民間企業成立技術創新平臺，藉由協助我國電商赴目標市場發展或與當地業者合作，以及建立金流、物流網絡，利用</w:t>
      </w:r>
      <w:r w:rsidRPr="00C77E77">
        <w:rPr>
          <w:rFonts w:ascii="Times New Roman" w:eastAsia="標楷體" w:hAnsi="Times New Roman" w:cs="Times New Roman"/>
          <w:sz w:val="28"/>
          <w:szCs w:val="28"/>
        </w:rPr>
        <w:lastRenderedPageBreak/>
        <w:t>跨境電商與實體通路作為行銷管道，以拓展我國銷售市場。未來將視各國情況，洽商石化、鋼鐵、紡織及高科技等產業布局。</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目前也處於結構的產業轉型階段，過去中國大陸長期依靠外貿和外資兩大成長引擎帶動成長的模式，在當前歐美先進國家經濟成長力道薄弱之下，內需成長必須迅速支撐外需疲弱，才有可能在當前全球經濟尚未復甦之際，維持穩定成長局面。為了因應經濟新常態，中國大陸已經提出若干因應策略，包括推動經貿自由化因應自身結構調整、實踐城鎮化以擴大內需、持續提升戰略性新興產業比重帶動產業升級等，除了提升服務業品質之外，中國大陸亦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5</w:t>
      </w:r>
      <w:r w:rsidRPr="00C77E77">
        <w:rPr>
          <w:rFonts w:ascii="Times New Roman" w:eastAsia="標楷體" w:hAnsi="Times New Roman" w:cs="Times New Roman"/>
          <w:sz w:val="28"/>
          <w:szCs w:val="28"/>
        </w:rPr>
        <w:t>月</w:t>
      </w:r>
      <w:r w:rsidRPr="00C77E77">
        <w:rPr>
          <w:rFonts w:ascii="Times New Roman" w:eastAsia="標楷體" w:hAnsi="Times New Roman" w:cs="Times New Roman"/>
          <w:sz w:val="28"/>
          <w:szCs w:val="28"/>
        </w:rPr>
        <w:t>8</w:t>
      </w:r>
      <w:r w:rsidRPr="00C77E77">
        <w:rPr>
          <w:rFonts w:ascii="Times New Roman" w:eastAsia="標楷體" w:hAnsi="Times New Roman" w:cs="Times New Roman"/>
          <w:sz w:val="28"/>
          <w:szCs w:val="28"/>
        </w:rPr>
        <w:t>日正式提出《中國製造</w:t>
      </w:r>
      <w:r w:rsidRPr="00C77E77">
        <w:rPr>
          <w:rFonts w:ascii="Times New Roman" w:eastAsia="標楷體" w:hAnsi="Times New Roman" w:cs="Times New Roman"/>
          <w:sz w:val="28"/>
          <w:szCs w:val="28"/>
        </w:rPr>
        <w:t>2025</w:t>
      </w:r>
      <w:r w:rsidRPr="00C77E77">
        <w:rPr>
          <w:rFonts w:ascii="Times New Roman" w:eastAsia="標楷體" w:hAnsi="Times New Roman" w:cs="Times New Roman"/>
          <w:sz w:val="28"/>
          <w:szCs w:val="28"/>
        </w:rPr>
        <w:t>》行動綱領，以三十年為期，希望從製造大國轉型成為製造強國。而透過「一帶一路」及亞投行戰略，拓展外交之餘，進一步加深和東協及周圍國家的經貿關係，也為新常態時期注入新成長動能。</w:t>
      </w:r>
    </w:p>
    <w:p w:rsidR="00E77DD6" w:rsidRPr="00C77E77" w:rsidRDefault="00E77DD6" w:rsidP="0001327A">
      <w:pPr>
        <w:pStyle w:val="Web"/>
        <w:numPr>
          <w:ilvl w:val="0"/>
          <w:numId w:val="137"/>
        </w:numPr>
        <w:spacing w:beforeLines="50" w:before="180" w:beforeAutospacing="0" w:afterLines="50" w:after="180" w:afterAutospacing="0" w:line="500" w:lineRule="exact"/>
        <w:ind w:left="567" w:hanging="357"/>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由於東協、南亞多為發展中國家，「一帶一路」以基礎建設為主，新南向政策則籌劃系統整合輸出團隊。</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b/>
          <w:sz w:val="28"/>
          <w:szCs w:val="28"/>
        </w:rPr>
      </w:pPr>
      <w:r w:rsidRPr="00C77E77">
        <w:rPr>
          <w:rFonts w:ascii="Times New Roman" w:eastAsia="標楷體" w:hAnsi="Times New Roman" w:cs="Times New Roman"/>
          <w:sz w:val="28"/>
          <w:szCs w:val="28"/>
        </w:rPr>
        <w:t>「一帶一路」與新南向政策皆已關注到東協、南亞國家在基礎建設發展方面的需求，並積極爭取重大基礎建設之參與。新南向政策中之目標市場，許多國家的基礎建設仍然不足，相關建設與基建工程合作極待開發。相較之下，我國在技術、經驗上皆有優勢，為達成雙向互惠之核心理念，我政府推動基礎建設工程合作，籌劃基礎建設輸出團隊，結合我國電廠、石化業、環保及捷運系統產業，前往目標市場提供基礎建設。我國公股事業也將帶領臺灣企業前進，包括中油、臺船、臺糖等都將扮演重要角色，透過發展基礎建設及整廠輸出之海外輸出協作平臺，提供廠商標案情資以及協助投標作業。</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的「一帶一路」希望藉由共同建設國際骨幹通道建設，逐步連接亞歐非之間的基礎設施網路，同時藉由增加向鄰國輸出基礎建設的機會，有效提升自身基礎建設產能。中國大陸為了展現實施「一帶一路」基</w:t>
      </w:r>
      <w:r w:rsidRPr="00C77E77">
        <w:rPr>
          <w:rFonts w:ascii="Times New Roman" w:eastAsia="標楷體" w:hAnsi="Times New Roman" w:cs="Times New Roman"/>
          <w:sz w:val="28"/>
          <w:szCs w:val="28"/>
        </w:rPr>
        <w:lastRenderedPageBreak/>
        <w:t>礎設施互聯互通的決心，於</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月發佈《一帶一路中國企業路線圖》，檢視中央企業進駐「一帶一路」沿線國家的現況。若以建設內容觀察，主要以電力建設、建材生產為主，除了在周邊國家建設的水電相關建設總裝機容量近</w:t>
      </w:r>
      <w:r w:rsidRPr="00C77E77">
        <w:rPr>
          <w:rFonts w:ascii="Times New Roman" w:eastAsia="標楷體" w:hAnsi="Times New Roman" w:cs="Times New Roman"/>
          <w:sz w:val="28"/>
          <w:szCs w:val="28"/>
        </w:rPr>
        <w:t>1,000</w:t>
      </w:r>
      <w:r w:rsidRPr="00C77E77">
        <w:rPr>
          <w:rFonts w:ascii="Times New Roman" w:eastAsia="標楷體" w:hAnsi="Times New Roman" w:cs="Times New Roman"/>
          <w:sz w:val="28"/>
          <w:szCs w:val="28"/>
        </w:rPr>
        <w:t>萬千瓦之外，央企在馬來西亞、柬埔寨、蒙古等亦有鋼材、水泥、玻璃等建材生産線，並以水泥技術工程及裝備全球市場佔有率達到</w:t>
      </w:r>
      <w:r w:rsidRPr="00C77E77">
        <w:rPr>
          <w:rFonts w:ascii="Times New Roman" w:eastAsia="標楷體" w:hAnsi="Times New Roman" w:cs="Times New Roman"/>
          <w:sz w:val="28"/>
          <w:szCs w:val="28"/>
        </w:rPr>
        <w:t>45</w:t>
      </w:r>
      <w:r w:rsidRPr="00C77E77">
        <w:rPr>
          <w:rFonts w:ascii="Times New Roman" w:eastAsia="標楷體" w:hAnsi="Times New Roman" w:cs="Times New Roman"/>
          <w:sz w:val="28"/>
          <w:szCs w:val="28"/>
        </w:rPr>
        <w:t>％以上為最多。</w:t>
      </w:r>
    </w:p>
    <w:p w:rsidR="00E77DD6" w:rsidRPr="00C77E77" w:rsidRDefault="00E77DD6" w:rsidP="00BB2B2A">
      <w:pPr>
        <w:pStyle w:val="Web"/>
        <w:spacing w:beforeLines="50" w:before="180" w:beforeAutospacing="0" w:afterLines="50" w:after="180" w:afterAutospacing="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綜合上述之比較，可看出中國大陸「一帶一路」之內容，與我政府規劃新南向政策之方向具有若干關聯性與重疊性，以下進一步評估其影響力。</w:t>
      </w:r>
    </w:p>
    <w:p w:rsidR="00E77DD6" w:rsidRPr="00C77E77" w:rsidRDefault="00E77DD6" w:rsidP="00BB2B2A">
      <w:pPr>
        <w:pStyle w:val="Web"/>
        <w:spacing w:beforeLines="50" w:before="180" w:beforeAutospacing="0" w:afterLines="50" w:after="180" w:afterAutospacing="0" w:line="500" w:lineRule="exact"/>
        <w:jc w:val="both"/>
        <w:rPr>
          <w:rFonts w:ascii="Times New Roman" w:eastAsia="標楷體" w:hAnsi="Times New Roman" w:cs="Times New Roman"/>
          <w:b/>
          <w:color w:val="000000"/>
          <w:sz w:val="28"/>
          <w:szCs w:val="28"/>
        </w:rPr>
      </w:pPr>
      <w:bookmarkStart w:id="232" w:name="_Toc463023906"/>
      <w:r w:rsidRPr="00C77E77">
        <w:rPr>
          <w:rFonts w:ascii="Times New Roman" w:eastAsia="標楷體" w:hAnsi="Times New Roman" w:cs="Times New Roman"/>
          <w:b/>
          <w:color w:val="000000"/>
          <w:sz w:val="28"/>
          <w:szCs w:val="28"/>
        </w:rPr>
        <w:t>二、影響評估</w:t>
      </w:r>
      <w:bookmarkEnd w:id="232"/>
    </w:p>
    <w:p w:rsidR="00E77DD6" w:rsidRPr="00C77E77" w:rsidRDefault="00E77DD6" w:rsidP="00BB2B2A">
      <w:pPr>
        <w:pStyle w:val="Web"/>
        <w:spacing w:beforeLines="50" w:before="180" w:beforeAutospacing="0" w:afterLines="50" w:after="180" w:afterAutospacing="0" w:line="500" w:lineRule="exact"/>
        <w:ind w:leftChars="100" w:left="240" w:firstLine="48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影響評估的部分，將先檢視中國大陸「一帶一路」目前的成果，尤其側重在中國大陸高鐵外交的雙向互動，而後展望未來中國大陸積極推動「一帶一路」對我國新南向政策之影響。由於兩岸關係是在不斷互動中進行雙向建構，因此中國大陸「一帶一路」政策對於我國新南向政策之影響，很可能取決於我國採取何種態度面對中國大陸的「一帶一路」政策，也就是第三部分的政策建議。</w:t>
      </w:r>
    </w:p>
    <w:p w:rsidR="00E77DD6" w:rsidRPr="00C77E77" w:rsidRDefault="00E77DD6" w:rsidP="00BB2B2A">
      <w:pPr>
        <w:pStyle w:val="Web"/>
        <w:spacing w:beforeLines="50" w:before="180" w:beforeAutospacing="0" w:afterLines="50" w:after="180" w:afterAutospacing="0" w:line="500" w:lineRule="exact"/>
        <w:jc w:val="both"/>
        <w:rPr>
          <w:rFonts w:ascii="Times New Roman" w:eastAsia="標楷體" w:hAnsi="Times New Roman" w:cs="Times New Roman"/>
          <w:b/>
          <w:color w:val="000000"/>
          <w:sz w:val="28"/>
          <w:szCs w:val="28"/>
        </w:rPr>
      </w:pPr>
      <w:bookmarkStart w:id="233" w:name="_Toc463023907"/>
      <w:r w:rsidRPr="00C77E77">
        <w:rPr>
          <w:rFonts w:ascii="Times New Roman" w:eastAsia="標楷體" w:hAnsi="Times New Roman" w:cs="Times New Roman"/>
          <w:b/>
          <w:color w:val="000000"/>
          <w:sz w:val="28"/>
          <w:szCs w:val="28"/>
        </w:rPr>
        <w:t>（一）當前中國大陸「一帶一路」之運作現況</w:t>
      </w:r>
      <w:bookmarkEnd w:id="233"/>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整體而言，中國大陸的</w:t>
      </w:r>
      <w:r w:rsidRPr="00C77E77">
        <w:rPr>
          <w:rFonts w:ascii="Times New Roman" w:eastAsia="標楷體" w:hAnsi="Times New Roman" w:cs="Times New Roman"/>
          <w:color w:val="000000"/>
          <w:sz w:val="28"/>
          <w:szCs w:val="28"/>
        </w:rPr>
        <w:t>「一帶一路」</w:t>
      </w:r>
      <w:r w:rsidRPr="00C77E77">
        <w:rPr>
          <w:rFonts w:ascii="Times New Roman" w:eastAsia="標楷體" w:hAnsi="Times New Roman" w:cs="Times New Roman"/>
          <w:sz w:val="28"/>
          <w:szCs w:val="28"/>
        </w:rPr>
        <w:t>戰略不只是一個經濟戰略，更是政治與外交戰略。事實上，中國大陸與周邊國家的關係建立並非一朝一夕，尤其是針對中亞、南亞、東南亞等鄰國關係的經營更是由來已久。因此，觀察一帶一路的運作不能僅看中共在</w:t>
      </w: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年提出</w:t>
      </w:r>
      <w:r w:rsidRPr="00C77E77">
        <w:rPr>
          <w:rFonts w:ascii="Times New Roman" w:eastAsia="標楷體" w:hAnsi="Times New Roman" w:cs="Times New Roman"/>
          <w:color w:val="000000"/>
          <w:sz w:val="28"/>
          <w:szCs w:val="28"/>
        </w:rPr>
        <w:t>「一帶一路」</w:t>
      </w:r>
      <w:r w:rsidRPr="00C77E77">
        <w:rPr>
          <w:rFonts w:ascii="Times New Roman" w:eastAsia="標楷體" w:hAnsi="Times New Roman" w:cs="Times New Roman"/>
          <w:sz w:val="28"/>
          <w:szCs w:val="28"/>
        </w:rPr>
        <w:t>戰略後的舉措，而是必須檢視整個戰略在時間與空間上的脈絡。</w:t>
      </w:r>
    </w:p>
    <w:p w:rsidR="00E77DD6" w:rsidRPr="00C77E77" w:rsidRDefault="00E77DD6" w:rsidP="0001327A">
      <w:pPr>
        <w:pStyle w:val="ab"/>
        <w:numPr>
          <w:ilvl w:val="0"/>
          <w:numId w:val="138"/>
        </w:numPr>
        <w:spacing w:before="50" w:after="5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中國大陸為「一帶一路」的金融準備</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中國大陸在面對</w:t>
      </w:r>
      <w:r w:rsidRPr="00C77E77">
        <w:rPr>
          <w:rFonts w:ascii="Times New Roman" w:eastAsia="標楷體" w:hAnsi="Times New Roman" w:cs="Times New Roman"/>
          <w:color w:val="000000"/>
          <w:sz w:val="28"/>
          <w:szCs w:val="28"/>
        </w:rPr>
        <w:t>「一帶一路」</w:t>
      </w:r>
      <w:r w:rsidRPr="00C77E77">
        <w:rPr>
          <w:rFonts w:ascii="Times New Roman" w:eastAsia="標楷體" w:hAnsi="Times New Roman" w:cs="Times New Roman"/>
          <w:sz w:val="28"/>
          <w:szCs w:val="28"/>
        </w:rPr>
        <w:t>戰略帶來的龐大基礎建設、產業合作等融資需求，分別以亞投行、絲路基金作為</w:t>
      </w:r>
      <w:r w:rsidRPr="00C77E77">
        <w:rPr>
          <w:rFonts w:ascii="Times New Roman" w:eastAsia="標楷體" w:hAnsi="Times New Roman" w:cs="Times New Roman"/>
          <w:color w:val="000000"/>
          <w:sz w:val="28"/>
          <w:szCs w:val="28"/>
        </w:rPr>
        <w:t>「一帶一路」</w:t>
      </w:r>
      <w:r w:rsidRPr="00C77E77">
        <w:rPr>
          <w:rFonts w:ascii="Times New Roman" w:eastAsia="標楷體" w:hAnsi="Times New Roman" w:cs="Times New Roman"/>
          <w:sz w:val="28"/>
          <w:szCs w:val="28"/>
        </w:rPr>
        <w:t>的金融準備。</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lastRenderedPageBreak/>
        <w:t>年</w:t>
      </w:r>
      <w:r w:rsidRPr="00C77E77">
        <w:rPr>
          <w:rFonts w:ascii="Times New Roman" w:eastAsia="標楷體" w:hAnsi="Times New Roman" w:cs="Times New Roman"/>
          <w:sz w:val="28"/>
          <w:szCs w:val="28"/>
        </w:rPr>
        <w:t>1</w:t>
      </w:r>
      <w:r w:rsidRPr="00C77E77">
        <w:rPr>
          <w:rFonts w:ascii="Times New Roman" w:eastAsia="標楷體" w:hAnsi="Times New Roman" w:cs="Times New Roman"/>
          <w:sz w:val="28"/>
          <w:szCs w:val="28"/>
        </w:rPr>
        <w:t>月，亞投行在北京正式成立，包括新加坡、汶萊、緬甸、澳洲、紐西蘭、中國大陸、韓國、蒙古、巴基斯坦、約旦、英國、德國、荷蘭、盧森堡、奧地利、喬治亞、挪威等</w:t>
      </w:r>
      <w:r w:rsidRPr="00C77E77">
        <w:rPr>
          <w:rFonts w:ascii="Times New Roman" w:eastAsia="標楷體" w:hAnsi="Times New Roman" w:cs="Times New Roman"/>
          <w:sz w:val="28"/>
          <w:szCs w:val="28"/>
        </w:rPr>
        <w:t>17</w:t>
      </w:r>
      <w:r w:rsidRPr="00C77E77">
        <w:rPr>
          <w:rFonts w:ascii="Times New Roman" w:eastAsia="標楷體" w:hAnsi="Times New Roman" w:cs="Times New Roman"/>
          <w:sz w:val="28"/>
          <w:szCs w:val="28"/>
        </w:rPr>
        <w:t>個意向創始成員國，在政治意涵上可謂是由中國大陸主導的多邊開發銀行，與由美國、日本主導的亞開行存在一定程度的競爭關係。絲路基金則在</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年便已經成立，近年來逐漸有成為私募股權投資基金（</w:t>
      </w:r>
      <w:r w:rsidRPr="00C77E77">
        <w:rPr>
          <w:rFonts w:ascii="Times New Roman" w:eastAsia="標楷體" w:hAnsi="Times New Roman" w:cs="Times New Roman"/>
          <w:sz w:val="28"/>
          <w:szCs w:val="28"/>
        </w:rPr>
        <w:t>PE</w:t>
      </w:r>
      <w:r w:rsidRPr="00C77E77">
        <w:rPr>
          <w:rFonts w:ascii="Times New Roman" w:eastAsia="標楷體" w:hAnsi="Times New Roman" w:cs="Times New Roman"/>
          <w:sz w:val="28"/>
          <w:szCs w:val="28"/>
        </w:rPr>
        <w:t>基金）的傾向，專門用於</w:t>
      </w:r>
      <w:r w:rsidRPr="00C77E77">
        <w:rPr>
          <w:rFonts w:ascii="Times New Roman" w:eastAsia="標楷體" w:hAnsi="Times New Roman" w:cs="Times New Roman"/>
          <w:color w:val="000000"/>
          <w:sz w:val="28"/>
          <w:szCs w:val="28"/>
        </w:rPr>
        <w:t>「一帶一路」</w:t>
      </w:r>
      <w:r w:rsidRPr="00C77E77">
        <w:rPr>
          <w:rFonts w:ascii="Times New Roman" w:eastAsia="標楷體" w:hAnsi="Times New Roman" w:cs="Times New Roman"/>
          <w:sz w:val="28"/>
          <w:szCs w:val="28"/>
        </w:rPr>
        <w:t>的基礎建設，補亞開行、亞投行之不足，</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絲路基金便支持中國大陸的三峽集團，在巴基斯坦等南亞國家投資建設水力發電站等綠色能源，便是一個透過絲路基金讓大陸企業往</w:t>
      </w:r>
      <w:r w:rsidRPr="00C77E77">
        <w:rPr>
          <w:rFonts w:ascii="Times New Roman" w:eastAsia="標楷體" w:hAnsi="Times New Roman" w:cs="Times New Roman"/>
          <w:color w:val="000000"/>
          <w:sz w:val="28"/>
          <w:szCs w:val="28"/>
        </w:rPr>
        <w:t>「一帶一路」發展的</w:t>
      </w:r>
      <w:r w:rsidRPr="00C77E77">
        <w:rPr>
          <w:rFonts w:ascii="Times New Roman" w:eastAsia="標楷體" w:hAnsi="Times New Roman" w:cs="Times New Roman"/>
          <w:sz w:val="28"/>
          <w:szCs w:val="28"/>
        </w:rPr>
        <w:t>典型案例。</w:t>
      </w:r>
    </w:p>
    <w:p w:rsidR="00E77DD6" w:rsidRPr="00C77E77" w:rsidRDefault="00E77DD6" w:rsidP="0001327A">
      <w:pPr>
        <w:pStyle w:val="ab"/>
        <w:numPr>
          <w:ilvl w:val="0"/>
          <w:numId w:val="138"/>
        </w:numPr>
        <w:spacing w:before="50" w:after="5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中國大陸與周邊國家的區域合作</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color w:val="000000"/>
          <w:sz w:val="28"/>
          <w:szCs w:val="28"/>
        </w:rPr>
      </w:pPr>
      <w:r w:rsidRPr="00C77E77">
        <w:rPr>
          <w:rFonts w:ascii="Times New Roman" w:eastAsia="標楷體" w:hAnsi="Times New Roman" w:cs="Times New Roman"/>
          <w:sz w:val="28"/>
          <w:szCs w:val="28"/>
        </w:rPr>
        <w:t>中國大陸透過一系列的國際組織，結合友好中國大陸的周邊國家，如博鰲論壇、上海合作組織</w:t>
      </w:r>
      <w:r w:rsidRPr="00C77E77">
        <w:rPr>
          <w:rFonts w:ascii="Times New Roman" w:eastAsia="標楷體" w:hAnsi="Times New Roman" w:cs="Times New Roman"/>
          <w:color w:val="000000"/>
          <w:sz w:val="28"/>
          <w:szCs w:val="28"/>
        </w:rPr>
        <w:t>、</w:t>
      </w:r>
      <w:r w:rsidRPr="00C77E77">
        <w:rPr>
          <w:rFonts w:ascii="Times New Roman" w:eastAsia="標楷體" w:hAnsi="Times New Roman" w:cs="Times New Roman"/>
          <w:sz w:val="28"/>
          <w:szCs w:val="28"/>
        </w:rPr>
        <w:t>孟中印緬區域合作論壇、</w:t>
      </w:r>
      <w:r w:rsidRPr="00C77E77">
        <w:rPr>
          <w:rFonts w:ascii="Times New Roman" w:eastAsia="標楷體" w:hAnsi="Times New Roman" w:cs="Times New Roman"/>
          <w:color w:val="000000"/>
          <w:sz w:val="28"/>
          <w:szCs w:val="28"/>
        </w:rPr>
        <w:t>大湄公河次區域經濟合作</w:t>
      </w:r>
      <w:r w:rsidRPr="00C77E77">
        <w:rPr>
          <w:rFonts w:ascii="Times New Roman" w:eastAsia="標楷體" w:hAnsi="Times New Roman" w:cs="Times New Roman"/>
          <w:sz w:val="28"/>
          <w:szCs w:val="28"/>
        </w:rPr>
        <w:t>。其中博鰲論壇的會員國除了中亞、西亞與東北亞的各國之外，更包括了東協</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國，以及除了不丹以外的南亞五國，再加上澳洲與紐西蘭，幾乎涵蓋了我國新南向政策的所有國家；上海合作組織則是在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月簽屬備忘錄，由中亞擴張到南亞的印度與巴基斯坦；隨著</w:t>
      </w:r>
      <w:r w:rsidRPr="00C77E77">
        <w:rPr>
          <w:rFonts w:ascii="Times New Roman" w:eastAsia="標楷體" w:hAnsi="Times New Roman" w:cs="Times New Roman"/>
          <w:color w:val="000000"/>
          <w:sz w:val="28"/>
          <w:szCs w:val="28"/>
        </w:rPr>
        <w:t>「一帶一路」成為總體戰略，中國大陸也透過延邊的雲南、廣西等地積極擴張</w:t>
      </w:r>
      <w:r w:rsidRPr="00C77E77">
        <w:rPr>
          <w:rFonts w:ascii="Times New Roman" w:eastAsia="標楷體" w:hAnsi="Times New Roman" w:cs="Times New Roman"/>
          <w:sz w:val="28"/>
          <w:szCs w:val="28"/>
        </w:rPr>
        <w:t>孟中印緬區域合作，以及</w:t>
      </w:r>
      <w:r w:rsidRPr="00C77E77">
        <w:rPr>
          <w:rFonts w:ascii="Times New Roman" w:eastAsia="標楷體" w:hAnsi="Times New Roman" w:cs="Times New Roman"/>
          <w:color w:val="000000"/>
          <w:sz w:val="28"/>
          <w:szCs w:val="28"/>
        </w:rPr>
        <w:t>大湄公河次區域的經濟合作。</w:t>
      </w:r>
    </w:p>
    <w:p w:rsidR="00E77DD6" w:rsidRPr="00C77E77" w:rsidRDefault="00E77DD6" w:rsidP="0001327A">
      <w:pPr>
        <w:pStyle w:val="ab"/>
        <w:numPr>
          <w:ilvl w:val="0"/>
          <w:numId w:val="138"/>
        </w:numPr>
        <w:spacing w:before="50" w:after="5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中國大陸在中南半島的高鐵外交</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除了多邊的國際組織之外，在具體的基礎建設興建上，中國大陸主要採取雙邊協議的方式，展開兩國之間的合作。然而，雖然中國大陸試圖用雙邊合作來減少阻力，但許多國家的國內民意仍出現排中的言論，阻了中國大陸「一帶一路」策略的推行。以中南半島的高鐵為例，中國大陸一直想興建以昆明為中心往中南半島延伸的高鐵系統，分為途經越南的東線、途經緬甸的西線，以及途經寮國的中線三個支線，在泰國曼谷交會後，往南延伸至馬來西亞和新加坡。（見下圖</w:t>
      </w:r>
      <w:r w:rsidRPr="00C77E77">
        <w:rPr>
          <w:rFonts w:ascii="Times New Roman" w:eastAsia="標楷體" w:hAnsi="Times New Roman" w:cs="Times New Roman"/>
          <w:sz w:val="28"/>
          <w:szCs w:val="28"/>
        </w:rPr>
        <w:t>2</w:t>
      </w:r>
      <w:r w:rsidRPr="00C77E77">
        <w:rPr>
          <w:rFonts w:ascii="Times New Roman" w:eastAsia="標楷體" w:hAnsi="Times New Roman" w:cs="Times New Roman"/>
          <w:sz w:val="28"/>
          <w:szCs w:val="28"/>
        </w:rPr>
        <w:t>）</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其中，中線支線的興建還算順利，中國大陸與寮國在</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月舉</w:t>
      </w:r>
      <w:r w:rsidRPr="00C77E77">
        <w:rPr>
          <w:rFonts w:ascii="Times New Roman" w:eastAsia="標楷體" w:hAnsi="Times New Roman" w:cs="Times New Roman"/>
          <w:sz w:val="28"/>
          <w:szCs w:val="28"/>
        </w:rPr>
        <w:lastRenderedPageBreak/>
        <w:t>行鐵路項目簽約儀式，興建中寮高鐵，從中國大陸的雲南昆明至寮國首都永珍（</w:t>
      </w:r>
      <w:r w:rsidRPr="00C77E77">
        <w:rPr>
          <w:rFonts w:ascii="Times New Roman" w:eastAsia="標楷體" w:hAnsi="Times New Roman" w:cs="Times New Roman"/>
          <w:sz w:val="28"/>
          <w:szCs w:val="28"/>
        </w:rPr>
        <w:t>Vientiane</w:t>
      </w:r>
      <w:r w:rsidRPr="00C77E77">
        <w:rPr>
          <w:rFonts w:ascii="Times New Roman" w:eastAsia="標楷體" w:hAnsi="Times New Roman" w:cs="Times New Roman"/>
          <w:sz w:val="28"/>
          <w:szCs w:val="28"/>
        </w:rPr>
        <w:t>），全長</w:t>
      </w:r>
      <w:r w:rsidRPr="00C77E77">
        <w:rPr>
          <w:rFonts w:ascii="Times New Roman" w:eastAsia="標楷體" w:hAnsi="Times New Roman" w:cs="Times New Roman"/>
          <w:sz w:val="28"/>
          <w:szCs w:val="28"/>
        </w:rPr>
        <w:t>418</w:t>
      </w:r>
      <w:r w:rsidRPr="00C77E77">
        <w:rPr>
          <w:rFonts w:ascii="Times New Roman" w:eastAsia="標楷體" w:hAnsi="Times New Roman" w:cs="Times New Roman"/>
          <w:sz w:val="28"/>
          <w:szCs w:val="28"/>
        </w:rPr>
        <w:t>公里，經過</w:t>
      </w:r>
      <w:r w:rsidRPr="00C77E77">
        <w:rPr>
          <w:rFonts w:ascii="Times New Roman" w:eastAsia="標楷體" w:hAnsi="Times New Roman" w:cs="Times New Roman"/>
          <w:sz w:val="28"/>
          <w:szCs w:val="28"/>
        </w:rPr>
        <w:t>150</w:t>
      </w:r>
      <w:r w:rsidRPr="00C77E77">
        <w:rPr>
          <w:rFonts w:ascii="Times New Roman" w:eastAsia="標楷體" w:hAnsi="Times New Roman" w:cs="Times New Roman"/>
          <w:sz w:val="28"/>
          <w:szCs w:val="28"/>
        </w:rPr>
        <w:t>座大橋，穿過</w:t>
      </w:r>
      <w:r w:rsidRPr="00C77E77">
        <w:rPr>
          <w:rFonts w:ascii="Times New Roman" w:eastAsia="標楷體" w:hAnsi="Times New Roman" w:cs="Times New Roman"/>
          <w:sz w:val="28"/>
          <w:szCs w:val="28"/>
        </w:rPr>
        <w:t>76</w:t>
      </w:r>
      <w:r w:rsidRPr="00C77E77">
        <w:rPr>
          <w:rFonts w:ascii="Times New Roman" w:eastAsia="標楷體" w:hAnsi="Times New Roman" w:cs="Times New Roman"/>
          <w:sz w:val="28"/>
          <w:szCs w:val="28"/>
        </w:rPr>
        <w:t>個隧道。該項目總投資</w:t>
      </w:r>
      <w:r w:rsidRPr="00C77E77">
        <w:rPr>
          <w:rFonts w:ascii="Times New Roman" w:eastAsia="標楷體" w:hAnsi="Times New Roman" w:cs="Times New Roman"/>
          <w:sz w:val="28"/>
          <w:szCs w:val="28"/>
        </w:rPr>
        <w:t>400</w:t>
      </w:r>
      <w:r w:rsidRPr="00C77E77">
        <w:rPr>
          <w:rFonts w:ascii="Times New Roman" w:eastAsia="標楷體" w:hAnsi="Times New Roman" w:cs="Times New Roman"/>
          <w:sz w:val="28"/>
          <w:szCs w:val="28"/>
        </w:rPr>
        <w:t>億元人民幣，中方將負責</w:t>
      </w:r>
      <w:r w:rsidRPr="00C77E77">
        <w:rPr>
          <w:rFonts w:ascii="Times New Roman" w:eastAsia="標楷體" w:hAnsi="Times New Roman" w:cs="Times New Roman"/>
          <w:sz w:val="28"/>
          <w:szCs w:val="28"/>
        </w:rPr>
        <w:t>70%</w:t>
      </w:r>
      <w:r w:rsidRPr="00C77E77">
        <w:rPr>
          <w:rFonts w:ascii="Times New Roman" w:eastAsia="標楷體" w:hAnsi="Times New Roman" w:cs="Times New Roman"/>
          <w:sz w:val="28"/>
          <w:szCs w:val="28"/>
        </w:rPr>
        <w:t>的投資。</w:t>
      </w:r>
    </w:p>
    <w:p w:rsidR="00E77DD6" w:rsidRPr="00C77E77" w:rsidRDefault="00E77DD6" w:rsidP="00BB2B2A">
      <w:pPr>
        <w:spacing w:before="50" w:after="50"/>
        <w:jc w:val="center"/>
        <w:rPr>
          <w:rFonts w:ascii="Times New Roman" w:eastAsia="標楷體" w:hAnsi="Times New Roman" w:cs="Times New Roman"/>
          <w:sz w:val="28"/>
          <w:szCs w:val="28"/>
        </w:rPr>
      </w:pP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Pr="00C77E77">
        <w:rPr>
          <w:rFonts w:ascii="Times New Roman" w:eastAsia="標楷體" w:hAnsi="Times New Roman" w:cs="Times New Roman"/>
          <w:sz w:val="28"/>
          <w:szCs w:val="28"/>
        </w:rPr>
        <w:fldChar w:fldCharType="separate"/>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Pr="00C77E77">
        <w:rPr>
          <w:rFonts w:ascii="Times New Roman" w:eastAsia="標楷體" w:hAnsi="Times New Roman" w:cs="Times New Roman"/>
          <w:sz w:val="28"/>
          <w:szCs w:val="28"/>
        </w:rPr>
        <w:fldChar w:fldCharType="separate"/>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Pr="00C77E77">
        <w:rPr>
          <w:rFonts w:ascii="Times New Roman" w:eastAsia="標楷體" w:hAnsi="Times New Roman" w:cs="Times New Roman"/>
          <w:sz w:val="28"/>
          <w:szCs w:val="28"/>
        </w:rPr>
        <w:fldChar w:fldCharType="separate"/>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Pr="00C77E77">
        <w:rPr>
          <w:rFonts w:ascii="Times New Roman" w:eastAsia="標楷體" w:hAnsi="Times New Roman" w:cs="Times New Roman"/>
          <w:sz w:val="28"/>
          <w:szCs w:val="28"/>
        </w:rPr>
        <w:fldChar w:fldCharType="separate"/>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Pr="00C77E77">
        <w:rPr>
          <w:rFonts w:ascii="Times New Roman" w:eastAsia="標楷體" w:hAnsi="Times New Roman" w:cs="Times New Roman"/>
          <w:sz w:val="28"/>
          <w:szCs w:val="28"/>
        </w:rPr>
        <w:fldChar w:fldCharType="separate"/>
      </w:r>
      <w:r w:rsidR="00A05475" w:rsidRPr="00C77E77">
        <w:rPr>
          <w:rFonts w:ascii="Times New Roman" w:eastAsia="標楷體" w:hAnsi="Times New Roman" w:cs="Times New Roman"/>
          <w:sz w:val="28"/>
          <w:szCs w:val="28"/>
        </w:rPr>
        <w:fldChar w:fldCharType="begin"/>
      </w:r>
      <w:r w:rsidR="00A05475"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A05475" w:rsidRPr="00C77E77">
        <w:rPr>
          <w:rFonts w:ascii="Times New Roman" w:eastAsia="標楷體" w:hAnsi="Times New Roman" w:cs="Times New Roman"/>
          <w:sz w:val="28"/>
          <w:szCs w:val="28"/>
        </w:rPr>
        <w:fldChar w:fldCharType="separate"/>
      </w:r>
      <w:r w:rsidR="00D939D1" w:rsidRPr="00C77E77">
        <w:rPr>
          <w:rFonts w:ascii="Times New Roman" w:eastAsia="標楷體" w:hAnsi="Times New Roman" w:cs="Times New Roman"/>
          <w:sz w:val="28"/>
          <w:szCs w:val="28"/>
        </w:rPr>
        <w:fldChar w:fldCharType="begin"/>
      </w:r>
      <w:r w:rsidR="00D939D1"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D939D1" w:rsidRPr="00C77E77">
        <w:rPr>
          <w:rFonts w:ascii="Times New Roman" w:eastAsia="標楷體" w:hAnsi="Times New Roman" w:cs="Times New Roman"/>
          <w:sz w:val="28"/>
          <w:szCs w:val="28"/>
        </w:rPr>
        <w:fldChar w:fldCharType="separate"/>
      </w:r>
      <w:r w:rsidR="008B754A" w:rsidRPr="00C77E77">
        <w:rPr>
          <w:rFonts w:ascii="Times New Roman" w:eastAsia="標楷體" w:hAnsi="Times New Roman" w:cs="Times New Roman"/>
          <w:sz w:val="28"/>
          <w:szCs w:val="28"/>
        </w:rPr>
        <w:fldChar w:fldCharType="begin"/>
      </w:r>
      <w:r w:rsidR="008B754A"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8B754A" w:rsidRPr="00C77E77">
        <w:rPr>
          <w:rFonts w:ascii="Times New Roman" w:eastAsia="標楷體" w:hAnsi="Times New Roman" w:cs="Times New Roman"/>
          <w:sz w:val="28"/>
          <w:szCs w:val="28"/>
        </w:rPr>
        <w:fldChar w:fldCharType="separate"/>
      </w:r>
      <w:r w:rsidR="00550D8E" w:rsidRPr="00C77E77">
        <w:rPr>
          <w:rFonts w:ascii="Times New Roman" w:eastAsia="標楷體" w:hAnsi="Times New Roman" w:cs="Times New Roman"/>
          <w:sz w:val="28"/>
          <w:szCs w:val="28"/>
        </w:rPr>
        <w:fldChar w:fldCharType="begin"/>
      </w:r>
      <w:r w:rsidR="00550D8E"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550D8E" w:rsidRPr="00C77E77">
        <w:rPr>
          <w:rFonts w:ascii="Times New Roman" w:eastAsia="標楷體" w:hAnsi="Times New Roman" w:cs="Times New Roman"/>
          <w:sz w:val="28"/>
          <w:szCs w:val="28"/>
        </w:rPr>
        <w:fldChar w:fldCharType="separate"/>
      </w:r>
      <w:r w:rsidR="00F90C03" w:rsidRPr="00C77E77">
        <w:rPr>
          <w:rFonts w:ascii="Times New Roman" w:eastAsia="標楷體" w:hAnsi="Times New Roman" w:cs="Times New Roman"/>
          <w:sz w:val="28"/>
          <w:szCs w:val="28"/>
        </w:rPr>
        <w:fldChar w:fldCharType="begin"/>
      </w:r>
      <w:r w:rsidR="00F90C03"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F90C03" w:rsidRPr="00C77E77">
        <w:rPr>
          <w:rFonts w:ascii="Times New Roman" w:eastAsia="標楷體" w:hAnsi="Times New Roman" w:cs="Times New Roman"/>
          <w:sz w:val="28"/>
          <w:szCs w:val="28"/>
        </w:rPr>
        <w:fldChar w:fldCharType="separate"/>
      </w:r>
      <w:r w:rsidR="00310882" w:rsidRPr="00C77E77">
        <w:rPr>
          <w:rFonts w:ascii="Times New Roman" w:eastAsia="標楷體" w:hAnsi="Times New Roman" w:cs="Times New Roman"/>
          <w:sz w:val="28"/>
          <w:szCs w:val="28"/>
        </w:rPr>
        <w:fldChar w:fldCharType="begin"/>
      </w:r>
      <w:r w:rsidR="00310882"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310882" w:rsidRPr="00C77E77">
        <w:rPr>
          <w:rFonts w:ascii="Times New Roman" w:eastAsia="標楷體" w:hAnsi="Times New Roman" w:cs="Times New Roman"/>
          <w:sz w:val="28"/>
          <w:szCs w:val="28"/>
        </w:rPr>
        <w:fldChar w:fldCharType="separate"/>
      </w:r>
      <w:r w:rsidR="002A2E93" w:rsidRPr="00C77E77">
        <w:rPr>
          <w:rFonts w:ascii="Times New Roman" w:eastAsia="標楷體" w:hAnsi="Times New Roman" w:cs="Times New Roman"/>
          <w:sz w:val="28"/>
          <w:szCs w:val="28"/>
        </w:rPr>
        <w:fldChar w:fldCharType="begin"/>
      </w:r>
      <w:r w:rsidR="002A2E93"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2A2E93" w:rsidRPr="00C77E77">
        <w:rPr>
          <w:rFonts w:ascii="Times New Roman" w:eastAsia="標楷體" w:hAnsi="Times New Roman" w:cs="Times New Roman"/>
          <w:sz w:val="28"/>
          <w:szCs w:val="28"/>
        </w:rPr>
        <w:fldChar w:fldCharType="separate"/>
      </w:r>
      <w:r w:rsidR="00C97C5C" w:rsidRPr="00C77E77">
        <w:rPr>
          <w:rFonts w:ascii="Times New Roman" w:eastAsia="標楷體" w:hAnsi="Times New Roman" w:cs="Times New Roman"/>
          <w:sz w:val="28"/>
          <w:szCs w:val="28"/>
        </w:rPr>
        <w:fldChar w:fldCharType="begin"/>
      </w:r>
      <w:r w:rsidR="00C97C5C"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C97C5C" w:rsidRPr="00C77E77">
        <w:rPr>
          <w:rFonts w:ascii="Times New Roman" w:eastAsia="標楷體" w:hAnsi="Times New Roman" w:cs="Times New Roman"/>
          <w:sz w:val="28"/>
          <w:szCs w:val="28"/>
        </w:rPr>
        <w:fldChar w:fldCharType="separate"/>
      </w:r>
      <w:r w:rsidR="001A0F2A" w:rsidRPr="00C77E77">
        <w:rPr>
          <w:rFonts w:ascii="Times New Roman" w:eastAsia="標楷體" w:hAnsi="Times New Roman" w:cs="Times New Roman"/>
          <w:sz w:val="28"/>
          <w:szCs w:val="28"/>
        </w:rPr>
        <w:fldChar w:fldCharType="begin"/>
      </w:r>
      <w:r w:rsidR="001A0F2A"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1A0F2A" w:rsidRPr="00C77E77">
        <w:rPr>
          <w:rFonts w:ascii="Times New Roman" w:eastAsia="標楷體" w:hAnsi="Times New Roman" w:cs="Times New Roman"/>
          <w:sz w:val="28"/>
          <w:szCs w:val="28"/>
        </w:rPr>
        <w:fldChar w:fldCharType="separate"/>
      </w:r>
      <w:r w:rsidR="00777D90" w:rsidRPr="00C77E77">
        <w:rPr>
          <w:rFonts w:ascii="Times New Roman" w:eastAsia="標楷體" w:hAnsi="Times New Roman" w:cs="Times New Roman"/>
          <w:sz w:val="28"/>
          <w:szCs w:val="28"/>
        </w:rPr>
        <w:fldChar w:fldCharType="begin"/>
      </w:r>
      <w:r w:rsidR="00777D90"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777D90" w:rsidRPr="00C77E77">
        <w:rPr>
          <w:rFonts w:ascii="Times New Roman" w:eastAsia="標楷體" w:hAnsi="Times New Roman" w:cs="Times New Roman"/>
          <w:sz w:val="28"/>
          <w:szCs w:val="28"/>
        </w:rPr>
        <w:fldChar w:fldCharType="separate"/>
      </w:r>
      <w:r w:rsidR="00441968" w:rsidRPr="00C77E77">
        <w:rPr>
          <w:rFonts w:ascii="Times New Roman" w:eastAsia="標楷體" w:hAnsi="Times New Roman" w:cs="Times New Roman"/>
          <w:sz w:val="28"/>
          <w:szCs w:val="28"/>
        </w:rPr>
        <w:fldChar w:fldCharType="begin"/>
      </w:r>
      <w:r w:rsidR="00441968"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441968" w:rsidRPr="00C77E77">
        <w:rPr>
          <w:rFonts w:ascii="Times New Roman" w:eastAsia="標楷體" w:hAnsi="Times New Roman" w:cs="Times New Roman"/>
          <w:sz w:val="28"/>
          <w:szCs w:val="28"/>
        </w:rPr>
        <w:fldChar w:fldCharType="separate"/>
      </w:r>
      <w:r w:rsidR="008A0FC5" w:rsidRPr="00C77E77">
        <w:rPr>
          <w:rFonts w:ascii="Times New Roman" w:eastAsia="標楷體" w:hAnsi="Times New Roman" w:cs="Times New Roman"/>
          <w:sz w:val="28"/>
          <w:szCs w:val="28"/>
        </w:rPr>
        <w:fldChar w:fldCharType="begin"/>
      </w:r>
      <w:r w:rsidR="008A0FC5"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8A0FC5" w:rsidRPr="00C77E77">
        <w:rPr>
          <w:rFonts w:ascii="Times New Roman" w:eastAsia="標楷體" w:hAnsi="Times New Roman" w:cs="Times New Roman"/>
          <w:sz w:val="28"/>
          <w:szCs w:val="28"/>
        </w:rPr>
        <w:fldChar w:fldCharType="separate"/>
      </w:r>
      <w:r w:rsidR="004F435F" w:rsidRPr="00C77E77">
        <w:rPr>
          <w:rFonts w:ascii="Times New Roman" w:eastAsia="標楷體" w:hAnsi="Times New Roman" w:cs="Times New Roman"/>
          <w:sz w:val="28"/>
          <w:szCs w:val="28"/>
        </w:rPr>
        <w:fldChar w:fldCharType="begin"/>
      </w:r>
      <w:r w:rsidR="004F435F"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4F435F" w:rsidRPr="00C77E77">
        <w:rPr>
          <w:rFonts w:ascii="Times New Roman" w:eastAsia="標楷體" w:hAnsi="Times New Roman" w:cs="Times New Roman"/>
          <w:sz w:val="28"/>
          <w:szCs w:val="28"/>
        </w:rPr>
        <w:fldChar w:fldCharType="separate"/>
      </w:r>
      <w:r w:rsidR="0066720A" w:rsidRPr="00C77E77">
        <w:rPr>
          <w:rFonts w:ascii="Times New Roman" w:eastAsia="標楷體" w:hAnsi="Times New Roman" w:cs="Times New Roman"/>
          <w:sz w:val="28"/>
          <w:szCs w:val="28"/>
        </w:rPr>
        <w:fldChar w:fldCharType="begin"/>
      </w:r>
      <w:r w:rsidR="0066720A"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66720A" w:rsidRPr="00C77E77">
        <w:rPr>
          <w:rFonts w:ascii="Times New Roman" w:eastAsia="標楷體" w:hAnsi="Times New Roman" w:cs="Times New Roman"/>
          <w:sz w:val="28"/>
          <w:szCs w:val="28"/>
        </w:rPr>
        <w:fldChar w:fldCharType="separate"/>
      </w:r>
      <w:r w:rsidR="008D1F05" w:rsidRPr="00C77E77">
        <w:rPr>
          <w:rFonts w:ascii="Times New Roman" w:eastAsia="標楷體" w:hAnsi="Times New Roman" w:cs="Times New Roman"/>
          <w:sz w:val="28"/>
          <w:szCs w:val="28"/>
        </w:rPr>
        <w:fldChar w:fldCharType="begin"/>
      </w:r>
      <w:r w:rsidR="008D1F05"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8D1F05" w:rsidRPr="00C77E77">
        <w:rPr>
          <w:rFonts w:ascii="Times New Roman" w:eastAsia="標楷體" w:hAnsi="Times New Roman" w:cs="Times New Roman"/>
          <w:sz w:val="28"/>
          <w:szCs w:val="28"/>
        </w:rPr>
        <w:fldChar w:fldCharType="separate"/>
      </w:r>
      <w:r w:rsidR="0001327A" w:rsidRPr="00C77E77">
        <w:rPr>
          <w:rFonts w:ascii="Times New Roman" w:eastAsia="標楷體" w:hAnsi="Times New Roman" w:cs="Times New Roman"/>
          <w:sz w:val="28"/>
          <w:szCs w:val="28"/>
        </w:rPr>
        <w:fldChar w:fldCharType="begin"/>
      </w:r>
      <w:r w:rsidR="0001327A" w:rsidRPr="00C77E77">
        <w:rPr>
          <w:rFonts w:ascii="Times New Roman" w:eastAsia="標楷體" w:hAnsi="Times New Roman" w:cs="Times New Roman"/>
          <w:sz w:val="28"/>
          <w:szCs w:val="28"/>
        </w:rPr>
        <w:instrText xml:space="preserve"> INCLUDEPICTURE  "https://aseanplus.files.wordpress.com/2016/06/kunming-singapore.png?w=800" \* MERGEFORMATINET </w:instrText>
      </w:r>
      <w:r w:rsidR="0001327A" w:rsidRPr="00C77E77">
        <w:rPr>
          <w:rFonts w:ascii="Times New Roman" w:eastAsia="標楷體" w:hAnsi="Times New Roman" w:cs="Times New Roman"/>
          <w:sz w:val="28"/>
          <w:szCs w:val="28"/>
        </w:rPr>
        <w:fldChar w:fldCharType="separate"/>
      </w:r>
      <w:r w:rsidR="00DB4FEF" w:rsidRPr="00C77E77">
        <w:rPr>
          <w:rFonts w:ascii="Times New Roman" w:eastAsia="標楷體" w:hAnsi="Times New Roman" w:cs="Times New Roman"/>
          <w:sz w:val="28"/>
          <w:szCs w:val="28"/>
        </w:rPr>
        <w:fldChar w:fldCharType="begin"/>
      </w:r>
      <w:r w:rsidR="00DB4FEF" w:rsidRPr="00C77E77">
        <w:rPr>
          <w:rFonts w:ascii="Times New Roman" w:eastAsia="標楷體" w:hAnsi="Times New Roman" w:cs="Times New Roman"/>
          <w:sz w:val="28"/>
          <w:szCs w:val="28"/>
        </w:rPr>
        <w:instrText xml:space="preserve"> </w:instrText>
      </w:r>
      <w:r w:rsidR="00DB4FEF" w:rsidRPr="00C77E77">
        <w:rPr>
          <w:rFonts w:ascii="Times New Roman" w:eastAsia="標楷體" w:hAnsi="Times New Roman" w:cs="Times New Roman"/>
          <w:sz w:val="28"/>
          <w:szCs w:val="28"/>
        </w:rPr>
        <w:instrText xml:space="preserve">INCLUDEPICTURE  "https://aseanplus.files.wordpress.com/2016/06/kunming-singapore.png?w=800" \* </w:instrText>
      </w:r>
      <w:r w:rsidR="00DB4FEF" w:rsidRPr="00C77E77">
        <w:rPr>
          <w:rFonts w:ascii="Times New Roman" w:eastAsia="標楷體" w:hAnsi="Times New Roman" w:cs="Times New Roman"/>
          <w:sz w:val="28"/>
          <w:szCs w:val="28"/>
        </w:rPr>
        <w:instrText>MERGEFORMATINET</w:instrText>
      </w:r>
      <w:r w:rsidR="00DB4FEF" w:rsidRPr="00C77E77">
        <w:rPr>
          <w:rFonts w:ascii="Times New Roman" w:eastAsia="標楷體" w:hAnsi="Times New Roman" w:cs="Times New Roman"/>
          <w:sz w:val="28"/>
          <w:szCs w:val="28"/>
        </w:rPr>
        <w:instrText xml:space="preserve"> </w:instrText>
      </w:r>
      <w:r w:rsidR="00DB4FEF" w:rsidRPr="00C77E77">
        <w:rPr>
          <w:rFonts w:ascii="Times New Roman" w:eastAsia="標楷體" w:hAnsi="Times New Roman" w:cs="Times New Roman"/>
          <w:sz w:val="28"/>
          <w:szCs w:val="28"/>
        </w:rPr>
        <w:fldChar w:fldCharType="separate"/>
      </w:r>
      <w:r w:rsidR="00C77E77" w:rsidRPr="00C77E77">
        <w:rPr>
          <w:rFonts w:ascii="Times New Roman" w:eastAsia="標楷體" w:hAnsi="Times New Roman" w:cs="Times New Roman"/>
          <w:sz w:val="28"/>
          <w:szCs w:val="28"/>
        </w:rPr>
        <w:pict>
          <v:shape id="_x0000_i1070" type="#_x0000_t75" alt="Kunming-Singapore" style="width:394.5pt;height:511.5pt">
            <v:imagedata r:id="rId177" r:href="rId178"/>
          </v:shape>
        </w:pict>
      </w:r>
      <w:r w:rsidR="00DB4FEF" w:rsidRPr="00C77E77">
        <w:rPr>
          <w:rFonts w:ascii="Times New Roman" w:eastAsia="標楷體" w:hAnsi="Times New Roman" w:cs="Times New Roman"/>
          <w:sz w:val="28"/>
          <w:szCs w:val="28"/>
        </w:rPr>
        <w:fldChar w:fldCharType="end"/>
      </w:r>
      <w:r w:rsidR="0001327A" w:rsidRPr="00C77E77">
        <w:rPr>
          <w:rFonts w:ascii="Times New Roman" w:eastAsia="標楷體" w:hAnsi="Times New Roman" w:cs="Times New Roman"/>
          <w:sz w:val="28"/>
          <w:szCs w:val="28"/>
        </w:rPr>
        <w:fldChar w:fldCharType="end"/>
      </w:r>
      <w:r w:rsidR="008D1F05" w:rsidRPr="00C77E77">
        <w:rPr>
          <w:rFonts w:ascii="Times New Roman" w:eastAsia="標楷體" w:hAnsi="Times New Roman" w:cs="Times New Roman"/>
          <w:sz w:val="28"/>
          <w:szCs w:val="28"/>
        </w:rPr>
        <w:fldChar w:fldCharType="end"/>
      </w:r>
      <w:r w:rsidR="0066720A" w:rsidRPr="00C77E77">
        <w:rPr>
          <w:rFonts w:ascii="Times New Roman" w:eastAsia="標楷體" w:hAnsi="Times New Roman" w:cs="Times New Roman"/>
          <w:sz w:val="28"/>
          <w:szCs w:val="28"/>
        </w:rPr>
        <w:fldChar w:fldCharType="end"/>
      </w:r>
      <w:r w:rsidR="004F435F" w:rsidRPr="00C77E77">
        <w:rPr>
          <w:rFonts w:ascii="Times New Roman" w:eastAsia="標楷體" w:hAnsi="Times New Roman" w:cs="Times New Roman"/>
          <w:sz w:val="28"/>
          <w:szCs w:val="28"/>
        </w:rPr>
        <w:fldChar w:fldCharType="end"/>
      </w:r>
      <w:r w:rsidR="008A0FC5" w:rsidRPr="00C77E77">
        <w:rPr>
          <w:rFonts w:ascii="Times New Roman" w:eastAsia="標楷體" w:hAnsi="Times New Roman" w:cs="Times New Roman"/>
          <w:sz w:val="28"/>
          <w:szCs w:val="28"/>
        </w:rPr>
        <w:fldChar w:fldCharType="end"/>
      </w:r>
      <w:r w:rsidR="00441968" w:rsidRPr="00C77E77">
        <w:rPr>
          <w:rFonts w:ascii="Times New Roman" w:eastAsia="標楷體" w:hAnsi="Times New Roman" w:cs="Times New Roman"/>
          <w:sz w:val="28"/>
          <w:szCs w:val="28"/>
        </w:rPr>
        <w:fldChar w:fldCharType="end"/>
      </w:r>
      <w:r w:rsidR="00777D90" w:rsidRPr="00C77E77">
        <w:rPr>
          <w:rFonts w:ascii="Times New Roman" w:eastAsia="標楷體" w:hAnsi="Times New Roman" w:cs="Times New Roman"/>
          <w:sz w:val="28"/>
          <w:szCs w:val="28"/>
        </w:rPr>
        <w:fldChar w:fldCharType="end"/>
      </w:r>
      <w:r w:rsidR="001A0F2A" w:rsidRPr="00C77E77">
        <w:rPr>
          <w:rFonts w:ascii="Times New Roman" w:eastAsia="標楷體" w:hAnsi="Times New Roman" w:cs="Times New Roman"/>
          <w:sz w:val="28"/>
          <w:szCs w:val="28"/>
        </w:rPr>
        <w:fldChar w:fldCharType="end"/>
      </w:r>
      <w:r w:rsidR="00C97C5C" w:rsidRPr="00C77E77">
        <w:rPr>
          <w:rFonts w:ascii="Times New Roman" w:eastAsia="標楷體" w:hAnsi="Times New Roman" w:cs="Times New Roman"/>
          <w:sz w:val="28"/>
          <w:szCs w:val="28"/>
        </w:rPr>
        <w:fldChar w:fldCharType="end"/>
      </w:r>
      <w:r w:rsidR="002A2E93" w:rsidRPr="00C77E77">
        <w:rPr>
          <w:rFonts w:ascii="Times New Roman" w:eastAsia="標楷體" w:hAnsi="Times New Roman" w:cs="Times New Roman"/>
          <w:sz w:val="28"/>
          <w:szCs w:val="28"/>
        </w:rPr>
        <w:fldChar w:fldCharType="end"/>
      </w:r>
      <w:r w:rsidR="00310882" w:rsidRPr="00C77E77">
        <w:rPr>
          <w:rFonts w:ascii="Times New Roman" w:eastAsia="標楷體" w:hAnsi="Times New Roman" w:cs="Times New Roman"/>
          <w:sz w:val="28"/>
          <w:szCs w:val="28"/>
        </w:rPr>
        <w:fldChar w:fldCharType="end"/>
      </w:r>
      <w:r w:rsidR="00F90C03" w:rsidRPr="00C77E77">
        <w:rPr>
          <w:rFonts w:ascii="Times New Roman" w:eastAsia="標楷體" w:hAnsi="Times New Roman" w:cs="Times New Roman"/>
          <w:sz w:val="28"/>
          <w:szCs w:val="28"/>
        </w:rPr>
        <w:fldChar w:fldCharType="end"/>
      </w:r>
      <w:r w:rsidR="00550D8E" w:rsidRPr="00C77E77">
        <w:rPr>
          <w:rFonts w:ascii="Times New Roman" w:eastAsia="標楷體" w:hAnsi="Times New Roman" w:cs="Times New Roman"/>
          <w:sz w:val="28"/>
          <w:szCs w:val="28"/>
        </w:rPr>
        <w:fldChar w:fldCharType="end"/>
      </w:r>
      <w:r w:rsidR="008B754A" w:rsidRPr="00C77E77">
        <w:rPr>
          <w:rFonts w:ascii="Times New Roman" w:eastAsia="標楷體" w:hAnsi="Times New Roman" w:cs="Times New Roman"/>
          <w:sz w:val="28"/>
          <w:szCs w:val="28"/>
        </w:rPr>
        <w:fldChar w:fldCharType="end"/>
      </w:r>
      <w:r w:rsidR="00D939D1" w:rsidRPr="00C77E77">
        <w:rPr>
          <w:rFonts w:ascii="Times New Roman" w:eastAsia="標楷體" w:hAnsi="Times New Roman" w:cs="Times New Roman"/>
          <w:sz w:val="28"/>
          <w:szCs w:val="28"/>
        </w:rPr>
        <w:fldChar w:fldCharType="end"/>
      </w:r>
      <w:r w:rsidR="00A05475"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p>
    <w:p w:rsidR="00E77DD6" w:rsidRPr="00C77E77" w:rsidRDefault="00E77DD6" w:rsidP="00BB2B2A">
      <w:pPr>
        <w:spacing w:before="50" w:after="50" w:line="500" w:lineRule="exact"/>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圖</w:t>
      </w:r>
      <w:r w:rsidRPr="00C77E77">
        <w:rPr>
          <w:rFonts w:ascii="Times New Roman" w:eastAsia="標楷體" w:hAnsi="Times New Roman" w:cs="Times New Roman"/>
          <w:b/>
          <w:sz w:val="28"/>
          <w:szCs w:val="28"/>
        </w:rPr>
        <w:t xml:space="preserve">2 </w:t>
      </w:r>
      <w:r w:rsidRPr="00C77E77">
        <w:rPr>
          <w:rFonts w:ascii="Times New Roman" w:eastAsia="標楷體" w:hAnsi="Times New Roman" w:cs="Times New Roman"/>
          <w:b/>
          <w:sz w:val="28"/>
          <w:szCs w:val="28"/>
        </w:rPr>
        <w:t>中國大陸在中南半島的高鐵規劃</w:t>
      </w:r>
    </w:p>
    <w:p w:rsidR="00E77DD6" w:rsidRPr="00C77E77" w:rsidRDefault="00E77DD6" w:rsidP="00BB2B2A">
      <w:pPr>
        <w:spacing w:before="50" w:after="5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w:t>
      </w:r>
      <w:r w:rsidRPr="00C77E77">
        <w:rPr>
          <w:rFonts w:ascii="Times New Roman" w:eastAsia="標楷體" w:hAnsi="Times New Roman" w:cs="Times New Roman"/>
          <w:sz w:val="28"/>
          <w:szCs w:val="28"/>
        </w:rPr>
        <w:t xml:space="preserve">ASEAN PLUS </w:t>
      </w:r>
      <w:r w:rsidRPr="00C77E77">
        <w:rPr>
          <w:rFonts w:ascii="Times New Roman" w:eastAsia="標楷體" w:hAnsi="Times New Roman" w:cs="Times New Roman"/>
          <w:sz w:val="28"/>
          <w:szCs w:val="28"/>
        </w:rPr>
        <w:t>南洋誌</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中國大陸能夠取得寮國的同意並不難想像，寮國在經濟上仍屬於開發</w:t>
      </w:r>
      <w:r w:rsidRPr="00C77E77">
        <w:rPr>
          <w:rFonts w:ascii="Times New Roman" w:eastAsia="標楷體" w:hAnsi="Times New Roman" w:cs="Times New Roman"/>
          <w:sz w:val="28"/>
          <w:szCs w:val="28"/>
        </w:rPr>
        <w:lastRenderedPageBreak/>
        <w:t>中國家，寮國的國土面積與中國廣西相當，但人口還不及廣西的五分之一，這讓寮國很難透過勞動密集型的製造、加工業振興經濟，長期依賴水電、礦產、種植園農業等附加值低的產業。而中國大陸更是從</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起，就成為寮國的最大投資國。中寮高鐵的由於橋多、隧道多，高額的造價遠超過寮國所能負荷，但透過中寮高鐵讓寮國成為中南半島陸路交通的中間國，確實給寮國一個新的生財之道。高度依賴中國大陸，再加上對於中寮高鐵帶來的繁榮想像，讓寮國並沒有太多籌碼來拒絕中國大陸。但是，中國大陸在面對與泰國的談判上卻遭到了阻礙。</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color w:val="000000"/>
          <w:sz w:val="28"/>
          <w:szCs w:val="28"/>
        </w:rPr>
        <w:t>2014</w:t>
      </w:r>
      <w:r w:rsidRPr="00C77E77">
        <w:rPr>
          <w:rFonts w:ascii="Times New Roman" w:eastAsia="標楷體" w:hAnsi="Times New Roman" w:cs="Times New Roman"/>
          <w:color w:val="000000"/>
          <w:sz w:val="28"/>
          <w:szCs w:val="28"/>
        </w:rPr>
        <w:t>年，中國大陸便與泰國簽署《中泰鐵路合作諒解備忘錄》，</w:t>
      </w:r>
      <w:r w:rsidRPr="00C77E77">
        <w:rPr>
          <w:rFonts w:ascii="Times New Roman" w:eastAsia="標楷體" w:hAnsi="Times New Roman" w:cs="Times New Roman"/>
          <w:sz w:val="28"/>
          <w:szCs w:val="28"/>
        </w:rPr>
        <w:t>但由於泰國無法從中國大陸取得期望的融資條件，於</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月底宣布放棄雙方合資興建高鐵的計畫，改採獨資興建，且截短路線至</w:t>
      </w:r>
      <w:r w:rsidRPr="00C77E77">
        <w:rPr>
          <w:rFonts w:ascii="Times New Roman" w:eastAsia="標楷體" w:hAnsi="Times New Roman" w:cs="Times New Roman"/>
          <w:sz w:val="28"/>
          <w:szCs w:val="28"/>
        </w:rPr>
        <w:t>252.5</w:t>
      </w:r>
      <w:r w:rsidRPr="00C77E77">
        <w:rPr>
          <w:rFonts w:ascii="Times New Roman" w:eastAsia="標楷體" w:hAnsi="Times New Roman" w:cs="Times New Roman"/>
          <w:sz w:val="28"/>
          <w:szCs w:val="28"/>
        </w:rPr>
        <w:t>公里，從曼谷到呵叻，長度還不及原本規劃的三分之一，更重要的是，截短後的路線已經成為泰國的國內項目，而不是北連寮國的「中泰高鐵」，因此，泰國雖然仍然引進中國大陸的技術，但兩國的合作幅度已經大為縮減。其中的關鍵在於，中國大陸要求高鐵沿線的土地開發權，致使泰國的民意反彈，泰國在輿論壓力下最終大規模縮減與中國大陸的合作計畫。畢竟，泰國位於中南半島的樞紐位置，是昆明－新加坡高鐵中不可迴避的中間站，比寮國擁有更多的談判籌碼。而且，日本一直是泰國的最大投資國，在泰國的高鐵興建計畫中也一直虎視眈眈，這帶給中國大陸極大的壓力。</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在中方的退讓下，兩國高鐵建設就階段性程序達成共識，確定將於</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11</w:t>
      </w:r>
      <w:r w:rsidRPr="00C77E77">
        <w:rPr>
          <w:rFonts w:ascii="Times New Roman" w:eastAsia="標楷體" w:hAnsi="Times New Roman" w:cs="Times New Roman"/>
          <w:sz w:val="28"/>
          <w:szCs w:val="28"/>
        </w:rPr>
        <w:t>月就首段</w:t>
      </w:r>
      <w:r w:rsidRPr="00C77E77">
        <w:rPr>
          <w:rFonts w:ascii="Times New Roman" w:eastAsia="標楷體" w:hAnsi="Times New Roman" w:cs="Times New Roman"/>
          <w:sz w:val="28"/>
          <w:szCs w:val="28"/>
        </w:rPr>
        <w:t>3.5</w:t>
      </w:r>
      <w:r w:rsidRPr="00C77E77">
        <w:rPr>
          <w:rFonts w:ascii="Times New Roman" w:eastAsia="標楷體" w:hAnsi="Times New Roman" w:cs="Times New Roman"/>
          <w:sz w:val="28"/>
          <w:szCs w:val="28"/>
        </w:rPr>
        <w:t>公里高鐵施工啟動招標，確保於</w:t>
      </w:r>
      <w:r w:rsidRPr="00C77E77">
        <w:rPr>
          <w:rFonts w:ascii="Times New Roman" w:eastAsia="標楷體" w:hAnsi="Times New Roman" w:cs="Times New Roman"/>
          <w:sz w:val="28"/>
          <w:szCs w:val="28"/>
        </w:rPr>
        <w:t>12</w:t>
      </w:r>
      <w:r w:rsidRPr="00C77E77">
        <w:rPr>
          <w:rFonts w:ascii="Times New Roman" w:eastAsia="標楷體" w:hAnsi="Times New Roman" w:cs="Times New Roman"/>
          <w:sz w:val="28"/>
          <w:szCs w:val="28"/>
        </w:rPr>
        <w:t>月順利動工。至於整個項目的投資額，雙方敲定為</w:t>
      </w:r>
      <w:r w:rsidRPr="00C77E77">
        <w:rPr>
          <w:rFonts w:ascii="Times New Roman" w:eastAsia="標楷體" w:hAnsi="Times New Roman" w:cs="Times New Roman"/>
          <w:sz w:val="28"/>
          <w:szCs w:val="28"/>
        </w:rPr>
        <w:t>1794</w:t>
      </w:r>
      <w:r w:rsidRPr="00C77E77">
        <w:rPr>
          <w:rFonts w:ascii="Times New Roman" w:eastAsia="標楷體" w:hAnsi="Times New Roman" w:cs="Times New Roman"/>
          <w:sz w:val="28"/>
          <w:szCs w:val="28"/>
        </w:rPr>
        <w:t>億</w:t>
      </w:r>
      <w:r w:rsidRPr="00C77E77">
        <w:rPr>
          <w:rFonts w:ascii="Times New Roman" w:eastAsia="標楷體" w:hAnsi="Times New Roman" w:cs="Times New Roman"/>
          <w:sz w:val="28"/>
          <w:szCs w:val="28"/>
        </w:rPr>
        <w:t>1221</w:t>
      </w:r>
      <w:r w:rsidRPr="00C77E77">
        <w:rPr>
          <w:rFonts w:ascii="Times New Roman" w:eastAsia="標楷體" w:hAnsi="Times New Roman" w:cs="Times New Roman"/>
          <w:sz w:val="28"/>
          <w:szCs w:val="28"/>
        </w:rPr>
        <w:t>萬泰銖，其中土木工程建設由泰國</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出資，首段</w:t>
      </w:r>
      <w:r w:rsidRPr="00C77E77">
        <w:rPr>
          <w:rFonts w:ascii="Times New Roman" w:eastAsia="標楷體" w:hAnsi="Times New Roman" w:cs="Times New Roman"/>
          <w:sz w:val="28"/>
          <w:szCs w:val="28"/>
        </w:rPr>
        <w:t>3.5</w:t>
      </w:r>
      <w:r w:rsidRPr="00C77E77">
        <w:rPr>
          <w:rFonts w:ascii="Times New Roman" w:eastAsia="標楷體" w:hAnsi="Times New Roman" w:cs="Times New Roman"/>
          <w:sz w:val="28"/>
          <w:szCs w:val="28"/>
        </w:rPr>
        <w:t>公里高鐵建設由泰國財政部負責尋求資金，至於設計、設備進口與項目施工的監管顧問費用，是否直接向中國大陸尋求貸款，還須做進一步協商，可能還需視利息高低而定。</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color w:val="000000"/>
          <w:sz w:val="28"/>
          <w:szCs w:val="28"/>
        </w:rPr>
      </w:pPr>
      <w:r w:rsidRPr="00C77E77">
        <w:rPr>
          <w:rFonts w:ascii="Times New Roman" w:eastAsia="標楷體" w:hAnsi="Times New Roman" w:cs="Times New Roman"/>
          <w:sz w:val="28"/>
          <w:szCs w:val="28"/>
        </w:rPr>
        <w:t>中泰高鐵的首期工程目前僅剩</w:t>
      </w:r>
      <w:r w:rsidRPr="00C77E77">
        <w:rPr>
          <w:rFonts w:ascii="Times New Roman" w:eastAsia="標楷體" w:hAnsi="Times New Roman" w:cs="Times New Roman"/>
          <w:color w:val="000000"/>
          <w:sz w:val="28"/>
          <w:szCs w:val="28"/>
        </w:rPr>
        <w:t>投資利益分成、土地徵收和環境影響等問題。不過，根據</w:t>
      </w:r>
      <w:r w:rsidRPr="00C77E77">
        <w:rPr>
          <w:rFonts w:ascii="Times New Roman" w:eastAsia="標楷體" w:hAnsi="Times New Roman" w:cs="Times New Roman"/>
          <w:color w:val="000000"/>
          <w:sz w:val="28"/>
          <w:szCs w:val="28"/>
        </w:rPr>
        <w:t>2014</w:t>
      </w:r>
      <w:r w:rsidRPr="00C77E77">
        <w:rPr>
          <w:rFonts w:ascii="Times New Roman" w:eastAsia="標楷體" w:hAnsi="Times New Roman" w:cs="Times New Roman"/>
          <w:color w:val="000000"/>
          <w:sz w:val="28"/>
          <w:szCs w:val="28"/>
        </w:rPr>
        <w:t>年中泰雙方簽署的《中泰鐵路合作諒解備忘錄》，</w:t>
      </w:r>
      <w:r w:rsidRPr="00C77E77">
        <w:rPr>
          <w:rFonts w:ascii="Times New Roman" w:eastAsia="標楷體" w:hAnsi="Times New Roman" w:cs="Times New Roman"/>
          <w:color w:val="000000"/>
          <w:sz w:val="28"/>
          <w:szCs w:val="28"/>
        </w:rPr>
        <w:lastRenderedPageBreak/>
        <w:t>當初規劃的路線全長</w:t>
      </w:r>
      <w:r w:rsidRPr="00C77E77">
        <w:rPr>
          <w:rFonts w:ascii="Times New Roman" w:eastAsia="標楷體" w:hAnsi="Times New Roman" w:cs="Times New Roman"/>
          <w:color w:val="000000"/>
          <w:sz w:val="28"/>
          <w:szCs w:val="28"/>
        </w:rPr>
        <w:t>867</w:t>
      </w:r>
      <w:r w:rsidRPr="00C77E77">
        <w:rPr>
          <w:rFonts w:ascii="Times New Roman" w:eastAsia="標楷體" w:hAnsi="Times New Roman" w:cs="Times New Roman"/>
          <w:color w:val="000000"/>
          <w:sz w:val="28"/>
          <w:szCs w:val="28"/>
        </w:rPr>
        <w:t>公里，預計將一路延伸至泰國與寮國的邊境廊開，與興建中的中寮鐵路相連後，經寮國磨丁和中國磨憨可以抵達昆明。目前敲定的中泰高鐵工程僅約</w:t>
      </w:r>
      <w:r w:rsidRPr="00C77E77">
        <w:rPr>
          <w:rFonts w:ascii="Times New Roman" w:eastAsia="標楷體" w:hAnsi="Times New Roman" w:cs="Times New Roman"/>
          <w:color w:val="000000"/>
          <w:sz w:val="28"/>
          <w:szCs w:val="28"/>
        </w:rPr>
        <w:t>252.5</w:t>
      </w:r>
      <w:r w:rsidRPr="00C77E77">
        <w:rPr>
          <w:rFonts w:ascii="Times New Roman" w:eastAsia="標楷體" w:hAnsi="Times New Roman" w:cs="Times New Roman"/>
          <w:color w:val="000000"/>
          <w:sz w:val="28"/>
          <w:szCs w:val="28"/>
        </w:rPr>
        <w:t>公里，且</w:t>
      </w:r>
      <w:r w:rsidRPr="00C77E77">
        <w:rPr>
          <w:rFonts w:ascii="Times New Roman" w:eastAsia="標楷體" w:hAnsi="Times New Roman" w:cs="Times New Roman"/>
          <w:sz w:val="28"/>
          <w:szCs w:val="28"/>
        </w:rPr>
        <w:t>土木工程建設完全由泰國出資，這與先前規劃的方案有著巨大的差異，</w:t>
      </w:r>
      <w:r w:rsidRPr="00C77E77">
        <w:rPr>
          <w:rFonts w:ascii="Times New Roman" w:eastAsia="標楷體" w:hAnsi="Times New Roman" w:cs="Times New Roman"/>
          <w:color w:val="000000"/>
          <w:sz w:val="28"/>
          <w:szCs w:val="28"/>
        </w:rPr>
        <w:t>從過去幾年泰國在談判中的出爾反爾，加上政局動盪帶來的複雜因素，相信未來中國大陸試圖推動中泰高鐵全線動工，仍將面臨漫長的談判過程。</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類似泰國一波三折的情況也出現在緬甸，緬甸在</w:t>
      </w:r>
      <w:r w:rsidRPr="00C77E77">
        <w:rPr>
          <w:rFonts w:ascii="Times New Roman" w:eastAsia="標楷體" w:hAnsi="Times New Roman" w:cs="Times New Roman"/>
          <w:sz w:val="28"/>
          <w:szCs w:val="28"/>
        </w:rPr>
        <w:t>2014</w:t>
      </w:r>
      <w:r w:rsidRPr="00C77E77">
        <w:rPr>
          <w:rFonts w:ascii="Times New Roman" w:eastAsia="標楷體" w:hAnsi="Times New Roman" w:cs="Times New Roman"/>
          <w:sz w:val="28"/>
          <w:szCs w:val="28"/>
        </w:rPr>
        <w:t>年就以擔心破壞環境為由，取消在緬甸端的部分路段，且因緬甸在</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年與中國簽署的備忘錄（</w:t>
      </w:r>
      <w:r w:rsidRPr="00C77E77">
        <w:rPr>
          <w:rFonts w:ascii="Times New Roman" w:eastAsia="標楷體" w:hAnsi="Times New Roman" w:cs="Times New Roman"/>
          <w:sz w:val="28"/>
          <w:szCs w:val="28"/>
        </w:rPr>
        <w:t>MOU</w:t>
      </w:r>
      <w:r w:rsidRPr="00C77E77">
        <w:rPr>
          <w:rFonts w:ascii="Times New Roman" w:eastAsia="標楷體" w:hAnsi="Times New Roman" w:cs="Times New Roman"/>
          <w:sz w:val="28"/>
          <w:szCs w:val="28"/>
        </w:rPr>
        <w:t>）已到規定的三年期限，而對於該項目計劃中方也未再提出任何要求，加之緬甸民眾與一些政黨不同意此項目，因此緬甸放出消息將取消中緬高鐵項目。中緬高鐵長達</w:t>
      </w:r>
      <w:r w:rsidRPr="00C77E77">
        <w:rPr>
          <w:rFonts w:ascii="Times New Roman" w:eastAsia="標楷體" w:hAnsi="Times New Roman" w:cs="Times New Roman"/>
          <w:sz w:val="28"/>
          <w:szCs w:val="28"/>
        </w:rPr>
        <w:t>30</w:t>
      </w:r>
      <w:r w:rsidRPr="00C77E77">
        <w:rPr>
          <w:rFonts w:ascii="Times New Roman" w:eastAsia="標楷體" w:hAnsi="Times New Roman" w:cs="Times New Roman"/>
          <w:sz w:val="28"/>
          <w:szCs w:val="28"/>
        </w:rPr>
        <w:t>公里的隧道當然會有環境疑慮，當然還包括國內政治不穩定與民意反彈等政治因素，但更關鍵的因素還是緬甸試圖爭取更高的中方出資比例以及更低的貸款利息。在經過漫長的談判後，中緬高鐵終於在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月動工。</w:t>
      </w:r>
    </w:p>
    <w:p w:rsidR="00E77DD6" w:rsidRPr="00C77E77" w:rsidRDefault="00E77DD6" w:rsidP="0001327A">
      <w:pPr>
        <w:pStyle w:val="ab"/>
        <w:numPr>
          <w:ilvl w:val="0"/>
          <w:numId w:val="138"/>
        </w:numPr>
        <w:spacing w:before="50" w:after="5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印尼高鐵計畫與馬新高鐵計畫的中日高鐵大戰</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相較之下，中國大陸在印尼的高鐵計畫便相對順利。印尼從雅加達（</w:t>
      </w:r>
      <w:r w:rsidRPr="00C77E77">
        <w:rPr>
          <w:rFonts w:ascii="Times New Roman" w:eastAsia="標楷體" w:hAnsi="Times New Roman" w:cs="Times New Roman"/>
          <w:sz w:val="28"/>
          <w:szCs w:val="28"/>
        </w:rPr>
        <w:t>Jakarta</w:t>
      </w:r>
      <w:r w:rsidRPr="00C77E77">
        <w:rPr>
          <w:rFonts w:ascii="Times New Roman" w:eastAsia="標楷體" w:hAnsi="Times New Roman" w:cs="Times New Roman"/>
          <w:sz w:val="28"/>
          <w:szCs w:val="28"/>
        </w:rPr>
        <w:t>）至萬隆（</w:t>
      </w:r>
      <w:r w:rsidRPr="00C77E77">
        <w:rPr>
          <w:rFonts w:ascii="Times New Roman" w:eastAsia="標楷體" w:hAnsi="Times New Roman" w:cs="Times New Roman"/>
          <w:sz w:val="28"/>
          <w:szCs w:val="28"/>
        </w:rPr>
        <w:t>Bandung</w:t>
      </w:r>
      <w:r w:rsidRPr="00C77E77">
        <w:rPr>
          <w:rFonts w:ascii="Times New Roman" w:eastAsia="標楷體" w:hAnsi="Times New Roman" w:cs="Times New Roman"/>
          <w:sz w:val="28"/>
          <w:szCs w:val="28"/>
        </w:rPr>
        <w:t>）的高鐵計劃一直以來都是日本的重點項目，這個印尼首條高鐵的路線連接首都雅加達和西爪哇省的省會萬隆，全長</w:t>
      </w:r>
      <w:r w:rsidRPr="00C77E77">
        <w:rPr>
          <w:rFonts w:ascii="Times New Roman" w:eastAsia="標楷體" w:hAnsi="Times New Roman" w:cs="Times New Roman"/>
          <w:sz w:val="28"/>
          <w:szCs w:val="28"/>
        </w:rPr>
        <w:t>150</w:t>
      </w:r>
      <w:r w:rsidRPr="00C77E77">
        <w:rPr>
          <w:rFonts w:ascii="Times New Roman" w:eastAsia="標楷體" w:hAnsi="Times New Roman" w:cs="Times New Roman"/>
          <w:sz w:val="28"/>
          <w:szCs w:val="28"/>
        </w:rPr>
        <w:t>公里，未來並有可能再延長至印尼第二大城，東爪哇省的省會泗水（</w:t>
      </w:r>
      <w:r w:rsidRPr="00C77E77">
        <w:rPr>
          <w:rFonts w:ascii="Times New Roman" w:eastAsia="標楷體" w:hAnsi="Times New Roman" w:cs="Times New Roman"/>
          <w:sz w:val="28"/>
          <w:szCs w:val="28"/>
        </w:rPr>
        <w:t>Surabaya</w:t>
      </w:r>
      <w:r w:rsidRPr="00C77E77">
        <w:rPr>
          <w:rFonts w:ascii="Times New Roman" w:eastAsia="標楷體" w:hAnsi="Times New Roman" w:cs="Times New Roman"/>
          <w:sz w:val="28"/>
          <w:szCs w:val="28"/>
        </w:rPr>
        <w:t>）。（見下圖</w:t>
      </w:r>
      <w:r w:rsidRPr="00C77E77">
        <w:rPr>
          <w:rFonts w:ascii="Times New Roman" w:eastAsia="標楷體" w:hAnsi="Times New Roman" w:cs="Times New Roman"/>
          <w:sz w:val="28"/>
          <w:szCs w:val="28"/>
        </w:rPr>
        <w:t>3</w:t>
      </w:r>
      <w:r w:rsidRPr="00C77E77">
        <w:rPr>
          <w:rFonts w:ascii="Times New Roman" w:eastAsia="標楷體" w:hAnsi="Times New Roman" w:cs="Times New Roman"/>
          <w:sz w:val="28"/>
          <w:szCs w:val="28"/>
        </w:rPr>
        <w:t>）然而，印尼對高鐵建設秉持著不占用國家預算及政府不提供擔保的立場，讓日本無以為繼，故最後由中國大陸獲得合作案，但在開工後一週又傳出停工的消息，印尼要求高鐵加強抗震能力，並延長鐵路使用年限從</w:t>
      </w:r>
      <w:r w:rsidRPr="00C77E77">
        <w:rPr>
          <w:rFonts w:ascii="Times New Roman" w:eastAsia="標楷體" w:hAnsi="Times New Roman" w:cs="Times New Roman"/>
          <w:sz w:val="28"/>
          <w:szCs w:val="28"/>
        </w:rPr>
        <w:t>60</w:t>
      </w:r>
      <w:r w:rsidRPr="00C77E77">
        <w:rPr>
          <w:rFonts w:ascii="Times New Roman" w:eastAsia="標楷體" w:hAnsi="Times New Roman" w:cs="Times New Roman"/>
          <w:sz w:val="28"/>
          <w:szCs w:val="28"/>
        </w:rPr>
        <w:t>年延長到</w:t>
      </w:r>
      <w:r w:rsidRPr="00C77E77">
        <w:rPr>
          <w:rFonts w:ascii="Times New Roman" w:eastAsia="標楷體" w:hAnsi="Times New Roman" w:cs="Times New Roman"/>
          <w:sz w:val="28"/>
          <w:szCs w:val="28"/>
        </w:rPr>
        <w:t>100</w:t>
      </w:r>
      <w:r w:rsidRPr="00C77E77">
        <w:rPr>
          <w:rFonts w:ascii="Times New Roman" w:eastAsia="標楷體" w:hAnsi="Times New Roman" w:cs="Times New Roman"/>
          <w:sz w:val="28"/>
          <w:szCs w:val="28"/>
        </w:rPr>
        <w:t>年，若不及時改善，將不批准建設，最後在中方讓步下續建。</w:t>
      </w:r>
    </w:p>
    <w:p w:rsidR="00E77DD6" w:rsidRPr="00C77E77" w:rsidRDefault="00E77DD6" w:rsidP="00BB2B2A">
      <w:pPr>
        <w:spacing w:before="50" w:after="5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fldChar w:fldCharType="begin"/>
      </w:r>
      <w:r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Pr="00C77E77">
        <w:rPr>
          <w:rFonts w:ascii="Times New Roman" w:eastAsia="標楷體" w:hAnsi="Times New Roman" w:cs="Times New Roman"/>
          <w:sz w:val="28"/>
          <w:szCs w:val="28"/>
        </w:rPr>
        <w:fldChar w:fldCharType="separate"/>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Pr="00C77E77">
        <w:rPr>
          <w:rFonts w:ascii="Times New Roman" w:eastAsia="標楷體" w:hAnsi="Times New Roman" w:cs="Times New Roman"/>
          <w:sz w:val="28"/>
          <w:szCs w:val="28"/>
        </w:rPr>
        <w:fldChar w:fldCharType="separate"/>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Pr="00C77E77">
        <w:rPr>
          <w:rFonts w:ascii="Times New Roman" w:eastAsia="標楷體" w:hAnsi="Times New Roman" w:cs="Times New Roman"/>
          <w:sz w:val="28"/>
          <w:szCs w:val="28"/>
        </w:rPr>
        <w:fldChar w:fldCharType="separate"/>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Pr="00C77E77">
        <w:rPr>
          <w:rFonts w:ascii="Times New Roman" w:eastAsia="標楷體" w:hAnsi="Times New Roman" w:cs="Times New Roman"/>
          <w:sz w:val="28"/>
          <w:szCs w:val="28"/>
        </w:rPr>
        <w:fldChar w:fldCharType="separate"/>
      </w:r>
      <w:r w:rsidRPr="00C77E77">
        <w:rPr>
          <w:rFonts w:ascii="Times New Roman" w:eastAsia="標楷體" w:hAnsi="Times New Roman" w:cs="Times New Roman"/>
          <w:sz w:val="28"/>
          <w:szCs w:val="28"/>
        </w:rPr>
        <w:fldChar w:fldCharType="begin"/>
      </w:r>
      <w:r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Pr="00C77E77">
        <w:rPr>
          <w:rFonts w:ascii="Times New Roman" w:eastAsia="標楷體" w:hAnsi="Times New Roman" w:cs="Times New Roman"/>
          <w:sz w:val="28"/>
          <w:szCs w:val="28"/>
        </w:rPr>
        <w:fldChar w:fldCharType="separate"/>
      </w:r>
      <w:r w:rsidR="00A05475" w:rsidRPr="00C77E77">
        <w:rPr>
          <w:rFonts w:ascii="Times New Roman" w:eastAsia="標楷體" w:hAnsi="Times New Roman" w:cs="Times New Roman"/>
          <w:sz w:val="28"/>
          <w:szCs w:val="28"/>
        </w:rPr>
        <w:fldChar w:fldCharType="begin"/>
      </w:r>
      <w:r w:rsidR="00A05475"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A05475" w:rsidRPr="00C77E77">
        <w:rPr>
          <w:rFonts w:ascii="Times New Roman" w:eastAsia="標楷體" w:hAnsi="Times New Roman" w:cs="Times New Roman"/>
          <w:sz w:val="28"/>
          <w:szCs w:val="28"/>
        </w:rPr>
        <w:fldChar w:fldCharType="separate"/>
      </w:r>
      <w:r w:rsidR="00D939D1" w:rsidRPr="00C77E77">
        <w:rPr>
          <w:rFonts w:ascii="Times New Roman" w:eastAsia="標楷體" w:hAnsi="Times New Roman" w:cs="Times New Roman"/>
          <w:sz w:val="28"/>
          <w:szCs w:val="28"/>
        </w:rPr>
        <w:fldChar w:fldCharType="begin"/>
      </w:r>
      <w:r w:rsidR="00D939D1"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D939D1" w:rsidRPr="00C77E77">
        <w:rPr>
          <w:rFonts w:ascii="Times New Roman" w:eastAsia="標楷體" w:hAnsi="Times New Roman" w:cs="Times New Roman"/>
          <w:sz w:val="28"/>
          <w:szCs w:val="28"/>
        </w:rPr>
        <w:fldChar w:fldCharType="separate"/>
      </w:r>
      <w:r w:rsidR="008B754A" w:rsidRPr="00C77E77">
        <w:rPr>
          <w:rFonts w:ascii="Times New Roman" w:eastAsia="標楷體" w:hAnsi="Times New Roman" w:cs="Times New Roman"/>
          <w:sz w:val="28"/>
          <w:szCs w:val="28"/>
        </w:rPr>
        <w:fldChar w:fldCharType="begin"/>
      </w:r>
      <w:r w:rsidR="008B754A"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8B754A" w:rsidRPr="00C77E77">
        <w:rPr>
          <w:rFonts w:ascii="Times New Roman" w:eastAsia="標楷體" w:hAnsi="Times New Roman" w:cs="Times New Roman"/>
          <w:sz w:val="28"/>
          <w:szCs w:val="28"/>
        </w:rPr>
        <w:fldChar w:fldCharType="separate"/>
      </w:r>
      <w:r w:rsidR="00550D8E" w:rsidRPr="00C77E77">
        <w:rPr>
          <w:rFonts w:ascii="Times New Roman" w:eastAsia="標楷體" w:hAnsi="Times New Roman" w:cs="Times New Roman"/>
          <w:sz w:val="28"/>
          <w:szCs w:val="28"/>
        </w:rPr>
        <w:fldChar w:fldCharType="begin"/>
      </w:r>
      <w:r w:rsidR="00550D8E"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550D8E" w:rsidRPr="00C77E77">
        <w:rPr>
          <w:rFonts w:ascii="Times New Roman" w:eastAsia="標楷體" w:hAnsi="Times New Roman" w:cs="Times New Roman"/>
          <w:sz w:val="28"/>
          <w:szCs w:val="28"/>
        </w:rPr>
        <w:fldChar w:fldCharType="separate"/>
      </w:r>
      <w:r w:rsidR="00F90C03" w:rsidRPr="00C77E77">
        <w:rPr>
          <w:rFonts w:ascii="Times New Roman" w:eastAsia="標楷體" w:hAnsi="Times New Roman" w:cs="Times New Roman"/>
          <w:sz w:val="28"/>
          <w:szCs w:val="28"/>
        </w:rPr>
        <w:fldChar w:fldCharType="begin"/>
      </w:r>
      <w:r w:rsidR="00F90C03"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F90C03" w:rsidRPr="00C77E77">
        <w:rPr>
          <w:rFonts w:ascii="Times New Roman" w:eastAsia="標楷體" w:hAnsi="Times New Roman" w:cs="Times New Roman"/>
          <w:sz w:val="28"/>
          <w:szCs w:val="28"/>
        </w:rPr>
        <w:fldChar w:fldCharType="separate"/>
      </w:r>
      <w:r w:rsidR="00310882" w:rsidRPr="00C77E77">
        <w:rPr>
          <w:rFonts w:ascii="Times New Roman" w:eastAsia="標楷體" w:hAnsi="Times New Roman" w:cs="Times New Roman"/>
          <w:sz w:val="28"/>
          <w:szCs w:val="28"/>
        </w:rPr>
        <w:fldChar w:fldCharType="begin"/>
      </w:r>
      <w:r w:rsidR="00310882"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310882" w:rsidRPr="00C77E77">
        <w:rPr>
          <w:rFonts w:ascii="Times New Roman" w:eastAsia="標楷體" w:hAnsi="Times New Roman" w:cs="Times New Roman"/>
          <w:sz w:val="28"/>
          <w:szCs w:val="28"/>
        </w:rPr>
        <w:fldChar w:fldCharType="separate"/>
      </w:r>
      <w:r w:rsidR="002A2E93" w:rsidRPr="00C77E77">
        <w:rPr>
          <w:rFonts w:ascii="Times New Roman" w:eastAsia="標楷體" w:hAnsi="Times New Roman" w:cs="Times New Roman"/>
          <w:sz w:val="28"/>
          <w:szCs w:val="28"/>
        </w:rPr>
        <w:fldChar w:fldCharType="begin"/>
      </w:r>
      <w:r w:rsidR="002A2E93"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2A2E93" w:rsidRPr="00C77E77">
        <w:rPr>
          <w:rFonts w:ascii="Times New Roman" w:eastAsia="標楷體" w:hAnsi="Times New Roman" w:cs="Times New Roman"/>
          <w:sz w:val="28"/>
          <w:szCs w:val="28"/>
        </w:rPr>
        <w:fldChar w:fldCharType="separate"/>
      </w:r>
      <w:r w:rsidR="00C97C5C" w:rsidRPr="00C77E77">
        <w:rPr>
          <w:rFonts w:ascii="Times New Roman" w:eastAsia="標楷體" w:hAnsi="Times New Roman" w:cs="Times New Roman"/>
          <w:sz w:val="28"/>
          <w:szCs w:val="28"/>
        </w:rPr>
        <w:fldChar w:fldCharType="begin"/>
      </w:r>
      <w:r w:rsidR="00C97C5C"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C97C5C" w:rsidRPr="00C77E77">
        <w:rPr>
          <w:rFonts w:ascii="Times New Roman" w:eastAsia="標楷體" w:hAnsi="Times New Roman" w:cs="Times New Roman"/>
          <w:sz w:val="28"/>
          <w:szCs w:val="28"/>
        </w:rPr>
        <w:fldChar w:fldCharType="separate"/>
      </w:r>
      <w:r w:rsidR="001A0F2A" w:rsidRPr="00C77E77">
        <w:rPr>
          <w:rFonts w:ascii="Times New Roman" w:eastAsia="標楷體" w:hAnsi="Times New Roman" w:cs="Times New Roman"/>
          <w:sz w:val="28"/>
          <w:szCs w:val="28"/>
        </w:rPr>
        <w:fldChar w:fldCharType="begin"/>
      </w:r>
      <w:r w:rsidR="001A0F2A"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1A0F2A" w:rsidRPr="00C77E77">
        <w:rPr>
          <w:rFonts w:ascii="Times New Roman" w:eastAsia="標楷體" w:hAnsi="Times New Roman" w:cs="Times New Roman"/>
          <w:sz w:val="28"/>
          <w:szCs w:val="28"/>
        </w:rPr>
        <w:fldChar w:fldCharType="separate"/>
      </w:r>
      <w:r w:rsidR="00777D90" w:rsidRPr="00C77E77">
        <w:rPr>
          <w:rFonts w:ascii="Times New Roman" w:eastAsia="標楷體" w:hAnsi="Times New Roman" w:cs="Times New Roman"/>
          <w:sz w:val="28"/>
          <w:szCs w:val="28"/>
        </w:rPr>
        <w:fldChar w:fldCharType="begin"/>
      </w:r>
      <w:r w:rsidR="00777D90"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777D90" w:rsidRPr="00C77E77">
        <w:rPr>
          <w:rFonts w:ascii="Times New Roman" w:eastAsia="標楷體" w:hAnsi="Times New Roman" w:cs="Times New Roman"/>
          <w:sz w:val="28"/>
          <w:szCs w:val="28"/>
        </w:rPr>
        <w:fldChar w:fldCharType="separate"/>
      </w:r>
      <w:r w:rsidR="00441968" w:rsidRPr="00C77E77">
        <w:rPr>
          <w:rFonts w:ascii="Times New Roman" w:eastAsia="標楷體" w:hAnsi="Times New Roman" w:cs="Times New Roman"/>
          <w:sz w:val="28"/>
          <w:szCs w:val="28"/>
        </w:rPr>
        <w:fldChar w:fldCharType="begin"/>
      </w:r>
      <w:r w:rsidR="00441968"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441968" w:rsidRPr="00C77E77">
        <w:rPr>
          <w:rFonts w:ascii="Times New Roman" w:eastAsia="標楷體" w:hAnsi="Times New Roman" w:cs="Times New Roman"/>
          <w:sz w:val="28"/>
          <w:szCs w:val="28"/>
        </w:rPr>
        <w:fldChar w:fldCharType="separate"/>
      </w:r>
      <w:r w:rsidR="008A0FC5" w:rsidRPr="00C77E77">
        <w:rPr>
          <w:rFonts w:ascii="Times New Roman" w:eastAsia="標楷體" w:hAnsi="Times New Roman" w:cs="Times New Roman"/>
          <w:sz w:val="28"/>
          <w:szCs w:val="28"/>
        </w:rPr>
        <w:fldChar w:fldCharType="begin"/>
      </w:r>
      <w:r w:rsidR="008A0FC5"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8A0FC5" w:rsidRPr="00C77E77">
        <w:rPr>
          <w:rFonts w:ascii="Times New Roman" w:eastAsia="標楷體" w:hAnsi="Times New Roman" w:cs="Times New Roman"/>
          <w:sz w:val="28"/>
          <w:szCs w:val="28"/>
        </w:rPr>
        <w:fldChar w:fldCharType="separate"/>
      </w:r>
      <w:r w:rsidR="004F435F" w:rsidRPr="00C77E77">
        <w:rPr>
          <w:rFonts w:ascii="Times New Roman" w:eastAsia="標楷體" w:hAnsi="Times New Roman" w:cs="Times New Roman"/>
          <w:sz w:val="28"/>
          <w:szCs w:val="28"/>
        </w:rPr>
        <w:fldChar w:fldCharType="begin"/>
      </w:r>
      <w:r w:rsidR="004F435F"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4F435F" w:rsidRPr="00C77E77">
        <w:rPr>
          <w:rFonts w:ascii="Times New Roman" w:eastAsia="標楷體" w:hAnsi="Times New Roman" w:cs="Times New Roman"/>
          <w:sz w:val="28"/>
          <w:szCs w:val="28"/>
        </w:rPr>
        <w:fldChar w:fldCharType="separate"/>
      </w:r>
      <w:r w:rsidR="0066720A" w:rsidRPr="00C77E77">
        <w:rPr>
          <w:rFonts w:ascii="Times New Roman" w:eastAsia="標楷體" w:hAnsi="Times New Roman" w:cs="Times New Roman"/>
          <w:sz w:val="28"/>
          <w:szCs w:val="28"/>
        </w:rPr>
        <w:fldChar w:fldCharType="begin"/>
      </w:r>
      <w:r w:rsidR="0066720A"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66720A" w:rsidRPr="00C77E77">
        <w:rPr>
          <w:rFonts w:ascii="Times New Roman" w:eastAsia="標楷體" w:hAnsi="Times New Roman" w:cs="Times New Roman"/>
          <w:sz w:val="28"/>
          <w:szCs w:val="28"/>
        </w:rPr>
        <w:fldChar w:fldCharType="separate"/>
      </w:r>
      <w:r w:rsidR="008D1F05" w:rsidRPr="00C77E77">
        <w:rPr>
          <w:rFonts w:ascii="Times New Roman" w:eastAsia="標楷體" w:hAnsi="Times New Roman" w:cs="Times New Roman"/>
          <w:sz w:val="28"/>
          <w:szCs w:val="28"/>
        </w:rPr>
        <w:fldChar w:fldCharType="begin"/>
      </w:r>
      <w:r w:rsidR="008D1F05"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8D1F05" w:rsidRPr="00C77E77">
        <w:rPr>
          <w:rFonts w:ascii="Times New Roman" w:eastAsia="標楷體" w:hAnsi="Times New Roman" w:cs="Times New Roman"/>
          <w:sz w:val="28"/>
          <w:szCs w:val="28"/>
        </w:rPr>
        <w:fldChar w:fldCharType="separate"/>
      </w:r>
      <w:r w:rsidR="0001327A" w:rsidRPr="00C77E77">
        <w:rPr>
          <w:rFonts w:ascii="Times New Roman" w:eastAsia="標楷體" w:hAnsi="Times New Roman" w:cs="Times New Roman"/>
          <w:sz w:val="28"/>
          <w:szCs w:val="28"/>
        </w:rPr>
        <w:fldChar w:fldCharType="begin"/>
      </w:r>
      <w:r w:rsidR="0001327A" w:rsidRPr="00C77E77">
        <w:rPr>
          <w:rFonts w:ascii="Times New Roman" w:eastAsia="標楷體" w:hAnsi="Times New Roman" w:cs="Times New Roman"/>
          <w:sz w:val="28"/>
          <w:szCs w:val="28"/>
        </w:rPr>
        <w:instrText xml:space="preserve"> INCLUDEPICTURE  "https://upload.wikimedia.org/wikipedia/commons/thumb/6/6d/Java_High-speed_Rail_Indonesia.svg/842px-Java_High-speed_Rail_Indonesia.svg.png" \* MERGEFORMATINET </w:instrText>
      </w:r>
      <w:r w:rsidR="0001327A" w:rsidRPr="00C77E77">
        <w:rPr>
          <w:rFonts w:ascii="Times New Roman" w:eastAsia="標楷體" w:hAnsi="Times New Roman" w:cs="Times New Roman"/>
          <w:sz w:val="28"/>
          <w:szCs w:val="28"/>
        </w:rPr>
        <w:fldChar w:fldCharType="separate"/>
      </w:r>
      <w:r w:rsidR="00DB4FEF" w:rsidRPr="00C77E77">
        <w:rPr>
          <w:rFonts w:ascii="Times New Roman" w:eastAsia="標楷體" w:hAnsi="Times New Roman" w:cs="Times New Roman"/>
          <w:sz w:val="28"/>
          <w:szCs w:val="28"/>
        </w:rPr>
        <w:fldChar w:fldCharType="begin"/>
      </w:r>
      <w:r w:rsidR="00DB4FEF" w:rsidRPr="00C77E77">
        <w:rPr>
          <w:rFonts w:ascii="Times New Roman" w:eastAsia="標楷體" w:hAnsi="Times New Roman" w:cs="Times New Roman"/>
          <w:sz w:val="28"/>
          <w:szCs w:val="28"/>
        </w:rPr>
        <w:instrText xml:space="preserve"> </w:instrText>
      </w:r>
      <w:r w:rsidR="00DB4FEF" w:rsidRPr="00C77E77">
        <w:rPr>
          <w:rFonts w:ascii="Times New Roman" w:eastAsia="標楷體" w:hAnsi="Times New Roman" w:cs="Times New Roman"/>
          <w:sz w:val="28"/>
          <w:szCs w:val="28"/>
        </w:rPr>
        <w:instrText>INCLUDEPICTURE  "https://upload.wikimedia.org/w</w:instrText>
      </w:r>
      <w:r w:rsidR="00DB4FEF" w:rsidRPr="00C77E77">
        <w:rPr>
          <w:rFonts w:ascii="Times New Roman" w:eastAsia="標楷體" w:hAnsi="Times New Roman" w:cs="Times New Roman"/>
          <w:sz w:val="28"/>
          <w:szCs w:val="28"/>
        </w:rPr>
        <w:instrText>ikipedia/commons/thumb/6/6d/Java_High-speed_Rail_Indonesia.svg/842px-Java_High-speed_Rail_Indonesia.svg.png" \* MERGEFORMATINET</w:instrText>
      </w:r>
      <w:r w:rsidR="00DB4FEF" w:rsidRPr="00C77E77">
        <w:rPr>
          <w:rFonts w:ascii="Times New Roman" w:eastAsia="標楷體" w:hAnsi="Times New Roman" w:cs="Times New Roman"/>
          <w:sz w:val="28"/>
          <w:szCs w:val="28"/>
        </w:rPr>
        <w:instrText xml:space="preserve"> </w:instrText>
      </w:r>
      <w:r w:rsidR="00DB4FEF" w:rsidRPr="00C77E77">
        <w:rPr>
          <w:rFonts w:ascii="Times New Roman" w:eastAsia="標楷體" w:hAnsi="Times New Roman" w:cs="Times New Roman"/>
          <w:sz w:val="28"/>
          <w:szCs w:val="28"/>
        </w:rPr>
        <w:fldChar w:fldCharType="separate"/>
      </w:r>
      <w:r w:rsidR="00C77E77" w:rsidRPr="00C77E77">
        <w:rPr>
          <w:rFonts w:ascii="Times New Roman" w:eastAsia="標楷體" w:hAnsi="Times New Roman" w:cs="Times New Roman"/>
          <w:sz w:val="28"/>
          <w:szCs w:val="28"/>
        </w:rPr>
        <w:pict>
          <v:shape id="_x0000_i1071" type="#_x0000_t75" alt="" style="width:452.25pt;height:153.75pt">
            <v:imagedata r:id="rId179" r:href="rId180"/>
          </v:shape>
        </w:pict>
      </w:r>
      <w:r w:rsidR="00DB4FEF" w:rsidRPr="00C77E77">
        <w:rPr>
          <w:rFonts w:ascii="Times New Roman" w:eastAsia="標楷體" w:hAnsi="Times New Roman" w:cs="Times New Roman"/>
          <w:sz w:val="28"/>
          <w:szCs w:val="28"/>
        </w:rPr>
        <w:fldChar w:fldCharType="end"/>
      </w:r>
      <w:r w:rsidR="0001327A" w:rsidRPr="00C77E77">
        <w:rPr>
          <w:rFonts w:ascii="Times New Roman" w:eastAsia="標楷體" w:hAnsi="Times New Roman" w:cs="Times New Roman"/>
          <w:sz w:val="28"/>
          <w:szCs w:val="28"/>
        </w:rPr>
        <w:fldChar w:fldCharType="end"/>
      </w:r>
      <w:r w:rsidR="008D1F05" w:rsidRPr="00C77E77">
        <w:rPr>
          <w:rFonts w:ascii="Times New Roman" w:eastAsia="標楷體" w:hAnsi="Times New Roman" w:cs="Times New Roman"/>
          <w:sz w:val="28"/>
          <w:szCs w:val="28"/>
        </w:rPr>
        <w:fldChar w:fldCharType="end"/>
      </w:r>
      <w:r w:rsidR="0066720A" w:rsidRPr="00C77E77">
        <w:rPr>
          <w:rFonts w:ascii="Times New Roman" w:eastAsia="標楷體" w:hAnsi="Times New Roman" w:cs="Times New Roman"/>
          <w:sz w:val="28"/>
          <w:szCs w:val="28"/>
        </w:rPr>
        <w:fldChar w:fldCharType="end"/>
      </w:r>
      <w:r w:rsidR="004F435F" w:rsidRPr="00C77E77">
        <w:rPr>
          <w:rFonts w:ascii="Times New Roman" w:eastAsia="標楷體" w:hAnsi="Times New Roman" w:cs="Times New Roman"/>
          <w:sz w:val="28"/>
          <w:szCs w:val="28"/>
        </w:rPr>
        <w:fldChar w:fldCharType="end"/>
      </w:r>
      <w:r w:rsidR="008A0FC5" w:rsidRPr="00C77E77">
        <w:rPr>
          <w:rFonts w:ascii="Times New Roman" w:eastAsia="標楷體" w:hAnsi="Times New Roman" w:cs="Times New Roman"/>
          <w:sz w:val="28"/>
          <w:szCs w:val="28"/>
        </w:rPr>
        <w:fldChar w:fldCharType="end"/>
      </w:r>
      <w:r w:rsidR="00441968" w:rsidRPr="00C77E77">
        <w:rPr>
          <w:rFonts w:ascii="Times New Roman" w:eastAsia="標楷體" w:hAnsi="Times New Roman" w:cs="Times New Roman"/>
          <w:sz w:val="28"/>
          <w:szCs w:val="28"/>
        </w:rPr>
        <w:fldChar w:fldCharType="end"/>
      </w:r>
      <w:r w:rsidR="00777D90" w:rsidRPr="00C77E77">
        <w:rPr>
          <w:rFonts w:ascii="Times New Roman" w:eastAsia="標楷體" w:hAnsi="Times New Roman" w:cs="Times New Roman"/>
          <w:sz w:val="28"/>
          <w:szCs w:val="28"/>
        </w:rPr>
        <w:fldChar w:fldCharType="end"/>
      </w:r>
      <w:r w:rsidR="001A0F2A" w:rsidRPr="00C77E77">
        <w:rPr>
          <w:rFonts w:ascii="Times New Roman" w:eastAsia="標楷體" w:hAnsi="Times New Roman" w:cs="Times New Roman"/>
          <w:sz w:val="28"/>
          <w:szCs w:val="28"/>
        </w:rPr>
        <w:fldChar w:fldCharType="end"/>
      </w:r>
      <w:r w:rsidR="00C97C5C" w:rsidRPr="00C77E77">
        <w:rPr>
          <w:rFonts w:ascii="Times New Roman" w:eastAsia="標楷體" w:hAnsi="Times New Roman" w:cs="Times New Roman"/>
          <w:sz w:val="28"/>
          <w:szCs w:val="28"/>
        </w:rPr>
        <w:fldChar w:fldCharType="end"/>
      </w:r>
      <w:r w:rsidR="002A2E93" w:rsidRPr="00C77E77">
        <w:rPr>
          <w:rFonts w:ascii="Times New Roman" w:eastAsia="標楷體" w:hAnsi="Times New Roman" w:cs="Times New Roman"/>
          <w:sz w:val="28"/>
          <w:szCs w:val="28"/>
        </w:rPr>
        <w:fldChar w:fldCharType="end"/>
      </w:r>
      <w:r w:rsidR="00310882" w:rsidRPr="00C77E77">
        <w:rPr>
          <w:rFonts w:ascii="Times New Roman" w:eastAsia="標楷體" w:hAnsi="Times New Roman" w:cs="Times New Roman"/>
          <w:sz w:val="28"/>
          <w:szCs w:val="28"/>
        </w:rPr>
        <w:fldChar w:fldCharType="end"/>
      </w:r>
      <w:r w:rsidR="00F90C03" w:rsidRPr="00C77E77">
        <w:rPr>
          <w:rFonts w:ascii="Times New Roman" w:eastAsia="標楷體" w:hAnsi="Times New Roman" w:cs="Times New Roman"/>
          <w:sz w:val="28"/>
          <w:szCs w:val="28"/>
        </w:rPr>
        <w:fldChar w:fldCharType="end"/>
      </w:r>
      <w:r w:rsidR="00550D8E" w:rsidRPr="00C77E77">
        <w:rPr>
          <w:rFonts w:ascii="Times New Roman" w:eastAsia="標楷體" w:hAnsi="Times New Roman" w:cs="Times New Roman"/>
          <w:sz w:val="28"/>
          <w:szCs w:val="28"/>
        </w:rPr>
        <w:fldChar w:fldCharType="end"/>
      </w:r>
      <w:r w:rsidR="008B754A" w:rsidRPr="00C77E77">
        <w:rPr>
          <w:rFonts w:ascii="Times New Roman" w:eastAsia="標楷體" w:hAnsi="Times New Roman" w:cs="Times New Roman"/>
          <w:sz w:val="28"/>
          <w:szCs w:val="28"/>
        </w:rPr>
        <w:fldChar w:fldCharType="end"/>
      </w:r>
      <w:r w:rsidR="00D939D1" w:rsidRPr="00C77E77">
        <w:rPr>
          <w:rFonts w:ascii="Times New Roman" w:eastAsia="標楷體" w:hAnsi="Times New Roman" w:cs="Times New Roman"/>
          <w:sz w:val="28"/>
          <w:szCs w:val="28"/>
        </w:rPr>
        <w:fldChar w:fldCharType="end"/>
      </w:r>
      <w:r w:rsidR="00A05475"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r w:rsidRPr="00C77E77">
        <w:rPr>
          <w:rFonts w:ascii="Times New Roman" w:eastAsia="標楷體" w:hAnsi="Times New Roman" w:cs="Times New Roman"/>
          <w:sz w:val="28"/>
          <w:szCs w:val="28"/>
        </w:rPr>
        <w:fldChar w:fldCharType="end"/>
      </w:r>
    </w:p>
    <w:p w:rsidR="00E77DD6" w:rsidRPr="00C77E77" w:rsidRDefault="00E77DD6" w:rsidP="00BB2B2A">
      <w:pPr>
        <w:spacing w:before="50" w:after="50" w:line="500" w:lineRule="exact"/>
        <w:jc w:val="cente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圖</w:t>
      </w:r>
      <w:r w:rsidRPr="00C77E77">
        <w:rPr>
          <w:rFonts w:ascii="Times New Roman" w:eastAsia="標楷體" w:hAnsi="Times New Roman" w:cs="Times New Roman"/>
          <w:b/>
          <w:sz w:val="28"/>
          <w:szCs w:val="28"/>
        </w:rPr>
        <w:t>3</w:t>
      </w:r>
      <w:r w:rsidRPr="00C77E77">
        <w:rPr>
          <w:rFonts w:ascii="Times New Roman" w:eastAsia="標楷體" w:hAnsi="Times New Roman" w:cs="Times New Roman"/>
          <w:b/>
          <w:sz w:val="28"/>
          <w:szCs w:val="28"/>
        </w:rPr>
        <w:t xml:space="preserve">　印尼高鐵計畫</w:t>
      </w:r>
    </w:p>
    <w:p w:rsidR="00E77DD6" w:rsidRPr="00C77E77" w:rsidRDefault="00E77DD6" w:rsidP="00BB2B2A">
      <w:pPr>
        <w:spacing w:before="50" w:after="50" w:line="500" w:lineRule="exact"/>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資料來源：維基百科</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同樣的中日高鐵大戰也出現在馬來西亞與新加坡之間的高鐵計劃，馬來西亞與新加坡在</w:t>
      </w:r>
      <w:r w:rsidRPr="00C77E77">
        <w:rPr>
          <w:rFonts w:ascii="Times New Roman" w:eastAsia="標楷體" w:hAnsi="Times New Roman" w:cs="Times New Roman"/>
          <w:sz w:val="28"/>
          <w:szCs w:val="28"/>
        </w:rPr>
        <w:t>2016</w:t>
      </w:r>
      <w:r w:rsidRPr="00C77E77">
        <w:rPr>
          <w:rFonts w:ascii="Times New Roman" w:eastAsia="標楷體" w:hAnsi="Times New Roman" w:cs="Times New Roman"/>
          <w:sz w:val="28"/>
          <w:szCs w:val="28"/>
        </w:rPr>
        <w:t>年</w:t>
      </w:r>
      <w:r w:rsidRPr="00C77E77">
        <w:rPr>
          <w:rFonts w:ascii="Times New Roman" w:eastAsia="標楷體" w:hAnsi="Times New Roman" w:cs="Times New Roman"/>
          <w:sz w:val="28"/>
          <w:szCs w:val="28"/>
        </w:rPr>
        <w:t>7</w:t>
      </w:r>
      <w:r w:rsidRPr="00C77E77">
        <w:rPr>
          <w:rFonts w:ascii="Times New Roman" w:eastAsia="標楷體" w:hAnsi="Times New Roman" w:cs="Times New Roman"/>
          <w:sz w:val="28"/>
          <w:szCs w:val="28"/>
        </w:rPr>
        <w:t>月正式簽署馬星高鐵諒解備忘錄，決定興建從吉隆坡到新加坡的高速鐵路，全長</w:t>
      </w:r>
      <w:r w:rsidRPr="00C77E77">
        <w:rPr>
          <w:rFonts w:ascii="Times New Roman" w:eastAsia="標楷體" w:hAnsi="Times New Roman" w:cs="Times New Roman"/>
          <w:sz w:val="28"/>
          <w:szCs w:val="28"/>
        </w:rPr>
        <w:t>350</w:t>
      </w:r>
      <w:r w:rsidRPr="00C77E77">
        <w:rPr>
          <w:rFonts w:ascii="Times New Roman" w:eastAsia="標楷體" w:hAnsi="Times New Roman" w:cs="Times New Roman"/>
          <w:sz w:val="28"/>
          <w:szCs w:val="28"/>
        </w:rPr>
        <w:t>公里。中國大陸與日本對此一計畫皆是勢在必得，尤其是日本在失去印尼的高鐵計畫後，更是將馬新高鐵項目視為背水一戰。總體而言，日本新幹線技術成熟，相對安全，但中國大陸的高鐵建設速度快、造價相對便宜，可說是各有利弊。因此，更關鍵的是政治考量，馬新兩國的態度與政治傾向大致相符，馬來西亞更傾向中國大陸，新加坡更傾向日本，究竟中國大陸推行「一帶一路」的高鐵外交是否能再下一城，未來值得持續觀察。</w:t>
      </w:r>
    </w:p>
    <w:p w:rsidR="00E77DD6" w:rsidRPr="00C77E77" w:rsidRDefault="00E77DD6" w:rsidP="0001327A">
      <w:pPr>
        <w:pStyle w:val="ab"/>
        <w:numPr>
          <w:ilvl w:val="0"/>
          <w:numId w:val="138"/>
        </w:numPr>
        <w:spacing w:before="50" w:after="50" w:line="500" w:lineRule="exact"/>
        <w:ind w:leftChars="0"/>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中國大陸在巴基斯坦的興建計畫</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相較於東南亞，中國大陸在南亞巴基斯坦的合作上相對順利，除了中巴經濟走廊高速公路的建設外，還包括瓜達爾港經濟特區的興建計畫。</w:t>
      </w: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年，巴基斯坦將瓜達爾港週遭</w:t>
      </w:r>
      <w:r w:rsidRPr="00C77E77">
        <w:rPr>
          <w:rFonts w:ascii="Times New Roman" w:eastAsia="標楷體" w:hAnsi="Times New Roman" w:cs="Times New Roman"/>
          <w:sz w:val="28"/>
          <w:szCs w:val="28"/>
        </w:rPr>
        <w:t>2000</w:t>
      </w:r>
      <w:r w:rsidRPr="00C77E77">
        <w:rPr>
          <w:rFonts w:ascii="Times New Roman" w:eastAsia="標楷體" w:hAnsi="Times New Roman" w:cs="Times New Roman"/>
          <w:sz w:val="28"/>
          <w:szCs w:val="28"/>
        </w:rPr>
        <w:t>畝土地租賃給中國大陸，為期</w:t>
      </w:r>
      <w:r w:rsidRPr="00C77E77">
        <w:rPr>
          <w:rFonts w:ascii="Times New Roman" w:eastAsia="標楷體" w:hAnsi="Times New Roman" w:cs="Times New Roman"/>
          <w:sz w:val="28"/>
          <w:szCs w:val="28"/>
        </w:rPr>
        <w:t>43</w:t>
      </w:r>
      <w:r w:rsidRPr="00C77E77">
        <w:rPr>
          <w:rFonts w:ascii="Times New Roman" w:eastAsia="標楷體" w:hAnsi="Times New Roman" w:cs="Times New Roman"/>
          <w:sz w:val="28"/>
          <w:szCs w:val="28"/>
        </w:rPr>
        <w:t>年，用以建設瓜達爾港經濟特區，也是巴基斯坦的第一個經濟特區。再加上絲路基金在巴基斯坦卡洛特投入的水力發電計畫。整體而言，巴基斯坦是中國大陸推行「一帶一路」建設以來，在整個東南亞及南亞區域中最為順利的國家。</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從中國大陸「一帶一路」的運作現況，我們可以發現，東南亞</w:t>
      </w:r>
      <w:r w:rsidRPr="00C77E77">
        <w:rPr>
          <w:rFonts w:ascii="Times New Roman" w:eastAsia="標楷體" w:hAnsi="Times New Roman" w:cs="Times New Roman"/>
          <w:sz w:val="28"/>
          <w:szCs w:val="28"/>
        </w:rPr>
        <w:t>10</w:t>
      </w:r>
      <w:r w:rsidRPr="00C77E77">
        <w:rPr>
          <w:rFonts w:ascii="Times New Roman" w:eastAsia="標楷體" w:hAnsi="Times New Roman" w:cs="Times New Roman"/>
          <w:sz w:val="28"/>
          <w:szCs w:val="28"/>
        </w:rPr>
        <w:t>國與南亞</w:t>
      </w:r>
      <w:r w:rsidRPr="00C77E77">
        <w:rPr>
          <w:rFonts w:ascii="Times New Roman" w:eastAsia="標楷體" w:hAnsi="Times New Roman" w:cs="Times New Roman"/>
          <w:sz w:val="28"/>
          <w:szCs w:val="28"/>
        </w:rPr>
        <w:t>6</w:t>
      </w:r>
      <w:r w:rsidRPr="00C77E77">
        <w:rPr>
          <w:rFonts w:ascii="Times New Roman" w:eastAsia="標楷體" w:hAnsi="Times New Roman" w:cs="Times New Roman"/>
          <w:sz w:val="28"/>
          <w:szCs w:val="28"/>
        </w:rPr>
        <w:t>國對於中國大陸推行「一帶一路」的反應各不相同。總體而言，經濟程度較為落後，在政治上更需要中國大陸支持的緬甸、寮國、柬埔寨、巴基斯坦等國，對於「一帶一路」的態度明顯友好；經濟發展較佳，政治上採取在美中之間避險的泰國、印尼、馬來西亞、新加坡等國則是採取審慎友好的態度；而對中國大陸國力上升充滿疑慮的越南、菲律賓、印度等國，則明顯是採取保留的態度。而面對「一帶一路」的態度也會受到這些國家的內部政治因素影響，如菲律賓在新任總統上臺後，一改過去的親美態度，轉而向中方示好，便是一個從保留態度轉向審慎友好的經典例子。我們從東南亞及南亞各國對中國大陸推動高鐵外交的反應，便可以大致看出中國大陸推行「一帶一路」策略的成效。</w:t>
      </w:r>
    </w:p>
    <w:p w:rsidR="00E77DD6" w:rsidRPr="00C77E77" w:rsidRDefault="00E77DD6" w:rsidP="00BB2B2A">
      <w:pPr>
        <w:pStyle w:val="Web"/>
        <w:spacing w:beforeLines="50" w:before="180" w:beforeAutospacing="0" w:afterLines="50" w:after="180" w:afterAutospacing="0" w:line="500" w:lineRule="exact"/>
        <w:jc w:val="both"/>
        <w:rPr>
          <w:rFonts w:ascii="Times New Roman" w:eastAsia="標楷體" w:hAnsi="Times New Roman" w:cs="Times New Roman"/>
          <w:b/>
          <w:color w:val="000000"/>
          <w:sz w:val="28"/>
          <w:szCs w:val="28"/>
        </w:rPr>
      </w:pPr>
      <w:bookmarkStart w:id="234" w:name="_Toc463023908"/>
      <w:r w:rsidRPr="00C77E77">
        <w:rPr>
          <w:rFonts w:ascii="Times New Roman" w:eastAsia="標楷體" w:hAnsi="Times New Roman" w:cs="Times New Roman"/>
          <w:b/>
          <w:color w:val="000000"/>
          <w:sz w:val="28"/>
          <w:szCs w:val="28"/>
        </w:rPr>
        <w:t>（二）中國大陸推動「一帶一路」策略對我新南向政策之影響</w:t>
      </w:r>
      <w:bookmarkEnd w:id="234"/>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2001</w:t>
      </w:r>
      <w:r w:rsidRPr="00C77E77">
        <w:rPr>
          <w:rFonts w:ascii="Times New Roman" w:eastAsia="標楷體" w:hAnsi="Times New Roman" w:cs="Times New Roman"/>
          <w:sz w:val="28"/>
          <w:szCs w:val="28"/>
        </w:rPr>
        <w:t>年小布希總統上臺初期，改變柯林頓過去將中共視為戰略夥伴關係（</w:t>
      </w:r>
      <w:r w:rsidRPr="00C77E77">
        <w:rPr>
          <w:rFonts w:ascii="Times New Roman" w:eastAsia="標楷體" w:hAnsi="Times New Roman" w:cs="Times New Roman"/>
          <w:sz w:val="28"/>
          <w:szCs w:val="28"/>
        </w:rPr>
        <w:t>strategic partner</w:t>
      </w:r>
      <w:r w:rsidRPr="00C77E77">
        <w:rPr>
          <w:rFonts w:ascii="Times New Roman" w:eastAsia="標楷體" w:hAnsi="Times New Roman" w:cs="Times New Roman"/>
          <w:sz w:val="28"/>
          <w:szCs w:val="28"/>
        </w:rPr>
        <w:t>）的交往政策，試圖回到圍堵政策，抑制中共崛起。但很快的，由於</w:t>
      </w:r>
      <w:r w:rsidRPr="00C77E77">
        <w:rPr>
          <w:rFonts w:ascii="Times New Roman" w:eastAsia="標楷體" w:hAnsi="Times New Roman" w:cs="Times New Roman"/>
          <w:sz w:val="28"/>
          <w:szCs w:val="28"/>
        </w:rPr>
        <w:t>911</w:t>
      </w:r>
      <w:r w:rsidRPr="00C77E77">
        <w:rPr>
          <w:rFonts w:ascii="Times New Roman" w:eastAsia="標楷體" w:hAnsi="Times New Roman" w:cs="Times New Roman"/>
          <w:sz w:val="28"/>
          <w:szCs w:val="28"/>
        </w:rPr>
        <w:t>事件的爆發，由於美國將恐怖主義視為首要敵人，為執行全球反恐戰略，美國重新調整中共的角色，從戰略競爭者（</w:t>
      </w:r>
      <w:r w:rsidRPr="00C77E77">
        <w:rPr>
          <w:rFonts w:ascii="Times New Roman" w:eastAsia="標楷體" w:hAnsi="Times New Roman" w:cs="Times New Roman"/>
          <w:sz w:val="28"/>
          <w:szCs w:val="28"/>
        </w:rPr>
        <w:t>strategic competitor</w:t>
      </w:r>
      <w:r w:rsidRPr="00C77E77">
        <w:rPr>
          <w:rFonts w:ascii="Times New Roman" w:eastAsia="標楷體" w:hAnsi="Times New Roman" w:cs="Times New Roman"/>
          <w:sz w:val="28"/>
          <w:szCs w:val="28"/>
        </w:rPr>
        <w:t>），調整為安全合作者（</w:t>
      </w:r>
      <w:r w:rsidRPr="00C77E77">
        <w:rPr>
          <w:rFonts w:ascii="Times New Roman" w:eastAsia="標楷體" w:hAnsi="Times New Roman" w:cs="Times New Roman"/>
          <w:sz w:val="28"/>
          <w:szCs w:val="28"/>
        </w:rPr>
        <w:t>security collaborator</w:t>
      </w:r>
      <w:r w:rsidRPr="00C77E77">
        <w:rPr>
          <w:rFonts w:ascii="Times New Roman" w:eastAsia="標楷體" w:hAnsi="Times New Roman" w:cs="Times New Roman"/>
          <w:sz w:val="28"/>
          <w:szCs w:val="28"/>
        </w:rPr>
        <w:t>）。但是，阿富汗戰爭、伊拉克戰爭雖對恐怖組織造成了一定的抑制作用，但卻也使美國過分關注伊斯蘭世界，而忽略了東亞正在出現的權力移轉。</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2009</w:t>
      </w:r>
      <w:r w:rsidRPr="00C77E77">
        <w:rPr>
          <w:rFonts w:ascii="Times New Roman" w:eastAsia="標楷體" w:hAnsi="Times New Roman" w:cs="Times New Roman"/>
          <w:sz w:val="28"/>
          <w:szCs w:val="28"/>
        </w:rPr>
        <w:t>年歐巴馬上臺以後，美國高調的提出「重返亞洲」戰略；中國大陸於</w:t>
      </w:r>
      <w:r w:rsidRPr="00C77E77">
        <w:rPr>
          <w:rFonts w:ascii="Times New Roman" w:eastAsia="標楷體" w:hAnsi="Times New Roman" w:cs="Times New Roman"/>
          <w:sz w:val="28"/>
          <w:szCs w:val="28"/>
        </w:rPr>
        <w:t>2010</w:t>
      </w:r>
      <w:r w:rsidRPr="00C77E77">
        <w:rPr>
          <w:rFonts w:ascii="Times New Roman" w:eastAsia="標楷體" w:hAnsi="Times New Roman" w:cs="Times New Roman"/>
          <w:sz w:val="28"/>
          <w:szCs w:val="28"/>
        </w:rPr>
        <w:t>年超越日本成為世界第二大經濟體；</w:t>
      </w:r>
      <w:r w:rsidRPr="00C77E77">
        <w:rPr>
          <w:rFonts w:ascii="Times New Roman" w:eastAsia="標楷體" w:hAnsi="Times New Roman" w:cs="Times New Roman"/>
          <w:sz w:val="28"/>
          <w:szCs w:val="28"/>
        </w:rPr>
        <w:t>2011</w:t>
      </w:r>
      <w:r w:rsidRPr="00C77E77">
        <w:rPr>
          <w:rFonts w:ascii="Times New Roman" w:eastAsia="標楷體" w:hAnsi="Times New Roman" w:cs="Times New Roman"/>
          <w:sz w:val="28"/>
          <w:szCs w:val="28"/>
        </w:rPr>
        <w:t>年，美軍擊斃賓拉登，宣布十年的反恐戰爭終獲勝利；</w:t>
      </w:r>
      <w:r w:rsidRPr="00C77E77">
        <w:rPr>
          <w:rFonts w:ascii="Times New Roman" w:eastAsia="標楷體" w:hAnsi="Times New Roman" w:cs="Times New Roman"/>
          <w:sz w:val="28"/>
          <w:szCs w:val="28"/>
        </w:rPr>
        <w:t>2012</w:t>
      </w:r>
      <w:r w:rsidRPr="00C77E77">
        <w:rPr>
          <w:rFonts w:ascii="Times New Roman" w:eastAsia="標楷體" w:hAnsi="Times New Roman" w:cs="Times New Roman"/>
          <w:sz w:val="28"/>
          <w:szCs w:val="28"/>
        </w:rPr>
        <w:t>年，美國更具體的提出「亞洲再平衡」戰略。實際上，是體悟到中共在這十年的實力逐漸上升，美國必須盡力維持其與其盟國在亞太的優勢。</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2013</w:t>
      </w:r>
      <w:r w:rsidRPr="00C77E77">
        <w:rPr>
          <w:rFonts w:ascii="Times New Roman" w:eastAsia="標楷體" w:hAnsi="Times New Roman" w:cs="Times New Roman"/>
          <w:sz w:val="28"/>
          <w:szCs w:val="28"/>
        </w:rPr>
        <w:t>年，中共正式提出「一帶一路」的戰略，這無疑是對美國「再平衡」戰略的回應。由於美國在亞太地區仍占有明顯的優勢地位，中共在難</w:t>
      </w:r>
      <w:r w:rsidRPr="00C77E77">
        <w:rPr>
          <w:rFonts w:ascii="Times New Roman" w:eastAsia="標楷體" w:hAnsi="Times New Roman" w:cs="Times New Roman"/>
          <w:sz w:val="28"/>
          <w:szCs w:val="28"/>
        </w:rPr>
        <w:lastRenderedPageBreak/>
        <w:t>以突破第一島鏈的困境下，決定往南、往西發展。也就是從過去「面向海洋」、與美國爭奪亞太海權的策略，轉向為「面向大陸」，沿著「一帶一路」開始經略亞洲陸權。</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雖然對中國大陸而言，「一帶」的戰略重要性或不遜於「一路」；但是對臺灣而言，「一帶」的影響很小，並不是臺灣關心的重點，「一路」才是會影響臺灣未來發展的關鍵。若以大陸沿海省份的城市做為「海上絲綢之路」的起點，臺灣便是這條路上的第一站，而後才是東協諸國。因此，臺灣應該是「一路」戰略中首要爭取的對象。</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2015</w:t>
      </w:r>
      <w:r w:rsidRPr="00C77E77">
        <w:rPr>
          <w:rFonts w:ascii="Times New Roman" w:eastAsia="標楷體" w:hAnsi="Times New Roman" w:cs="Times New Roman"/>
          <w:sz w:val="28"/>
          <w:szCs w:val="28"/>
        </w:rPr>
        <w:t>年中共官方公布的</w:t>
      </w:r>
      <w:r w:rsidRPr="00C77E77">
        <w:rPr>
          <w:rFonts w:ascii="Times New Roman" w:eastAsia="標楷體" w:hAnsi="Times New Roman" w:cs="Times New Roman"/>
          <w:color w:val="000000"/>
          <w:sz w:val="28"/>
          <w:szCs w:val="28"/>
        </w:rPr>
        <w:t>《推動共建絲綢之路經濟帶和</w:t>
      </w:r>
      <w:r w:rsidRPr="00C77E77">
        <w:rPr>
          <w:rFonts w:ascii="Times New Roman" w:eastAsia="標楷體" w:hAnsi="Times New Roman" w:cs="Times New Roman"/>
          <w:color w:val="000000"/>
          <w:sz w:val="28"/>
          <w:szCs w:val="28"/>
        </w:rPr>
        <w:t>21</w:t>
      </w:r>
      <w:r w:rsidRPr="00C77E77">
        <w:rPr>
          <w:rFonts w:ascii="Times New Roman" w:eastAsia="標楷體" w:hAnsi="Times New Roman" w:cs="Times New Roman"/>
          <w:color w:val="000000"/>
          <w:sz w:val="28"/>
          <w:szCs w:val="28"/>
        </w:rPr>
        <w:t>世紀海上絲綢之路的願景與行動》</w:t>
      </w:r>
      <w:r w:rsidRPr="00C77E77">
        <w:rPr>
          <w:rFonts w:ascii="Times New Roman" w:eastAsia="標楷體" w:hAnsi="Times New Roman" w:cs="Times New Roman"/>
          <w:sz w:val="28"/>
          <w:szCs w:val="28"/>
        </w:rPr>
        <w:t>文件，其中特別提到要「為臺灣參與『一帶一路』建設作出妥善安排」。換言之，「一帶一路」戰略在設計上並非要繞開臺灣，而是將臺灣也納入「一帶一路」的大戰略中，尤其是讓臺灣成為「海上絲綢之路」的出海第一站。</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無獨有偶，臺灣新政府推動的「新南向政策」也強調「南向」並不是要取代「西進」，兩者並非互斥的零和關係，放眼東南亞及南亞並非排除中國大陸，而是在與中國大陸的經貿基礎上開發新的市場、建立新的合作關係。</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就此而論，大陸的「一帶一路」（尤指海上絲綢之路）與臺灣的新南向政策，兩者之間並非互斥的零和競爭，而是兩岸雙方皆在不同程度上意識到東南亞及南亞此一新興市場的重要性，故提出類似的政策戰略，加強在東南亞及南亞的布局而已。</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當然，隨著中國大陸近年來的快速發展，大陸也同樣面臨產業升級的新常態，故加強在東南亞及南亞的布局，亦代表了兩岸在東南亞及南亞地區存在一定的競爭。舉例而言，在我國十大系統輸出中，大陸在太陽光電、</w:t>
      </w:r>
      <w:r w:rsidRPr="00C77E77">
        <w:rPr>
          <w:rFonts w:ascii="Times New Roman" w:eastAsia="標楷體" w:hAnsi="Times New Roman" w:cs="Times New Roman"/>
          <w:sz w:val="28"/>
          <w:szCs w:val="28"/>
        </w:rPr>
        <w:t>LED</w:t>
      </w:r>
      <w:r w:rsidRPr="00C77E77">
        <w:rPr>
          <w:rFonts w:ascii="Times New Roman" w:eastAsia="標楷體" w:hAnsi="Times New Roman" w:cs="Times New Roman"/>
          <w:sz w:val="28"/>
          <w:szCs w:val="28"/>
        </w:rPr>
        <w:t>照明光電及電動車上，便有相當強勁的競爭優勢，在整個綠能產業上，由於兩岸的產業結構類似，無論是針對東南亞及南亞此一新興市場之貿易輸出或投資設廠，恐怕皆是競爭多於合作。而且中國大陸又有東協</w:t>
      </w:r>
      <w:r w:rsidRPr="00C77E77">
        <w:rPr>
          <w:rFonts w:ascii="Times New Roman" w:eastAsia="標楷體" w:hAnsi="Times New Roman" w:cs="Times New Roman"/>
          <w:sz w:val="28"/>
          <w:szCs w:val="28"/>
        </w:rPr>
        <w:t>10+1</w:t>
      </w:r>
      <w:r w:rsidRPr="00C77E77">
        <w:rPr>
          <w:rFonts w:ascii="Times New Roman" w:eastAsia="標楷體" w:hAnsi="Times New Roman" w:cs="Times New Roman"/>
          <w:sz w:val="28"/>
          <w:szCs w:val="28"/>
        </w:rPr>
        <w:lastRenderedPageBreak/>
        <w:t>等關稅優勢，對於我國產業的市場進入更為不利，更遑論如太陽光電、電動汽車等產業，中國大陸產業的商品本身就比我國產業的商品更具競爭力。但是，在十大系統輸出中，我國在電子化政府、智慧校園、智慧醫療等產業上又明顯較中國大陸更有競爭優勢，未來不但能推向中國大陸，更應擴展至東南亞及南亞等新興市場。因此，單論東南亞及南亞等新興市場之貿易與投資，中國大陸的一帶一路戰略與我國的新南向政策，將會出現部分產業競爭、部分產業合作的競合關係。</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然而，正如同我國之新南向政策，雖然包含政治、經濟、社會、文化、教育等多面向的雙向合作交流，但仍是以經貿合作為核心，希望能夠以東南亞及南亞做為我國內需市場之擴大與延伸。一帶一路戰略就中國大陸而言，雖然具有政治、經濟、外交等多重面向，但核心仍是基礎建設之興建，並藉此輸出國內過剩的產能。在這方面，我國雖然有許多大型建設之興建經驗，但由於量體有限，若要試圖單獨承攬一個大型工程，恐怕仍是力有未逮。因此，在基礎建設的工程上，兩岸恐怕仍有相當大的合作空間。</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舉例而言，印尼首都雅加達的捷運興建工程，便是由日本三井住友建設承造，但在實際施工部分，由於印尼勞工缺乏操作打通捷運地底隧道的潛盾機的相關技能；而臺灣一些公司在建設臺北捷運及高雄捷運時累積豐富經驗。因此，日本企業找上擁有豐富捷運建設經驗的臺灣孟韋工程有限公司參與雅加達捷運建造。類似的合作模式是否可以複製至中國大陸在東南亞及南亞地區的高鐵外交，便值得進一步的思考與規劃。</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此，我國的「新南向政策」是否能與中國大陸「一帶一路」策略進行合作（大陸稱為「對接」），甚至建構臺灣－中國大陸－東協的三角經貿產業鏈，亦是一個可以思考的問題。而在思考「能否合作」之前，更應先思考「應否合作」。換言之，由於兩岸關係是一個持續交往的過程，雙方對待彼此的態度會交互影響兩方的政策推動與結果，形成一個相互建構的動態結構。我國對待中國大陸「一帶一路」策略的態度，將會影響到中國大陸在推行「一帶一路」策略時關於臺灣參與的相關安排；而中方的態度與</w:t>
      </w:r>
      <w:r w:rsidRPr="00C77E77">
        <w:rPr>
          <w:rFonts w:ascii="Times New Roman" w:eastAsia="標楷體" w:hAnsi="Times New Roman" w:cs="Times New Roman"/>
          <w:sz w:val="28"/>
          <w:szCs w:val="28"/>
        </w:rPr>
        <w:lastRenderedPageBreak/>
        <w:t>相關安排又會影響到我國推行新南向政策時的發展方向與重點項目。</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故此，在一個兩岸持續互動的中長期政策進程中，中國大陸的「一帶一路」策略對我國新南向政策之影響難以準確評估，端視兩岸政治氛圍，以及我國政府面對「一帶一路」策略之回應態度而變動。我國面對中國大陸的「一帶一路」策略時，若採取不同態度，則「一帶一路」策略對我國造成的影響亦會不同。因此，關鍵在於我國在推行新南向政策時因應「一帶一路」策略的立場與作為，如何避免中國大陸「一帶一路」策略對我國推動新南向政策造成之負面影響，將是我國政府應宜思考的主要課題</w:t>
      </w:r>
    </w:p>
    <w:p w:rsidR="00E77DD6" w:rsidRPr="00C77E77" w:rsidRDefault="00E77DD6" w:rsidP="00BB2B2A">
      <w:pPr>
        <w:pStyle w:val="Web"/>
        <w:spacing w:beforeLines="50" w:before="180" w:beforeAutospacing="0" w:afterLines="50" w:after="180" w:afterAutospacing="0" w:line="500" w:lineRule="exact"/>
        <w:jc w:val="both"/>
        <w:rPr>
          <w:rFonts w:ascii="Times New Roman" w:eastAsia="標楷體" w:hAnsi="Times New Roman" w:cs="Times New Roman"/>
          <w:b/>
          <w:color w:val="000000"/>
          <w:sz w:val="28"/>
          <w:szCs w:val="28"/>
        </w:rPr>
      </w:pPr>
      <w:bookmarkStart w:id="235" w:name="_Toc463023909"/>
      <w:r w:rsidRPr="00C77E77">
        <w:rPr>
          <w:rFonts w:ascii="Times New Roman" w:eastAsia="標楷體" w:hAnsi="Times New Roman" w:cs="Times New Roman"/>
          <w:b/>
          <w:color w:val="000000"/>
          <w:sz w:val="28"/>
          <w:szCs w:val="28"/>
        </w:rPr>
        <w:t>三、政策建議</w:t>
      </w:r>
      <w:bookmarkEnd w:id="235"/>
    </w:p>
    <w:p w:rsidR="00E77DD6" w:rsidRPr="00C77E77" w:rsidRDefault="00E77DD6" w:rsidP="00BB2B2A">
      <w:pPr>
        <w:pStyle w:val="Web"/>
        <w:spacing w:beforeLines="50" w:before="180" w:beforeAutospacing="0" w:afterLines="50" w:after="180" w:afterAutospacing="0" w:line="500" w:lineRule="exact"/>
        <w:ind w:firstLine="480"/>
        <w:jc w:val="both"/>
        <w:rPr>
          <w:rFonts w:ascii="Times New Roman" w:eastAsia="標楷體" w:hAnsi="Times New Roman" w:cs="Times New Roman"/>
          <w:color w:val="000000" w:themeColor="text1"/>
          <w:sz w:val="28"/>
          <w:szCs w:val="28"/>
        </w:rPr>
      </w:pPr>
      <w:r w:rsidRPr="00C77E77">
        <w:rPr>
          <w:rFonts w:ascii="Times New Roman" w:eastAsia="標楷體" w:hAnsi="Times New Roman" w:cs="Times New Roman"/>
          <w:color w:val="000000" w:themeColor="text1"/>
          <w:sz w:val="28"/>
          <w:szCs w:val="28"/>
        </w:rPr>
        <w:t>因中國大陸積極加強與東協國家互動，而我國也多次強調新南向政策並非要繞過中國大陸，因此，我國與中國大陸、東協國家的三方互動成為未來值得持續關注的議題。</w:t>
      </w:r>
    </w:p>
    <w:p w:rsidR="00E77DD6" w:rsidRPr="00C77E77" w:rsidRDefault="00E77DD6" w:rsidP="00BB2B2A">
      <w:pPr>
        <w:pStyle w:val="Web"/>
        <w:spacing w:beforeLines="50" w:before="180" w:beforeAutospacing="0" w:afterLines="50" w:after="180" w:afterAutospacing="0" w:line="500" w:lineRule="exact"/>
        <w:ind w:firstLine="480"/>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themeColor="text1"/>
          <w:sz w:val="28"/>
          <w:szCs w:val="28"/>
        </w:rPr>
        <w:t>從過去的兩岸互動中，兩岸對待彼此的態度，往往會影響到雙方政策的推行，新政府上臺後兩岸官方關係進入冷和階段，更可能為新南向政策的落實增添變數。尤其是此次兩岸的「一帶一路」與「新南向政策」不約而同的將目光放在東南亞及南亞等新興市場，這種透過交往進行相互建構的特性將會更加明顯，未來「一帶一路」對「新南向政策」的影響，恐將取決於今日我國面對「一帶一路」之回應。未來如何找到兩岸關係的施力點，創造推展新南向政策的助力，實為考驗新政府的關鍵課題之一。有鑑於此，本研究提出三種方向之政策建議如下：</w:t>
      </w:r>
    </w:p>
    <w:p w:rsidR="00E77DD6" w:rsidRPr="00C77E77" w:rsidRDefault="00E77DD6" w:rsidP="0001327A">
      <w:pPr>
        <w:pStyle w:val="Web"/>
        <w:numPr>
          <w:ilvl w:val="0"/>
          <w:numId w:val="136"/>
        </w:numPr>
        <w:spacing w:beforeLines="50" w:before="180" w:beforeAutospacing="0" w:afterLines="50" w:after="180" w:afterAutospacing="0" w:line="500" w:lineRule="exact"/>
        <w:jc w:val="both"/>
        <w:rPr>
          <w:rFonts w:ascii="Times New Roman" w:eastAsia="標楷體" w:hAnsi="Times New Roman" w:cs="Times New Roman"/>
          <w:b/>
          <w:color w:val="000000"/>
          <w:sz w:val="28"/>
          <w:szCs w:val="28"/>
        </w:rPr>
      </w:pPr>
      <w:bookmarkStart w:id="236" w:name="_Toc463023910"/>
      <w:r w:rsidRPr="00C77E77">
        <w:rPr>
          <w:rFonts w:ascii="Times New Roman" w:eastAsia="標楷體" w:hAnsi="Times New Roman" w:cs="Times New Roman"/>
          <w:b/>
          <w:color w:val="000000"/>
          <w:sz w:val="28"/>
          <w:szCs w:val="28"/>
        </w:rPr>
        <w:t>建議方向一：積極迎向一帶一路挑戰之我國新南向工作政策建議</w:t>
      </w:r>
      <w:bookmarkEnd w:id="236"/>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從政治面向而言，一帶一路意味著中國大陸對周邊國家的影響力顯著提升。中國大陸協助周邊國家興建基礎設施並不僅是向外輸出國內過剩的產能而已，以高鐵為例，興建高鐵意味著後續車輛與軟硬體設備的保養、維修、更新、購買等支出。而且還包括了高鐵的經營權、沿線土地的開發權，以及貸款利息的支付，巨大的投資與在經濟、債務上的控制，擴大了</w:t>
      </w:r>
      <w:r w:rsidRPr="00C77E77">
        <w:rPr>
          <w:rFonts w:ascii="Times New Roman" w:eastAsia="標楷體" w:hAnsi="Times New Roman" w:cs="Times New Roman"/>
          <w:sz w:val="28"/>
          <w:szCs w:val="28"/>
        </w:rPr>
        <w:lastRenderedPageBreak/>
        <w:t>中國大陸對高鐵興建國的影響力。而如巴基斯坦的興建瓜達爾港經濟特區，除了讓中國大陸享有</w:t>
      </w:r>
      <w:r w:rsidRPr="00C77E77">
        <w:rPr>
          <w:rFonts w:ascii="Times New Roman" w:eastAsia="標楷體" w:hAnsi="Times New Roman" w:cs="Times New Roman"/>
          <w:sz w:val="28"/>
          <w:szCs w:val="28"/>
        </w:rPr>
        <w:t>40</w:t>
      </w:r>
      <w:r w:rsidRPr="00C77E77">
        <w:rPr>
          <w:rFonts w:ascii="Times New Roman" w:eastAsia="標楷體" w:hAnsi="Times New Roman" w:cs="Times New Roman"/>
          <w:sz w:val="28"/>
          <w:szCs w:val="28"/>
        </w:rPr>
        <w:t>年的經營權外，更讓中國大陸直接擁有通往印度洋的港口，此種影響力的提升更非單純的經濟利益而已。</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因此，面對中國大陸在東南亞及南亞地區的影響力提升，我國應該積極面對，以避免此消彼長的負面效果。事實上，我國在推行新南向政策時，並不會陷入單打獨鬥、孤掌難鳴的窘境，這從中國大陸推行「一帶一路」的高鐵外交中，便可看出端倪。如越南、菲律賓、印度等國，便因為對中國大陸的國力上升充滿疑慮，故在高鐵的選擇上更傾向日本。事實上，這種小國對於鄰近大國的疑慮並不限於這幾個國家，其他接受中國大陸高鐵興建案的國家亦有此種疑慮，只是在經濟誘因上不得不進行妥協。而從許多一波三折的高鐵計畫案談判中，我們亦可發現，本身政經籌碼越多的國家，就越能爭取到更好的條件。</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就此而論，我國做為強鄰之側的小國，與東南亞及南亞各國同樣對中國大陸的權力上升感到切身之患，在面對中國大陸「大國崛起」、強勢輸出高鐵外交的同時，亦應積極發展與東南亞及南亞各國的實質關係，正面迎向「一帶一路」的挑戰，在東南亞及南亞區域進行合縱連橫，主動與東南亞及南亞各國洽簽投保協議與</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，並爭取友好國家支持我國加入</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由於我國長年以來的經貿實力發展，以及臺灣位於東亞海空運中樞地位，在區域經貿上原本即應該扮演重要的角色。尤其臺商在區域與全球仍是活躍的，不僅逐漸創造與發展品牌，也以國際代工者的角色在產業界創造出藍海空間，成為國際產業鏈中重要的一環，國際許多商品品牌均有臺商生產鏈的參與，臺灣產業在全球與區域中仍是重要的關鍵角色。我國應該善用此一優勢，透過與全球及區域的綿密產業供需鏈，在強化兩岸經貿發展的同時，掌握我國與東南亞及南亞區域進一步發展的契機。</w:t>
      </w:r>
    </w:p>
    <w:p w:rsidR="00E77DD6" w:rsidRPr="00C77E77" w:rsidRDefault="00E77DD6" w:rsidP="0001327A">
      <w:pPr>
        <w:pStyle w:val="Web"/>
        <w:numPr>
          <w:ilvl w:val="0"/>
          <w:numId w:val="136"/>
        </w:numPr>
        <w:spacing w:beforeLines="50" w:before="180" w:beforeAutospacing="0" w:afterLines="50" w:after="180" w:afterAutospacing="0" w:line="500" w:lineRule="exact"/>
        <w:jc w:val="both"/>
        <w:rPr>
          <w:rFonts w:ascii="Times New Roman" w:eastAsia="標楷體" w:hAnsi="Times New Roman" w:cs="Times New Roman"/>
          <w:b/>
          <w:color w:val="000000"/>
          <w:sz w:val="28"/>
          <w:szCs w:val="28"/>
        </w:rPr>
      </w:pPr>
      <w:bookmarkStart w:id="237" w:name="_Toc463023911"/>
      <w:r w:rsidRPr="00C77E77">
        <w:rPr>
          <w:rFonts w:ascii="Times New Roman" w:eastAsia="標楷體" w:hAnsi="Times New Roman" w:cs="Times New Roman"/>
          <w:b/>
          <w:color w:val="000000"/>
          <w:sz w:val="28"/>
          <w:szCs w:val="28"/>
        </w:rPr>
        <w:t>建議方向二：消極迴避一帶一路影響之我國新南向工作政策建議</w:t>
      </w:r>
      <w:bookmarkEnd w:id="237"/>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仔細盤點中國大陸在過去三年內推動的「一帶一路」政策，將會發現中國大陸的「一帶一路」主要集中於基礎設施的興建，諸如高速公路、高速鐵路、港口、水力發電等設施。反觀我國之新南向政策，目前其實並無積極推動我國的營建產業往東南亞及南亞輸出之相關規劃。</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我國的新南向政策除了強調政治、社會、文化、教育等多面向的雙向交流外，也相當重視經濟上的雙向互利合作，其中列為交流重點的十大系統輸出與電子商務、新農業部分，基本上與中國大陸的「一帶一路」政策並無牴觸之處。</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換言之，二者從經濟政策的角度而言並無直接關聯。因此，我國在面對中國大陸的「一帶一路」政策，其實亦可採取消極迴避的策略。如在中日的高鐵大戰中置身事外，轉而強調我國與東南亞及南亞各國在十大系統輸出與電子商務、新農業等產業上的實質合作，包括我國各產業至東南亞及南亞各國的貿易輸出與投資設廠，以及該國與我國的技術經驗交流與人才培育等。</w:t>
      </w:r>
    </w:p>
    <w:p w:rsidR="00E77DD6" w:rsidRPr="00C77E77" w:rsidRDefault="00E77DD6" w:rsidP="00BB2B2A">
      <w:pPr>
        <w:spacing w:before="50"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不過，值得注意的是，雖然中國大陸高鐵外交之推行成功與否，與我國之</w:t>
      </w:r>
      <w:r w:rsidRPr="00C77E77">
        <w:rPr>
          <w:rFonts w:ascii="Times New Roman" w:eastAsia="標楷體" w:hAnsi="Times New Roman" w:cs="Times New Roman"/>
          <w:sz w:val="28"/>
          <w:szCs w:val="28"/>
        </w:rPr>
        <w:t>10+2</w:t>
      </w:r>
      <w:r w:rsidRPr="00C77E77">
        <w:rPr>
          <w:rFonts w:ascii="Times New Roman" w:eastAsia="標楷體" w:hAnsi="Times New Roman" w:cs="Times New Roman"/>
          <w:sz w:val="28"/>
          <w:szCs w:val="28"/>
        </w:rPr>
        <w:t>產業是否能夠順利推動新南向並無直接關係，但中國大陸與東協的東協</w:t>
      </w:r>
      <w:r w:rsidRPr="00C77E77">
        <w:rPr>
          <w:rFonts w:ascii="Times New Roman" w:eastAsia="標楷體" w:hAnsi="Times New Roman" w:cs="Times New Roman"/>
          <w:sz w:val="28"/>
          <w:szCs w:val="28"/>
        </w:rPr>
        <w:t>10+1</w:t>
      </w:r>
      <w:r w:rsidRPr="00C77E77">
        <w:rPr>
          <w:rFonts w:ascii="Times New Roman" w:eastAsia="標楷體" w:hAnsi="Times New Roman" w:cs="Times New Roman"/>
          <w:sz w:val="28"/>
          <w:szCs w:val="28"/>
        </w:rPr>
        <w:t>，以及</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等區域經貿組織，卻會對我國產業進入東南亞及南亞市場產生阻力。因此，本項消極迴避的建議方向與前述正面迎戰知方向其實並不違背，我國若能趁中國大陸將發展重心聚焦於「一帶一路」的基礎建設項目，消極迴避與中國大陸在基礎建設項目上的競標，同時積極推動我國與東南亞及南亞各國的投保協議或</w:t>
      </w:r>
      <w:r w:rsidRPr="00C77E77">
        <w:rPr>
          <w:rFonts w:ascii="Times New Roman" w:eastAsia="標楷體" w:hAnsi="Times New Roman" w:cs="Times New Roman"/>
          <w:sz w:val="28"/>
          <w:szCs w:val="28"/>
        </w:rPr>
        <w:t>FTA</w:t>
      </w:r>
      <w:r w:rsidRPr="00C77E77">
        <w:rPr>
          <w:rFonts w:ascii="Times New Roman" w:eastAsia="標楷體" w:hAnsi="Times New Roman" w:cs="Times New Roman"/>
          <w:sz w:val="28"/>
          <w:szCs w:val="28"/>
        </w:rPr>
        <w:t>，甚至加入尋求加入</w:t>
      </w:r>
      <w:r w:rsidRPr="00C77E77">
        <w:rPr>
          <w:rFonts w:ascii="Times New Roman" w:eastAsia="標楷體" w:hAnsi="Times New Roman" w:cs="Times New Roman"/>
          <w:sz w:val="28"/>
          <w:szCs w:val="28"/>
        </w:rPr>
        <w:t>RCEP</w:t>
      </w:r>
      <w:r w:rsidRPr="00C77E77">
        <w:rPr>
          <w:rFonts w:ascii="Times New Roman" w:eastAsia="標楷體" w:hAnsi="Times New Roman" w:cs="Times New Roman"/>
          <w:sz w:val="28"/>
          <w:szCs w:val="28"/>
        </w:rPr>
        <w:t>，深化我國與東南亞及南亞各國的經貿合作，便能使新南向政策成為攻守兼備的策略。</w:t>
      </w:r>
    </w:p>
    <w:p w:rsidR="00E77DD6" w:rsidRPr="00C77E77" w:rsidRDefault="00E77DD6" w:rsidP="0001327A">
      <w:pPr>
        <w:pStyle w:val="Web"/>
        <w:numPr>
          <w:ilvl w:val="0"/>
          <w:numId w:val="136"/>
        </w:numPr>
        <w:spacing w:before="0" w:beforeAutospacing="0" w:afterLines="50" w:after="180" w:afterAutospacing="0" w:line="500" w:lineRule="exact"/>
        <w:jc w:val="both"/>
        <w:rPr>
          <w:rFonts w:ascii="Times New Roman" w:eastAsia="標楷體" w:hAnsi="Times New Roman" w:cs="Times New Roman"/>
          <w:b/>
          <w:color w:val="000000"/>
          <w:sz w:val="28"/>
          <w:szCs w:val="28"/>
        </w:rPr>
      </w:pPr>
      <w:bookmarkStart w:id="238" w:name="_Toc463023912"/>
      <w:r w:rsidRPr="00C77E77">
        <w:rPr>
          <w:rFonts w:ascii="Times New Roman" w:eastAsia="標楷體" w:hAnsi="Times New Roman" w:cs="Times New Roman"/>
          <w:b/>
          <w:color w:val="000000"/>
          <w:sz w:val="28"/>
          <w:szCs w:val="28"/>
        </w:rPr>
        <w:t>建議方向三：有效因應「一帶一路」可能衝擊，研提新南向與「一帶一路」之競合策略建議</w:t>
      </w:r>
      <w:bookmarkEnd w:id="238"/>
    </w:p>
    <w:p w:rsidR="00E77DD6" w:rsidRPr="00C77E77" w:rsidRDefault="009B2A0F" w:rsidP="003825AF">
      <w:pPr>
        <w:spacing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兩岸在東南亞及南亞地區</w:t>
      </w:r>
      <w:r w:rsidR="00E77DD6" w:rsidRPr="00C77E77">
        <w:rPr>
          <w:rFonts w:ascii="Times New Roman" w:eastAsia="標楷體" w:hAnsi="Times New Roman" w:cs="Times New Roman"/>
          <w:sz w:val="28"/>
          <w:szCs w:val="28"/>
        </w:rPr>
        <w:t>並非完全的競爭關係，亦非完全的合作關係。單就中共「一帶一路」的基礎建設項目而言，兩岸也存在合作的空間。</w:t>
      </w:r>
    </w:p>
    <w:p w:rsidR="00E77DD6" w:rsidRPr="00C77E77" w:rsidRDefault="00E77DD6" w:rsidP="003825AF">
      <w:pPr>
        <w:spacing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lastRenderedPageBreak/>
        <w:t>就目前而言，中國大陸對於臺灣在「一帶一路」中的參與僅只有提綱挈領的一句話，即「為臺灣參與『一帶一路』建設作出妥善安排」，而無任何具體的章程與規劃。因此，臺灣方面其實可以主動對中國大陸「如何妥善安排臺灣參與『一帶一路』建設」提出相關的規劃與建議。</w:t>
      </w:r>
    </w:p>
    <w:p w:rsidR="00E77DD6" w:rsidRPr="00C77E77" w:rsidRDefault="00E77DD6" w:rsidP="003825AF">
      <w:pPr>
        <w:spacing w:after="50" w:line="500" w:lineRule="exact"/>
        <w:ind w:leftChars="100" w:left="240" w:firstLineChars="202" w:firstLine="566"/>
        <w:jc w:val="both"/>
        <w:rPr>
          <w:rFonts w:ascii="Times New Roman" w:eastAsia="標楷體" w:hAnsi="Times New Roman" w:cs="Times New Roman"/>
          <w:sz w:val="28"/>
          <w:szCs w:val="28"/>
        </w:rPr>
      </w:pPr>
      <w:r w:rsidRPr="00C77E77">
        <w:rPr>
          <w:rFonts w:ascii="Times New Roman" w:eastAsia="標楷體" w:hAnsi="Times New Roman" w:cs="Times New Roman"/>
          <w:sz w:val="28"/>
          <w:szCs w:val="28"/>
        </w:rPr>
        <w:t>如前述臺灣公司與日本企業在印尼雅加達捷運中的合作模式，即為一種可以參考的模式。中國大陸在承攬「一帶一路」之高鐵興建案時，可將部分工程分包由臺灣公司來承攬，或者由臺灣的企業來提供鋼材或水泥等基礎建材，抑或是由臺灣來提供通訊零件等中間商品等，各種合作模式皆可考慮。臺灣有雪山隧道、高鐵、五楊高架、雪山隧道等大型公共工程經驗，也累積了許多承包基礎建設的能力及能量，實應利用此次一帶一路商機，配合亞投行之設立，結合過往兩岸經濟合作模式，協助臺灣工程運用一帶一路商機走出國際，持續累積承作大型基礎建設能力，進一步擴大臺灣承攬國際工程的能量與籌碼。</w:t>
      </w:r>
    </w:p>
    <w:p w:rsidR="00E77DD6" w:rsidRPr="00C77E77" w:rsidRDefault="00E77DD6" w:rsidP="003825AF">
      <w:pPr>
        <w:spacing w:after="50" w:line="500" w:lineRule="exact"/>
        <w:ind w:leftChars="100" w:left="240" w:firstLineChars="202" w:firstLine="566"/>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在基礎建設工程之外，兩岸仍有許多可以合作開發新興市場的可能，並非皆為市場競爭關係。例如印度對於中國大陸存有相當程度的疑慮，因此並不信任中國大陸的手機晶片，恐怕有資安問題，再加上印度本身的保護主義盛行，外國要打入當地市場不易。如果兩岸欲開發印度市場，則由臺灣在當地設廠製造手機零件，並由中國大陸在當地設廠組裝，亦是一種兩岸共同開發新興市場的合作模式。</w:t>
      </w:r>
    </w:p>
    <w:p w:rsidR="009B2A0F" w:rsidRPr="00C77E77" w:rsidRDefault="00E77DD6" w:rsidP="003825AF">
      <w:pPr>
        <w:spacing w:after="50" w:line="500" w:lineRule="exact"/>
        <w:ind w:leftChars="100" w:left="240" w:firstLineChars="202" w:firstLine="566"/>
        <w:jc w:val="both"/>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t>更重要的是，發展兩岸在東南亞及南亞的競合關係，更能呼應我國政府官員多次指出「新南向政策與發展兩岸關係並不衝突」的言論，避免中國大陸將「新南向政策」解讀為具有針對性的「經濟臺獨」，而是發展兩岸與東南亞及南亞地區的區域合作，建立兩岸合作國際化的典範，透過新南向政策讓臺灣納入</w:t>
      </w:r>
      <w:r w:rsidRPr="00C77E77">
        <w:rPr>
          <w:rFonts w:ascii="Times New Roman" w:eastAsia="標楷體" w:hAnsi="Times New Roman" w:cs="Times New Roman"/>
          <w:color w:val="000000"/>
          <w:sz w:val="28"/>
          <w:szCs w:val="28"/>
        </w:rPr>
        <w:t>RCEP</w:t>
      </w:r>
      <w:r w:rsidRPr="00C77E77">
        <w:rPr>
          <w:rFonts w:ascii="Times New Roman" w:eastAsia="標楷體" w:hAnsi="Times New Roman" w:cs="Times New Roman"/>
          <w:color w:val="000000"/>
          <w:sz w:val="28"/>
          <w:szCs w:val="28"/>
        </w:rPr>
        <w:t>的體系中，避免在未來區域經濟整合的大趨勢中被邊緣化。如此將有效回應中國大陸的「一帶一路」，進行兩岸的良性互動，同時亦考慮臺灣在亞太地區的國際參與以及長期的區域經貿發展與合作，可視為「新南向政策」的長期戰略目標。</w:t>
      </w:r>
    </w:p>
    <w:p w:rsidR="009B2A0F" w:rsidRPr="00C77E77" w:rsidRDefault="003825AF" w:rsidP="009B2A0F">
      <w:pPr>
        <w:pStyle w:val="1"/>
        <w:rPr>
          <w:rFonts w:ascii="Times New Roman" w:eastAsia="標楷體" w:hAnsi="Times New Roman" w:cs="Times New Roman"/>
          <w:sz w:val="31"/>
          <w:szCs w:val="31"/>
        </w:rPr>
      </w:pPr>
      <w:bookmarkStart w:id="239" w:name="_Toc470676340"/>
      <w:r w:rsidRPr="00C77E77">
        <w:rPr>
          <w:rFonts w:ascii="Times New Roman" w:eastAsia="標楷體" w:hAnsi="Times New Roman" w:cs="Times New Roman"/>
          <w:sz w:val="31"/>
          <w:szCs w:val="31"/>
        </w:rPr>
        <w:lastRenderedPageBreak/>
        <w:t>附錄十三</w:t>
      </w:r>
      <w:r w:rsidR="009B2A0F" w:rsidRPr="00C77E77">
        <w:rPr>
          <w:rFonts w:ascii="Times New Roman" w:eastAsia="標楷體" w:hAnsi="Times New Roman" w:cs="Times New Roman"/>
          <w:sz w:val="31"/>
          <w:szCs w:val="31"/>
        </w:rPr>
        <w:t>：座談會與出國剪影</w:t>
      </w:r>
      <w:bookmarkEnd w:id="239"/>
    </w:p>
    <w:p w:rsidR="009B2A0F" w:rsidRPr="00C77E77" w:rsidRDefault="009B2A0F" w:rsidP="009B2A0F">
      <w:pPr>
        <w:adjustRightInd w:val="0"/>
        <w:snapToGrid w:val="0"/>
        <w:spacing w:beforeLines="50" w:before="180" w:afterLines="50" w:after="180" w:line="500" w:lineRule="exact"/>
        <w:ind w:left="793" w:hangingChars="283" w:hanging="793"/>
        <w:jc w:val="both"/>
        <w:rPr>
          <w:rFonts w:ascii="Times New Roman" w:eastAsia="標楷體" w:hAnsi="Times New Roman" w:cs="Times New Roman"/>
          <w:b/>
          <w:color w:val="000000" w:themeColor="text1"/>
          <w:sz w:val="28"/>
          <w:szCs w:val="28"/>
        </w:rPr>
      </w:pPr>
      <w:r w:rsidRPr="00C77E77">
        <w:rPr>
          <w:rFonts w:ascii="Times New Roman" w:eastAsia="標楷體" w:hAnsi="Times New Roman" w:cs="Times New Roman"/>
          <w:b/>
          <w:color w:val="000000" w:themeColor="text1"/>
          <w:sz w:val="28"/>
          <w:szCs w:val="28"/>
        </w:rPr>
        <w:t>一、「新南向產業合作：智慧</w:t>
      </w:r>
      <w:r w:rsidRPr="00C77E77">
        <w:rPr>
          <w:rFonts w:ascii="Times New Roman" w:eastAsia="標楷體" w:hAnsi="Times New Roman" w:cs="Times New Roman"/>
          <w:b/>
          <w:color w:val="000000" w:themeColor="text1"/>
          <w:sz w:val="28"/>
          <w:szCs w:val="28"/>
        </w:rPr>
        <w:t>e</w:t>
      </w:r>
      <w:r w:rsidRPr="00C77E77">
        <w:rPr>
          <w:rFonts w:ascii="Times New Roman" w:eastAsia="標楷體" w:hAnsi="Times New Roman" w:cs="Times New Roman"/>
          <w:b/>
          <w:color w:val="000000" w:themeColor="text1"/>
          <w:sz w:val="28"/>
          <w:szCs w:val="28"/>
        </w:rPr>
        <w:t>生活」座談會紀錄摘要</w:t>
      </w:r>
    </w:p>
    <w:p w:rsidR="009B2A0F" w:rsidRPr="00C77E77" w:rsidRDefault="009B2A0F" w:rsidP="009B2A0F">
      <w:pPr>
        <w:rPr>
          <w:rFonts w:ascii="Times New Roman" w:hAnsi="Times New Roman" w:cs="Times New Roman"/>
        </w:rPr>
      </w:pPr>
      <w:r w:rsidRPr="00C77E77">
        <w:rPr>
          <w:rFonts w:ascii="Times New Roman" w:eastAsia="標楷體" w:hAnsi="Times New Roman" w:cs="Times New Roman"/>
          <w:noProof/>
          <w:color w:val="000000" w:themeColor="text1"/>
          <w:sz w:val="25"/>
          <w:szCs w:val="25"/>
        </w:rPr>
        <w:drawing>
          <wp:inline distT="0" distB="0" distL="0" distR="0" wp14:anchorId="4F03A97A" wp14:editId="5A898FED">
            <wp:extent cx="2476304" cy="1857375"/>
            <wp:effectExtent l="0" t="0" r="63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5.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483899" cy="1863072"/>
                    </a:xfrm>
                    <a:prstGeom prst="rect">
                      <a:avLst/>
                    </a:prstGeom>
                  </pic:spPr>
                </pic:pic>
              </a:graphicData>
            </a:graphic>
          </wp:inline>
        </w:drawing>
      </w:r>
      <w:r w:rsidRPr="00C77E77">
        <w:rPr>
          <w:rFonts w:ascii="Times New Roman" w:hAnsi="Times New Roman" w:cs="Times New Roman"/>
        </w:rPr>
        <w:t xml:space="preserve">   </w:t>
      </w:r>
      <w:r w:rsidRPr="00C77E77">
        <w:rPr>
          <w:rFonts w:ascii="Times New Roman" w:eastAsia="標楷體" w:hAnsi="Times New Roman" w:cs="Times New Roman"/>
          <w:noProof/>
          <w:color w:val="000000" w:themeColor="text1"/>
          <w:sz w:val="25"/>
          <w:szCs w:val="25"/>
        </w:rPr>
        <w:drawing>
          <wp:inline distT="0" distB="0" distL="0" distR="0" wp14:anchorId="6A63526F" wp14:editId="7F5E5645">
            <wp:extent cx="2505075" cy="1878955"/>
            <wp:effectExtent l="0" t="0" r="0" b="762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8.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520763" cy="1890722"/>
                    </a:xfrm>
                    <a:prstGeom prst="rect">
                      <a:avLst/>
                    </a:prstGeom>
                  </pic:spPr>
                </pic:pic>
              </a:graphicData>
            </a:graphic>
          </wp:inline>
        </w:drawing>
      </w: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eastAsia="標楷體" w:hAnsi="Times New Roman" w:cs="Times New Roman"/>
          <w:noProof/>
          <w:color w:val="000000" w:themeColor="text1"/>
          <w:sz w:val="25"/>
          <w:szCs w:val="25"/>
        </w:rPr>
      </w:pPr>
      <w:r w:rsidRPr="00C77E77">
        <w:rPr>
          <w:rFonts w:ascii="Times New Roman" w:eastAsia="標楷體" w:hAnsi="Times New Roman" w:cs="Times New Roman"/>
          <w:noProof/>
          <w:color w:val="000000" w:themeColor="text1"/>
          <w:sz w:val="25"/>
          <w:szCs w:val="25"/>
        </w:rPr>
        <w:drawing>
          <wp:inline distT="0" distB="0" distL="0" distR="0" wp14:anchorId="61208F1F" wp14:editId="391F946B">
            <wp:extent cx="2489004" cy="1866900"/>
            <wp:effectExtent l="0" t="0" r="698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25.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06731" cy="1880196"/>
                    </a:xfrm>
                    <a:prstGeom prst="rect">
                      <a:avLst/>
                    </a:prstGeom>
                  </pic:spPr>
                </pic:pic>
              </a:graphicData>
            </a:graphic>
          </wp:inline>
        </w:drawing>
      </w:r>
      <w:r w:rsidRPr="00C77E77">
        <w:rPr>
          <w:rFonts w:ascii="Times New Roman" w:eastAsia="標楷體" w:hAnsi="Times New Roman" w:cs="Times New Roman"/>
          <w:noProof/>
          <w:color w:val="000000" w:themeColor="text1"/>
          <w:sz w:val="25"/>
          <w:szCs w:val="25"/>
        </w:rPr>
        <w:t xml:space="preserve">   </w:t>
      </w:r>
      <w:r w:rsidRPr="00C77E77">
        <w:rPr>
          <w:rFonts w:ascii="Times New Roman" w:eastAsia="標楷體" w:hAnsi="Times New Roman" w:cs="Times New Roman"/>
          <w:noProof/>
          <w:color w:val="000000" w:themeColor="text1"/>
          <w:sz w:val="25"/>
          <w:szCs w:val="25"/>
        </w:rPr>
        <w:drawing>
          <wp:inline distT="0" distB="0" distL="0" distR="0" wp14:anchorId="0B8DA5E4" wp14:editId="5421C736">
            <wp:extent cx="2452072" cy="1838325"/>
            <wp:effectExtent l="0" t="0" r="5715" b="0"/>
            <wp:docPr id="6216" name="圖片 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__4890627.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467547" cy="1849927"/>
                    </a:xfrm>
                    <a:prstGeom prst="rect">
                      <a:avLst/>
                    </a:prstGeom>
                  </pic:spPr>
                </pic:pic>
              </a:graphicData>
            </a:graphic>
          </wp:inline>
        </w:drawing>
      </w:r>
    </w:p>
    <w:p w:rsidR="009B2A0F" w:rsidRPr="00C77E77" w:rsidRDefault="009B2A0F" w:rsidP="009B2A0F">
      <w:pPr>
        <w:rPr>
          <w:rFonts w:ascii="Times New Roman" w:hAnsi="Times New Roman" w:cs="Times New Roman"/>
        </w:rPr>
      </w:pPr>
      <w:r w:rsidRPr="00C77E77">
        <w:rPr>
          <w:rFonts w:ascii="Times New Roman" w:eastAsia="標楷體" w:hAnsi="Times New Roman" w:cs="Times New Roman"/>
          <w:noProof/>
          <w:color w:val="000000" w:themeColor="text1"/>
          <w:sz w:val="25"/>
          <w:szCs w:val="25"/>
        </w:rPr>
        <w:drawing>
          <wp:inline distT="0" distB="0" distL="0" distR="0" wp14:anchorId="2EE442FA" wp14:editId="05EA3AEE">
            <wp:extent cx="2490188" cy="1866900"/>
            <wp:effectExtent l="0" t="0" r="5715" b="0"/>
            <wp:docPr id="6218" name="圖片 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__4890637.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499597" cy="1873954"/>
                    </a:xfrm>
                    <a:prstGeom prst="rect">
                      <a:avLst/>
                    </a:prstGeom>
                  </pic:spPr>
                </pic:pic>
              </a:graphicData>
            </a:graphic>
          </wp:inline>
        </w:drawing>
      </w:r>
      <w:r w:rsidRPr="00C77E77">
        <w:rPr>
          <w:rFonts w:ascii="Times New Roman" w:hAnsi="Times New Roman" w:cs="Times New Roman"/>
        </w:rPr>
        <w:t xml:space="preserve">   </w:t>
      </w:r>
      <w:r w:rsidRPr="00C77E77">
        <w:rPr>
          <w:rFonts w:ascii="Times New Roman" w:eastAsia="標楷體" w:hAnsi="Times New Roman" w:cs="Times New Roman"/>
          <w:noProof/>
          <w:color w:val="000000" w:themeColor="text1"/>
          <w:sz w:val="25"/>
          <w:szCs w:val="25"/>
        </w:rPr>
        <w:drawing>
          <wp:inline distT="0" distB="0" distL="0" distR="0" wp14:anchorId="05E3623B" wp14:editId="7F3C1386">
            <wp:extent cx="2515598" cy="1885950"/>
            <wp:effectExtent l="0" t="0" r="0" b="0"/>
            <wp:docPr id="6219" name="圖片 6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__4890642.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22995" cy="1891496"/>
                    </a:xfrm>
                    <a:prstGeom prst="rect">
                      <a:avLst/>
                    </a:prstGeom>
                  </pic:spPr>
                </pic:pic>
              </a:graphicData>
            </a:graphic>
          </wp:inline>
        </w:drawing>
      </w: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二、「新南向產業合作：醫療生技與新農業」座談會</w:t>
      </w:r>
    </w:p>
    <w:p w:rsidR="009B2A0F" w:rsidRPr="00C77E77" w:rsidRDefault="009B2A0F" w:rsidP="009B2A0F">
      <w:pPr>
        <w:rPr>
          <w:rFonts w:ascii="Times New Roman" w:hAnsi="Times New Roman" w:cs="Times New Roman"/>
        </w:rPr>
      </w:pPr>
      <w:r w:rsidRPr="00C77E77">
        <w:rPr>
          <w:rFonts w:ascii="Times New Roman" w:eastAsia="標楷體" w:hAnsi="Times New Roman" w:cs="Times New Roman"/>
          <w:noProof/>
          <w:sz w:val="28"/>
          <w:szCs w:val="28"/>
        </w:rPr>
        <w:drawing>
          <wp:inline distT="0" distB="0" distL="0" distR="0" wp14:anchorId="3EC5EE52" wp14:editId="4A549655">
            <wp:extent cx="2563495" cy="1923316"/>
            <wp:effectExtent l="0" t="0" r="8255" b="1270"/>
            <wp:docPr id="6227" name="圖片 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80459" cy="1936044"/>
                    </a:xfrm>
                    <a:prstGeom prst="rect">
                      <a:avLst/>
                    </a:prstGeom>
                    <a:noFill/>
                  </pic:spPr>
                </pic:pic>
              </a:graphicData>
            </a:graphic>
          </wp:inline>
        </w:drawing>
      </w:r>
      <w:r w:rsidRPr="00C77E77">
        <w:rPr>
          <w:rFonts w:ascii="Times New Roman" w:hAnsi="Times New Roman" w:cs="Times New Roman"/>
        </w:rPr>
        <w:t xml:space="preserve"> </w:t>
      </w:r>
      <w:r w:rsidRPr="00C77E77">
        <w:rPr>
          <w:rFonts w:ascii="Times New Roman" w:eastAsia="標楷體" w:hAnsi="Times New Roman" w:cs="Times New Roman"/>
          <w:noProof/>
          <w:sz w:val="28"/>
          <w:szCs w:val="28"/>
        </w:rPr>
        <w:drawing>
          <wp:inline distT="0" distB="0" distL="0" distR="0" wp14:anchorId="2A180CDA" wp14:editId="77B1D617">
            <wp:extent cx="2564093" cy="1923764"/>
            <wp:effectExtent l="0" t="0" r="8255" b="635"/>
            <wp:docPr id="6230" name="圖片 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80608" cy="1936155"/>
                    </a:xfrm>
                    <a:prstGeom prst="rect">
                      <a:avLst/>
                    </a:prstGeom>
                    <a:noFill/>
                  </pic:spPr>
                </pic:pic>
              </a:graphicData>
            </a:graphic>
          </wp:inline>
        </w:drawing>
      </w: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r w:rsidRPr="00C77E77">
        <w:rPr>
          <w:rFonts w:ascii="Times New Roman" w:eastAsia="標楷體" w:hAnsi="Times New Roman" w:cs="Times New Roman"/>
          <w:noProof/>
          <w:sz w:val="28"/>
          <w:szCs w:val="28"/>
        </w:rPr>
        <w:drawing>
          <wp:inline distT="0" distB="0" distL="0" distR="0" wp14:anchorId="7C6F3AD2" wp14:editId="52307DE7">
            <wp:extent cx="2513692" cy="1885950"/>
            <wp:effectExtent l="0" t="0" r="1270" b="0"/>
            <wp:docPr id="6232" name="圖片 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528870" cy="1897338"/>
                    </a:xfrm>
                    <a:prstGeom prst="rect">
                      <a:avLst/>
                    </a:prstGeom>
                    <a:noFill/>
                  </pic:spPr>
                </pic:pic>
              </a:graphicData>
            </a:graphic>
          </wp:inline>
        </w:drawing>
      </w:r>
      <w:r w:rsidRPr="00C77E77">
        <w:rPr>
          <w:rFonts w:ascii="Times New Roman" w:hAnsi="Times New Roman" w:cs="Times New Roman"/>
        </w:rPr>
        <w:t xml:space="preserve"> </w:t>
      </w:r>
      <w:r w:rsidRPr="00C77E77">
        <w:rPr>
          <w:rFonts w:ascii="Times New Roman" w:eastAsia="標楷體" w:hAnsi="Times New Roman" w:cs="Times New Roman"/>
          <w:noProof/>
          <w:sz w:val="28"/>
          <w:szCs w:val="28"/>
        </w:rPr>
        <w:drawing>
          <wp:inline distT="0" distB="0" distL="0" distR="0" wp14:anchorId="295AEB40" wp14:editId="1FFFB20C">
            <wp:extent cx="2589864" cy="1943100"/>
            <wp:effectExtent l="0" t="0" r="1270" b="0"/>
            <wp:docPr id="6233" name="圖片 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597625" cy="1948923"/>
                    </a:xfrm>
                    <a:prstGeom prst="rect">
                      <a:avLst/>
                    </a:prstGeom>
                    <a:noFill/>
                  </pic:spPr>
                </pic:pic>
              </a:graphicData>
            </a:graphic>
          </wp:inline>
        </w:drawing>
      </w: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r w:rsidRPr="00C77E77">
        <w:rPr>
          <w:rFonts w:ascii="Times New Roman" w:eastAsia="標楷體" w:hAnsi="Times New Roman" w:cs="Times New Roman"/>
          <w:noProof/>
          <w:sz w:val="28"/>
          <w:szCs w:val="28"/>
        </w:rPr>
        <w:drawing>
          <wp:inline distT="0" distB="0" distL="0" distR="0" wp14:anchorId="2F5E27E3" wp14:editId="4A2D0BC7">
            <wp:extent cx="2488300" cy="1866900"/>
            <wp:effectExtent l="0" t="0" r="7620" b="0"/>
            <wp:docPr id="6234" name="圖片 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499591" cy="1875371"/>
                    </a:xfrm>
                    <a:prstGeom prst="rect">
                      <a:avLst/>
                    </a:prstGeom>
                    <a:noFill/>
                  </pic:spPr>
                </pic:pic>
              </a:graphicData>
            </a:graphic>
          </wp:inline>
        </w:drawing>
      </w:r>
      <w:r w:rsidRPr="00C77E77">
        <w:rPr>
          <w:rFonts w:ascii="Times New Roman" w:hAnsi="Times New Roman" w:cs="Times New Roman"/>
        </w:rPr>
        <w:t xml:space="preserve">  </w:t>
      </w:r>
      <w:r w:rsidRPr="00C77E77">
        <w:rPr>
          <w:rFonts w:ascii="Times New Roman" w:eastAsia="標楷體" w:hAnsi="Times New Roman" w:cs="Times New Roman"/>
          <w:noProof/>
          <w:sz w:val="28"/>
          <w:szCs w:val="28"/>
        </w:rPr>
        <w:drawing>
          <wp:inline distT="0" distB="0" distL="0" distR="0" wp14:anchorId="3D29A2BE" wp14:editId="01551783">
            <wp:extent cx="2488301" cy="1866900"/>
            <wp:effectExtent l="0" t="0" r="7620" b="0"/>
            <wp:docPr id="6235" name="圖片 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99679" cy="1875436"/>
                    </a:xfrm>
                    <a:prstGeom prst="rect">
                      <a:avLst/>
                    </a:prstGeom>
                    <a:noFill/>
                  </pic:spPr>
                </pic:pic>
              </a:graphicData>
            </a:graphic>
          </wp:inline>
        </w:drawing>
      </w: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三、「新南向產業合作：印度專題」座談會</w:t>
      </w:r>
    </w:p>
    <w:p w:rsidR="009B2A0F" w:rsidRPr="00C77E77" w:rsidRDefault="009B2A0F" w:rsidP="009B2A0F">
      <w:pPr>
        <w:rPr>
          <w:rFonts w:ascii="Times New Roman" w:hAnsi="Times New Roman" w:cs="Times New Roman"/>
        </w:rPr>
      </w:pPr>
      <w:r w:rsidRPr="00C77E77">
        <w:rPr>
          <w:rFonts w:ascii="Times New Roman" w:hAnsi="Times New Roman" w:cs="Times New Roman"/>
          <w:noProof/>
        </w:rPr>
        <w:drawing>
          <wp:inline distT="0" distB="0" distL="0" distR="0" wp14:anchorId="3873B0D1" wp14:editId="49530C8E">
            <wp:extent cx="2514600" cy="1409225"/>
            <wp:effectExtent l="0" t="0" r="0" b="635"/>
            <wp:docPr id="6237" name="圖片 6237" descr="https://scontent-tpe1-1.xx.fbcdn.net/v/t1.0-9/14713752_10155377293704867_5275440886851363547_n.jpg?oh=ddf9447ddd3d809584541e1171b67033&amp;oe=5892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tpe1-1.xx.fbcdn.net/v/t1.0-9/14713752_10155377293704867_5275440886851363547_n.jpg?oh=ddf9447ddd3d809584541e1171b67033&amp;oe=5892093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572619" cy="1441740"/>
                    </a:xfrm>
                    <a:prstGeom prst="rect">
                      <a:avLst/>
                    </a:prstGeom>
                    <a:noFill/>
                    <a:ln>
                      <a:noFill/>
                    </a:ln>
                  </pic:spPr>
                </pic:pic>
              </a:graphicData>
            </a:graphic>
          </wp:inline>
        </w:drawing>
      </w:r>
      <w:r w:rsidRPr="00C77E77">
        <w:rPr>
          <w:rFonts w:ascii="Times New Roman" w:hAnsi="Times New Roman" w:cs="Times New Roman"/>
          <w:noProof/>
        </w:rPr>
        <w:t xml:space="preserve">  </w:t>
      </w:r>
      <w:r w:rsidRPr="00C77E77">
        <w:rPr>
          <w:rFonts w:ascii="Times New Roman" w:hAnsi="Times New Roman" w:cs="Times New Roman"/>
          <w:noProof/>
        </w:rPr>
        <w:drawing>
          <wp:inline distT="0" distB="0" distL="0" distR="0" wp14:anchorId="12158598" wp14:editId="5EB2E22C">
            <wp:extent cx="2549269" cy="1428750"/>
            <wp:effectExtent l="0" t="0" r="3810" b="0"/>
            <wp:docPr id="6236" name="圖片 6236" descr="https://scontent-tpe1-1.xx.fbcdn.net/v/t1.0-9/14657285_10155377293549867_8563522342020016710_n.jpg?oh=4541afd5dc20125229b077332ecfb9ba&amp;oe=588CBC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tpe1-1.xx.fbcdn.net/v/t1.0-9/14657285_10155377293549867_8563522342020016710_n.jpg?oh=4541afd5dc20125229b077332ecfb9ba&amp;oe=588CBCE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569587" cy="1440137"/>
                    </a:xfrm>
                    <a:prstGeom prst="rect">
                      <a:avLst/>
                    </a:prstGeom>
                    <a:noFill/>
                    <a:ln>
                      <a:noFill/>
                    </a:ln>
                  </pic:spPr>
                </pic:pic>
              </a:graphicData>
            </a:graphic>
          </wp:inline>
        </w:drawing>
      </w:r>
      <w:r w:rsidRPr="00C77E77">
        <w:rPr>
          <w:rFonts w:ascii="Times New Roman" w:hAnsi="Times New Roman" w:cs="Times New Roman"/>
        </w:rPr>
        <w:t xml:space="preserve"> </w:t>
      </w: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r w:rsidRPr="00C77E77">
        <w:rPr>
          <w:rFonts w:ascii="Times New Roman" w:hAnsi="Times New Roman" w:cs="Times New Roman"/>
          <w:noProof/>
        </w:rPr>
        <w:drawing>
          <wp:inline distT="0" distB="0" distL="0" distR="0" wp14:anchorId="0F9B968B" wp14:editId="5EEAFCD4">
            <wp:extent cx="2400300" cy="1800082"/>
            <wp:effectExtent l="0" t="0" r="0" b="0"/>
            <wp:docPr id="6238" name="圖片 6238" descr="https://scontent-tpe1-1.xx.fbcdn.net/v/t1.0-9/14572328_10155379522864867_8719526000699690166_n.jpg?oh=3bedc6d2bb69aab1319448810f67870d&amp;oe=58A5B8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tpe1-1.xx.fbcdn.net/v/t1.0-9/14572328_10155379522864867_8719526000699690166_n.jpg?oh=3bedc6d2bb69aab1319448810f67870d&amp;oe=58A5B8E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11276" cy="1808313"/>
                    </a:xfrm>
                    <a:prstGeom prst="rect">
                      <a:avLst/>
                    </a:prstGeom>
                    <a:noFill/>
                    <a:ln>
                      <a:noFill/>
                    </a:ln>
                  </pic:spPr>
                </pic:pic>
              </a:graphicData>
            </a:graphic>
          </wp:inline>
        </w:drawing>
      </w:r>
      <w:r w:rsidRPr="00C77E77">
        <w:rPr>
          <w:rFonts w:ascii="Times New Roman" w:hAnsi="Times New Roman" w:cs="Times New Roman"/>
        </w:rPr>
        <w:t xml:space="preserve">      </w:t>
      </w:r>
      <w:r w:rsidRPr="00C77E77">
        <w:rPr>
          <w:rFonts w:ascii="Times New Roman" w:hAnsi="Times New Roman" w:cs="Times New Roman"/>
          <w:noProof/>
        </w:rPr>
        <w:drawing>
          <wp:inline distT="0" distB="0" distL="0" distR="0" wp14:anchorId="77F242E7" wp14:editId="23FD9BB8">
            <wp:extent cx="2362387" cy="1771650"/>
            <wp:effectExtent l="0" t="0" r="0" b="0"/>
            <wp:docPr id="6239" name="圖片 6239" descr="https://scontent-tpe1-1.xx.fbcdn.net/v/t1.0-9/14729196_10155377795409867_6045533928795653608_n.jpg?oh=6ae03c030b2a89e753ab8d77daebe560&amp;oe=589FE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tpe1-1.xx.fbcdn.net/v/t1.0-9/14729196_10155377795409867_6045533928795653608_n.jpg?oh=6ae03c030b2a89e753ab8d77daebe560&amp;oe=589FEE4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71777" cy="1778692"/>
                    </a:xfrm>
                    <a:prstGeom prst="rect">
                      <a:avLst/>
                    </a:prstGeom>
                    <a:noFill/>
                    <a:ln>
                      <a:noFill/>
                    </a:ln>
                  </pic:spPr>
                </pic:pic>
              </a:graphicData>
            </a:graphic>
          </wp:inline>
        </w:drawing>
      </w: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r w:rsidRPr="00C77E77">
        <w:rPr>
          <w:rFonts w:ascii="Times New Roman" w:hAnsi="Times New Roman" w:cs="Times New Roman"/>
          <w:noProof/>
        </w:rPr>
        <w:drawing>
          <wp:inline distT="0" distB="0" distL="0" distR="0" wp14:anchorId="534BA8CD" wp14:editId="18979AD7">
            <wp:extent cx="2847975" cy="2135982"/>
            <wp:effectExtent l="0" t="0" r="0" b="0"/>
            <wp:docPr id="6240" name="圖片 6240" descr="https://scontent-tpe1-1.xx.fbcdn.net/v/t1.0-9/14717041_10155377795294867_7263513771986492555_n.jpg?oh=d422002bcd2f99ddfa939803af3b593d&amp;oe=5887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tpe1-1.xx.fbcdn.net/v/t1.0-9/14717041_10155377795294867_7263513771986492555_n.jpg?oh=d422002bcd2f99ddfa939803af3b593d&amp;oe=5887616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91425" cy="2168569"/>
                    </a:xfrm>
                    <a:prstGeom prst="rect">
                      <a:avLst/>
                    </a:prstGeom>
                    <a:noFill/>
                    <a:ln>
                      <a:noFill/>
                    </a:ln>
                  </pic:spPr>
                </pic:pic>
              </a:graphicData>
            </a:graphic>
          </wp:inline>
        </w:drawing>
      </w:r>
      <w:r w:rsidRPr="00C77E77">
        <w:rPr>
          <w:rFonts w:ascii="Times New Roman" w:hAnsi="Times New Roman" w:cs="Times New Roman"/>
        </w:rPr>
        <w:t xml:space="preserve"> </w:t>
      </w:r>
      <w:r w:rsidRPr="00C77E77">
        <w:rPr>
          <w:rFonts w:ascii="Times New Roman" w:hAnsi="Times New Roman" w:cs="Times New Roman"/>
          <w:noProof/>
        </w:rPr>
        <w:drawing>
          <wp:inline distT="0" distB="0" distL="0" distR="0" wp14:anchorId="0B1BDFD5" wp14:editId="4766AAEC">
            <wp:extent cx="2124075" cy="2832099"/>
            <wp:effectExtent l="0" t="0" r="0" b="6985"/>
            <wp:docPr id="6241" name="圖片 6241" descr="https://scontent-tpe1-1.xx.fbcdn.net/v/t1.0-9/14713587_10155377795524867_3421283106165410182_n.jpg?oh=8fa80452849237074b6e90f92083b655&amp;oe=58A2EA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tpe1-1.xx.fbcdn.net/v/t1.0-9/14713587_10155377795524867_3421283106165410182_n.jpg?oh=8fa80452849237074b6e90f92083b655&amp;oe=58A2EAB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48395" cy="2864526"/>
                    </a:xfrm>
                    <a:prstGeom prst="rect">
                      <a:avLst/>
                    </a:prstGeom>
                    <a:noFill/>
                    <a:ln>
                      <a:noFill/>
                    </a:ln>
                  </pic:spPr>
                </pic:pic>
              </a:graphicData>
            </a:graphic>
          </wp:inline>
        </w:drawing>
      </w: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hAnsi="Times New Roman" w:cs="Times New Roman"/>
        </w:rPr>
      </w:pPr>
    </w:p>
    <w:p w:rsidR="009B2A0F" w:rsidRPr="00C77E77" w:rsidRDefault="009B2A0F" w:rsidP="009B2A0F">
      <w:pPr>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lastRenderedPageBreak/>
        <w:t>四、出國報告</w:t>
      </w:r>
      <w:r w:rsidRPr="00C77E77">
        <w:rPr>
          <w:rFonts w:ascii="Times New Roman" w:eastAsia="標楷體" w:hAnsi="Times New Roman" w:cs="Times New Roman"/>
          <w:b/>
          <w:sz w:val="28"/>
          <w:szCs w:val="28"/>
        </w:rPr>
        <w:t>─</w:t>
      </w:r>
      <w:r w:rsidRPr="00C77E77">
        <w:rPr>
          <w:rFonts w:ascii="Times New Roman" w:eastAsia="標楷體" w:hAnsi="Times New Roman" w:cs="Times New Roman"/>
          <w:b/>
          <w:sz w:val="28"/>
          <w:szCs w:val="28"/>
        </w:rPr>
        <w:t>印度</w:t>
      </w:r>
    </w:p>
    <w:p w:rsidR="009B2A0F" w:rsidRPr="00C77E77" w:rsidRDefault="009B2A0F" w:rsidP="009B2A0F">
      <w:pPr>
        <w:rPr>
          <w:rFonts w:ascii="Times New Roman" w:eastAsia="標楷體" w:hAnsi="Times New Roman" w:cs="Times New Roman"/>
          <w:sz w:val="28"/>
          <w:szCs w:val="28"/>
        </w:rPr>
      </w:pPr>
      <w:r w:rsidRPr="00C77E77">
        <w:rPr>
          <w:rFonts w:ascii="Times New Roman" w:eastAsia="標楷體" w:hAnsi="Times New Roman" w:cs="Times New Roman"/>
          <w:noProof/>
          <w:color w:val="000000"/>
          <w:kern w:val="0"/>
          <w:sz w:val="28"/>
          <w:szCs w:val="28"/>
        </w:rPr>
        <w:drawing>
          <wp:inline distT="0" distB="0" distL="0" distR="0" wp14:anchorId="48B7F095" wp14:editId="53955D98">
            <wp:extent cx="2468657" cy="1390650"/>
            <wp:effectExtent l="0" t="0" r="8255" b="0"/>
            <wp:docPr id="6243" name="圖片 6243" descr="IMAG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861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81755" cy="1398029"/>
                    </a:xfrm>
                    <a:prstGeom prst="rect">
                      <a:avLst/>
                    </a:prstGeom>
                    <a:noFill/>
                    <a:ln>
                      <a:noFill/>
                    </a:ln>
                  </pic:spPr>
                </pic:pic>
              </a:graphicData>
            </a:graphic>
          </wp:inline>
        </w:drawing>
      </w:r>
      <w:r w:rsidRPr="00C77E77">
        <w:rPr>
          <w:rFonts w:ascii="Times New Roman" w:hAnsi="Times New Roman" w:cs="Times New Roman"/>
        </w:rPr>
        <w:t xml:space="preserve"> </w:t>
      </w:r>
      <w:r w:rsidRPr="00C77E77">
        <w:rPr>
          <w:rFonts w:ascii="Times New Roman" w:eastAsia="標楷體" w:hAnsi="Times New Roman" w:cs="Times New Roman"/>
          <w:noProof/>
          <w:sz w:val="28"/>
          <w:szCs w:val="28"/>
        </w:rPr>
        <w:drawing>
          <wp:inline distT="0" distB="0" distL="0" distR="0" wp14:anchorId="2434656A" wp14:editId="09235B25">
            <wp:extent cx="2590800" cy="1457366"/>
            <wp:effectExtent l="0" t="0" r="0" b="9525"/>
            <wp:docPr id="6242" name="圖片 6242" descr="IMAG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865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602370" cy="1463874"/>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drawing>
          <wp:inline distT="0" distB="0" distL="0" distR="0" wp14:anchorId="2C6C406E" wp14:editId="4FF09952">
            <wp:extent cx="2409825" cy="1354017"/>
            <wp:effectExtent l="0" t="0" r="0" b="0"/>
            <wp:docPr id="6231" name="圖片 6231" descr="IMAG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866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20986" cy="1360288"/>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5C36C511" wp14:editId="3C32F4B1">
            <wp:extent cx="2705100" cy="1516331"/>
            <wp:effectExtent l="0" t="0" r="0" b="8255"/>
            <wp:docPr id="6229" name="圖片 6229" descr="IMAG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873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738784" cy="1535212"/>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drawing>
          <wp:inline distT="0" distB="0" distL="0" distR="0" wp14:anchorId="09E20A23" wp14:editId="3FABA067">
            <wp:extent cx="2495696" cy="1400175"/>
            <wp:effectExtent l="0" t="0" r="0" b="0"/>
            <wp:docPr id="6228" name="圖片 6228" descr="IMAG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873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507059" cy="1406550"/>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36357865" wp14:editId="3C588086">
            <wp:extent cx="2481356" cy="1390650"/>
            <wp:effectExtent l="0" t="0" r="0" b="0"/>
            <wp:docPr id="6226" name="圖片 6226" descr="FB_IMG_147338827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_IMG_147338827843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94885" cy="1398232"/>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drawing>
          <wp:inline distT="0" distB="0" distL="0" distR="0" wp14:anchorId="2A47799C" wp14:editId="131122DA">
            <wp:extent cx="2478719" cy="1390650"/>
            <wp:effectExtent l="0" t="0" r="0" b="0"/>
            <wp:docPr id="6225" name="圖片 6225" descr="IMAG8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877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82806" cy="1392943"/>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1372BC1F" wp14:editId="33A7AA35">
            <wp:extent cx="2478719" cy="1390650"/>
            <wp:effectExtent l="0" t="0" r="0" b="0"/>
            <wp:docPr id="6224" name="圖片 6224" descr="IMAG8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880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85608" cy="1394515"/>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drawing>
          <wp:inline distT="0" distB="0" distL="0" distR="0" wp14:anchorId="42398EE4" wp14:editId="352BA04A">
            <wp:extent cx="2428875" cy="1359391"/>
            <wp:effectExtent l="0" t="0" r="0" b="0"/>
            <wp:docPr id="6223" name="圖片 6223" descr="IMAG8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881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45945" cy="1368944"/>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65B0FA17" wp14:editId="517741EF">
            <wp:extent cx="2495550" cy="1400093"/>
            <wp:effectExtent l="0" t="0" r="0" b="0"/>
            <wp:docPr id="6222" name="圖片 6222" descr="IMAG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891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15394" cy="1411226"/>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lastRenderedPageBreak/>
        <w:drawing>
          <wp:inline distT="0" distB="0" distL="0" distR="0" wp14:anchorId="67295825" wp14:editId="382779FB">
            <wp:extent cx="2447574" cy="1838325"/>
            <wp:effectExtent l="0" t="0" r="0" b="0"/>
            <wp:docPr id="6221" name="圖片 6221" descr="FB_IMG_1473231302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_IMG_1473231302943[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59929" cy="1847605"/>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5D7F534B" wp14:editId="78AB5E87">
            <wp:extent cx="2647950" cy="1484297"/>
            <wp:effectExtent l="0" t="0" r="0" b="1905"/>
            <wp:docPr id="6220" name="圖片 6220" descr="IMAG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887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661341" cy="1491804"/>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五、出國報告</w:t>
      </w:r>
      <w:r w:rsidRPr="00C77E77">
        <w:rPr>
          <w:rFonts w:ascii="Times New Roman" w:eastAsia="標楷體" w:hAnsi="Times New Roman" w:cs="Times New Roman"/>
          <w:b/>
          <w:sz w:val="28"/>
          <w:szCs w:val="28"/>
        </w:rPr>
        <w:t>─</w:t>
      </w:r>
      <w:r w:rsidRPr="00C77E77">
        <w:rPr>
          <w:rFonts w:ascii="Times New Roman" w:eastAsia="標楷體" w:hAnsi="Times New Roman" w:cs="Times New Roman"/>
          <w:b/>
          <w:sz w:val="28"/>
          <w:szCs w:val="28"/>
        </w:rPr>
        <w:t>印尼</w:t>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b/>
          <w:noProof/>
          <w:sz w:val="28"/>
          <w:szCs w:val="28"/>
        </w:rPr>
        <w:drawing>
          <wp:inline distT="0" distB="0" distL="0" distR="0" wp14:anchorId="61564BAA" wp14:editId="46A1A4E1">
            <wp:extent cx="2381250" cy="3175000"/>
            <wp:effectExtent l="0" t="0" r="0" b="6350"/>
            <wp:docPr id="6244" name="圖片 6244" descr="C:\Users\V5480\AppData\Local\Temp\14628285_10211194669001672_6892575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5480\AppData\Local\Temp\14628285_10211194669001672_689257549_n.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386473" cy="3181964"/>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423F29B3" wp14:editId="0C2F8954">
            <wp:extent cx="1952625" cy="2603499"/>
            <wp:effectExtent l="0" t="0" r="0" b="6985"/>
            <wp:docPr id="6246" name="圖片 6246" descr="https://scontent-tpe1-1.xx.fbcdn.net/v/t34.0-12/14619966_10211194669081674_661605767_n.jpg?oh=b3e5354f3dea872deb18e96b1e576069&amp;oe=57FC5F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tpe1-1.xx.fbcdn.net/v/t34.0-12/14619966_10211194669081674_661605767_n.jpg?oh=b3e5354f3dea872deb18e96b1e576069&amp;oe=57FC5F1D"/>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75389" cy="2633851"/>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drawing>
          <wp:inline distT="0" distB="0" distL="0" distR="0" wp14:anchorId="16B41211" wp14:editId="1525D2A5">
            <wp:extent cx="2412999" cy="1809750"/>
            <wp:effectExtent l="0" t="0" r="6985" b="0"/>
            <wp:docPr id="6245" name="圖片 6245" descr="https://scontent-tpe1-1.xx.fbcdn.net/v/t34.0-12/14593548_10211194669041673_1408908353_n.jpg?oh=1f61e0b89beb28d8cae83bfdf69d761f&amp;oe=57FB8B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tpe1-1.xx.fbcdn.net/v/t34.0-12/14593548_10211194669041673_1408908353_n.jpg?oh=1f61e0b89beb28d8cae83bfdf69d761f&amp;oe=57FB8B6F"/>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437759" cy="1828320"/>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hAnsi="Times New Roman" w:cs="Times New Roman"/>
          <w:noProof/>
          <w:sz w:val="28"/>
          <w:szCs w:val="28"/>
        </w:rPr>
        <w:drawing>
          <wp:inline distT="0" distB="0" distL="0" distR="0" wp14:anchorId="670ECDD2" wp14:editId="3DFACEE0">
            <wp:extent cx="2451297" cy="1838325"/>
            <wp:effectExtent l="0" t="0" r="6350" b="0"/>
            <wp:docPr id="6247" name="圖片 6247" descr="https://scontent-tpe1-1.xx.fbcdn.net/v/t34.0-12/14627829_10211194669121675_1672400956_n.jpg?oh=3fbd27711790d52effa112ca6845dd69&amp;oe=57FC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tpe1-1.xx.fbcdn.net/v/t34.0-12/14627829_10211194669121675_1672400956_n.jpg?oh=3fbd27711790d52effa112ca6845dd69&amp;oe=57FC843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459774" cy="1844682"/>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lastRenderedPageBreak/>
        <w:drawing>
          <wp:inline distT="0" distB="0" distL="0" distR="0" wp14:anchorId="59DF3C31" wp14:editId="64151551">
            <wp:extent cx="2328863" cy="3105150"/>
            <wp:effectExtent l="0" t="0" r="0" b="0"/>
            <wp:docPr id="6248" name="圖片 6248" descr="https://scontent-tpe1-1.xx.fbcdn.net/v/t34.0-12/14628158_10211194669161676_962674533_n.jpg?oh=1d18672f4ae5726af54215aa65319d60&amp;oe=57FBA3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tpe1-1.xx.fbcdn.net/v/t34.0-12/14628158_10211194669161676_962674533_n.jpg?oh=1d18672f4ae5726af54215aa65319d60&amp;oe=57FBA35A"/>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334056" cy="3112074"/>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17DFA563" wp14:editId="79D87C16">
            <wp:extent cx="1697355" cy="3086100"/>
            <wp:effectExtent l="0" t="0" r="0" b="0"/>
            <wp:docPr id="6250" name="圖片 6250" descr="https://scontent-tpe1-1.xx.fbcdn.net/v/t1.0-9/14600932_10154531196618396_3435134613758506130_n.jpg?oh=859b42b884bb60dc3bfe6236b298a165&amp;oe=586127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tpe1-1.xx.fbcdn.net/v/t1.0-9/14600932_10154531196618396_3435134613758506130_n.jpg?oh=859b42b884bb60dc3bfe6236b298a165&amp;oe=5861273E"/>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02141" cy="3094802"/>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011D4FE2" wp14:editId="5C8E3631">
            <wp:extent cx="2667317" cy="2190750"/>
            <wp:effectExtent l="0" t="0" r="0" b="0"/>
            <wp:docPr id="6249" name="圖片 6249" descr="https://scontent-tpe1-1.xx.fbcdn.net/v/t34.0-12/14642733_10211194669361681_162690132_n.jpg?oh=85e636466851cfafd3bcdc09bdffd4fa&amp;oe=57FC62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tpe1-1.xx.fbcdn.net/v/t34.0-12/14642733_10211194669361681_162690132_n.jpg?oh=85e636466851cfafd3bcdc09bdffd4fa&amp;oe=57FC62FE"/>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81166" cy="2202124"/>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b/>
          <w:sz w:val="28"/>
          <w:szCs w:val="28"/>
        </w:rPr>
      </w:pPr>
      <w:r w:rsidRPr="00C77E77">
        <w:rPr>
          <w:rFonts w:ascii="Times New Roman" w:eastAsia="標楷體" w:hAnsi="Times New Roman" w:cs="Times New Roman"/>
          <w:b/>
          <w:sz w:val="28"/>
          <w:szCs w:val="28"/>
        </w:rPr>
        <w:t>六、出國報告</w:t>
      </w:r>
      <w:r w:rsidRPr="00C77E77">
        <w:rPr>
          <w:rFonts w:ascii="Times New Roman" w:eastAsia="標楷體" w:hAnsi="Times New Roman" w:cs="Times New Roman"/>
          <w:b/>
          <w:sz w:val="28"/>
          <w:szCs w:val="28"/>
        </w:rPr>
        <w:t>─</w:t>
      </w:r>
      <w:r w:rsidRPr="00C77E77">
        <w:rPr>
          <w:rFonts w:ascii="Times New Roman" w:eastAsia="標楷體" w:hAnsi="Times New Roman" w:cs="Times New Roman"/>
          <w:b/>
          <w:sz w:val="28"/>
          <w:szCs w:val="28"/>
        </w:rPr>
        <w:t>越南</w:t>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drawing>
          <wp:inline distT="0" distB="0" distL="0" distR="0" wp14:anchorId="56C1CC45" wp14:editId="63C64988">
            <wp:extent cx="2562225" cy="1441213"/>
            <wp:effectExtent l="0" t="0" r="0" b="6985"/>
            <wp:docPr id="6251" name="圖片 6251" descr="https://scontent-tpe1-1.xx.fbcdn.net/v/t34.0-12/14825529_10211362300552356_1110977711_n.jpg?oh=523f70987da687340c8212b49e804cc4&amp;oe=5810BC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tpe1-1.xx.fbcdn.net/v/t34.0-12/14825529_10211362300552356_1110977711_n.jpg?oh=523f70987da687340c8212b49e804cc4&amp;oe=5810BC3F"/>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78554" cy="1450398"/>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48FFD7C6" wp14:editId="1A0599F4">
            <wp:extent cx="2552700" cy="1914525"/>
            <wp:effectExtent l="0" t="0" r="0" b="9525"/>
            <wp:docPr id="6252" name="圖片 6252" descr="https://scontent-tpe1-1.xx.fbcdn.net/v/t34.0-12/14797402_10211362301352376_382900299_n.jpg?oh=1e8da6082750fcada6ac0b7a971a30d3&amp;oe=5810D5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tpe1-1.xx.fbcdn.net/v/t34.0-12/14797402_10211362301352376_382900299_n.jpg?oh=1e8da6082750fcada6ac0b7a971a30d3&amp;oe=5810D5E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lastRenderedPageBreak/>
        <w:drawing>
          <wp:inline distT="0" distB="0" distL="0" distR="0" wp14:anchorId="63EFE301" wp14:editId="04E49481">
            <wp:extent cx="2562225" cy="1441251"/>
            <wp:effectExtent l="0" t="0" r="0" b="6985"/>
            <wp:docPr id="6253" name="圖片 6253" descr="https://scontent-tpe1-1.xx.fbcdn.net/v/t34.0-12/14826252_10211362300432353_1179126385_n.jpg?oh=232e25f48422d51c9f1d1ad2cc73a46b&amp;oe=5810AF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tpe1-1.xx.fbcdn.net/v/t34.0-12/14826252_10211362300432353_1179126385_n.jpg?oh=232e25f48422d51c9f1d1ad2cc73a46b&amp;oe=5810AF7C"/>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602049" cy="1463652"/>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5021C4FF" wp14:editId="3A8F43F4">
            <wp:extent cx="2616410" cy="1962150"/>
            <wp:effectExtent l="0" t="0" r="0" b="0"/>
            <wp:docPr id="6259" name="圖片 6259" descr="https://scontent-tpe1-1.xx.fbcdn.net/v/t34.0-12/14408937_10211362300832363_697657012_n.jpg?oh=aec5f4e57f1fea76d309a76539589017&amp;oe=58113F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tpe1-1.xx.fbcdn.net/v/t34.0-12/14408937_10211362300832363_697657012_n.jpg?oh=aec5f4e57f1fea76d309a76539589017&amp;oe=58113F6F"/>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24539" cy="1968246"/>
                    </a:xfrm>
                    <a:prstGeom prst="rect">
                      <a:avLst/>
                    </a:prstGeom>
                    <a:noFill/>
                    <a:ln>
                      <a:noFill/>
                    </a:ln>
                  </pic:spPr>
                </pic:pic>
              </a:graphicData>
            </a:graphic>
          </wp:inline>
        </w:drawing>
      </w:r>
      <w:r w:rsidRPr="00C77E77">
        <w:rPr>
          <w:rFonts w:ascii="Times New Roman" w:hAnsi="Times New Roman" w:cs="Times New Roman"/>
          <w:noProof/>
          <w:sz w:val="28"/>
          <w:szCs w:val="28"/>
        </w:rPr>
        <w:drawing>
          <wp:inline distT="0" distB="0" distL="0" distR="0" wp14:anchorId="252EAEE6" wp14:editId="0AF87D6F">
            <wp:extent cx="2811009" cy="1581150"/>
            <wp:effectExtent l="0" t="0" r="8890" b="0"/>
            <wp:docPr id="6255" name="圖片 6255" descr="https://scontent-tpe1-1.xx.fbcdn.net/v/t34.0-12/14800826_10211362300632358_533990655_n.jpg?oh=5f9358b2050e5ac93b3930ad21f114ec&amp;oe=5810FD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tpe1-1.xx.fbcdn.net/v/t34.0-12/14800826_10211362300632358_533990655_n.jpg?oh=5f9358b2050e5ac93b3930ad21f114ec&amp;oe=5810FD6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flipH="1">
                      <a:off x="0" y="0"/>
                      <a:ext cx="2823506" cy="1588179"/>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79F0B08F" wp14:editId="21B268B8">
            <wp:extent cx="2271713" cy="3028950"/>
            <wp:effectExtent l="0" t="0" r="0" b="0"/>
            <wp:docPr id="6256" name="圖片 6256" descr="https://scontent-tpe1-1.xx.fbcdn.net/v/t34.0-12/14800680_10211362301312375_818382049_n.jpg?oh=2e4449f111054ec83d4900e9684bde00&amp;oe=5810F1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tpe1-1.xx.fbcdn.net/v/t34.0-12/14800680_10211362301312375_818382049_n.jpg?oh=2e4449f111054ec83d4900e9684bde00&amp;oe=5810F1E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79627" cy="3039502"/>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r w:rsidRPr="00C77E77">
        <w:rPr>
          <w:rFonts w:ascii="Times New Roman" w:eastAsia="標楷體" w:hAnsi="Times New Roman" w:cs="Times New Roman"/>
          <w:noProof/>
          <w:sz w:val="28"/>
          <w:szCs w:val="28"/>
        </w:rPr>
        <w:drawing>
          <wp:inline distT="0" distB="0" distL="0" distR="0" wp14:anchorId="54681D9B" wp14:editId="39449714">
            <wp:extent cx="2540203" cy="1905000"/>
            <wp:effectExtent l="0" t="0" r="0" b="0"/>
            <wp:docPr id="6257" name="圖片 6257" descr="https://scontent-tpe1-1.xx.fbcdn.net/v/t34.0-12/14804767_10211362301112370_1173117000_n.jpg?oh=580bc295528a196474cc1b9ba7c48b43&amp;oe=5811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tpe1-1.xx.fbcdn.net/v/t34.0-12/14804767_10211362301112370_1173117000_n.jpg?oh=580bc295528a196474cc1b9ba7c48b43&amp;oe=5811369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46724" cy="1909890"/>
                    </a:xfrm>
                    <a:prstGeom prst="rect">
                      <a:avLst/>
                    </a:prstGeom>
                    <a:noFill/>
                    <a:ln>
                      <a:noFill/>
                    </a:ln>
                  </pic:spPr>
                </pic:pic>
              </a:graphicData>
            </a:graphic>
          </wp:inline>
        </w:drawing>
      </w:r>
      <w:r w:rsidRPr="00C77E77">
        <w:rPr>
          <w:rFonts w:ascii="Times New Roman" w:eastAsia="標楷體" w:hAnsi="Times New Roman" w:cs="Times New Roman"/>
          <w:sz w:val="28"/>
          <w:szCs w:val="28"/>
        </w:rPr>
        <w:t xml:space="preserve"> </w:t>
      </w:r>
      <w:r w:rsidRPr="00C77E77">
        <w:rPr>
          <w:rFonts w:ascii="Times New Roman" w:eastAsia="標楷體" w:hAnsi="Times New Roman" w:cs="Times New Roman"/>
          <w:noProof/>
          <w:sz w:val="28"/>
          <w:szCs w:val="28"/>
        </w:rPr>
        <w:drawing>
          <wp:inline distT="0" distB="0" distL="0" distR="0" wp14:anchorId="1764B6F4" wp14:editId="0DCB7C92">
            <wp:extent cx="2581275" cy="2029504"/>
            <wp:effectExtent l="0" t="0" r="0" b="8890"/>
            <wp:docPr id="6258" name="圖片 6258" descr="C:\Users\V5480\Desktop\14798975_10211362301072369_273227403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5480\Desktop\14798975_10211362301072369_273227403_n (2).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15702" cy="2056572"/>
                    </a:xfrm>
                    <a:prstGeom prst="rect">
                      <a:avLst/>
                    </a:prstGeom>
                    <a:noFill/>
                    <a:ln>
                      <a:noFill/>
                    </a:ln>
                  </pic:spPr>
                </pic:pic>
              </a:graphicData>
            </a:graphic>
          </wp:inline>
        </w:drawing>
      </w:r>
    </w:p>
    <w:p w:rsidR="009B2A0F" w:rsidRPr="00C77E77" w:rsidRDefault="009B2A0F" w:rsidP="009B2A0F">
      <w:pPr>
        <w:spacing w:beforeLines="50" w:before="180" w:afterLines="50" w:after="180" w:line="360" w:lineRule="auto"/>
        <w:rPr>
          <w:rFonts w:ascii="Times New Roman" w:eastAsia="標楷體" w:hAnsi="Times New Roman" w:cs="Times New Roman"/>
          <w:sz w:val="28"/>
          <w:szCs w:val="28"/>
        </w:rPr>
      </w:pPr>
    </w:p>
    <w:p w:rsidR="009B2A0F" w:rsidRPr="00C77E77" w:rsidRDefault="009B2A0F">
      <w:pPr>
        <w:widowControl/>
        <w:rPr>
          <w:rFonts w:ascii="Times New Roman" w:eastAsia="標楷體" w:hAnsi="Times New Roman" w:cs="Times New Roman"/>
          <w:color w:val="000000"/>
          <w:sz w:val="28"/>
          <w:szCs w:val="28"/>
        </w:rPr>
      </w:pPr>
    </w:p>
    <w:p w:rsidR="00CE6CF0" w:rsidRPr="00C77E77" w:rsidRDefault="00CE6CF0">
      <w:pPr>
        <w:widowControl/>
        <w:rPr>
          <w:rFonts w:ascii="Times New Roman" w:eastAsia="標楷體" w:hAnsi="Times New Roman" w:cs="Times New Roman"/>
          <w:color w:val="000000"/>
          <w:sz w:val="28"/>
          <w:szCs w:val="28"/>
        </w:rPr>
      </w:pPr>
      <w:r w:rsidRPr="00C77E77">
        <w:rPr>
          <w:rFonts w:ascii="Times New Roman" w:eastAsia="標楷體" w:hAnsi="Times New Roman" w:cs="Times New Roman"/>
          <w:color w:val="000000"/>
          <w:sz w:val="28"/>
          <w:szCs w:val="28"/>
        </w:rPr>
        <w:br w:type="page"/>
      </w:r>
    </w:p>
    <w:p w:rsidR="009B2A0F" w:rsidRPr="00C77E77" w:rsidRDefault="009B2A0F">
      <w:pPr>
        <w:widowControl/>
        <w:rPr>
          <w:rFonts w:ascii="Times New Roman" w:eastAsia="標楷體" w:hAnsi="Times New Roman" w:cs="Times New Roman"/>
          <w:color w:val="000000"/>
          <w:sz w:val="28"/>
          <w:szCs w:val="28"/>
        </w:rPr>
      </w:pPr>
    </w:p>
    <w:p w:rsidR="00CE6CF0" w:rsidRPr="00C77E77" w:rsidRDefault="00CE6CF0" w:rsidP="00CE6CF0">
      <w:pPr>
        <w:rPr>
          <w:rFonts w:ascii="Times New Roman" w:eastAsia="標楷體" w:hAnsi="Times New Roman" w:cs="Times New Roman"/>
          <w:kern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94"/>
      </w:tblGrid>
      <w:tr w:rsidR="00CE6CF0" w:rsidRPr="00C77E77" w:rsidTr="00C97C5C">
        <w:trPr>
          <w:trHeight w:val="4253"/>
        </w:trPr>
        <w:tc>
          <w:tcPr>
            <w:tcW w:w="87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CE6CF0" w:rsidRPr="00C77E77" w:rsidRDefault="00CE6CF0" w:rsidP="00C97C5C">
            <w:pPr>
              <w:widowControl/>
              <w:ind w:leftChars="374" w:left="1138" w:rightChars="350" w:right="840" w:hangingChars="100" w:hanging="240"/>
              <w:jc w:val="both"/>
              <w:rPr>
                <w:rFonts w:ascii="Times New Roman" w:eastAsia="標楷體" w:hAnsi="Times New Roman" w:cs="Times New Roman"/>
                <w:kern w:val="0"/>
              </w:rPr>
            </w:pPr>
          </w:p>
          <w:p w:rsidR="00CE6CF0" w:rsidRPr="00C77E77" w:rsidRDefault="00CE6CF0" w:rsidP="00C97C5C">
            <w:pPr>
              <w:widowControl/>
              <w:ind w:leftChars="374" w:left="1378" w:rightChars="350" w:right="840" w:hangingChars="200" w:hanging="480"/>
              <w:jc w:val="both"/>
              <w:rPr>
                <w:rFonts w:ascii="Times New Roman" w:eastAsia="標楷體" w:hAnsi="Times New Roman" w:cs="Times New Roman"/>
                <w:kern w:val="0"/>
              </w:rPr>
            </w:pPr>
            <w:r w:rsidRPr="00C77E77">
              <w:rPr>
                <w:rFonts w:ascii="Times New Roman" w:eastAsia="標楷體" w:hAnsi="Times New Roman" w:cs="Times New Roman"/>
                <w:kern w:val="0"/>
              </w:rPr>
              <w:t>東南亞及南亞經貿情勢暨策略規劃研究</w:t>
            </w:r>
            <w:r w:rsidRPr="00C77E77">
              <w:rPr>
                <w:rFonts w:ascii="Times New Roman" w:eastAsia="標楷體" w:hAnsi="Times New Roman" w:cs="Times New Roman"/>
                <w:kern w:val="0"/>
              </w:rPr>
              <w:t>/</w:t>
            </w:r>
            <w:r w:rsidRPr="00C77E77">
              <w:rPr>
                <w:rFonts w:ascii="Times New Roman" w:eastAsia="標楷體" w:hAnsi="Times New Roman" w:cs="Times New Roman"/>
                <w:kern w:val="0"/>
              </w:rPr>
              <w:t>譚瑾瑜博士計畫主持</w:t>
            </w:r>
            <w:r w:rsidRPr="00C77E77">
              <w:rPr>
                <w:rFonts w:ascii="Times New Roman" w:eastAsia="標楷體" w:hAnsi="Times New Roman" w:cs="Times New Roman"/>
                <w:kern w:val="0"/>
              </w:rPr>
              <w:t xml:space="preserve">. -- </w:t>
            </w:r>
            <w:r w:rsidRPr="00C77E77">
              <w:rPr>
                <w:rFonts w:ascii="Times New Roman" w:eastAsia="標楷體" w:hAnsi="Times New Roman" w:cs="Times New Roman"/>
                <w:kern w:val="0"/>
              </w:rPr>
              <w:t>初版</w:t>
            </w:r>
            <w:r w:rsidRPr="00C77E77">
              <w:rPr>
                <w:rFonts w:ascii="Times New Roman" w:eastAsia="標楷體" w:hAnsi="Times New Roman" w:cs="Times New Roman"/>
                <w:kern w:val="0"/>
              </w:rPr>
              <w:t xml:space="preserve">. -- </w:t>
            </w:r>
            <w:r w:rsidRPr="00C77E77">
              <w:rPr>
                <w:rFonts w:ascii="Times New Roman" w:eastAsia="標楷體" w:hAnsi="Times New Roman" w:cs="Times New Roman"/>
                <w:kern w:val="0"/>
              </w:rPr>
              <w:t>臺北市</w:t>
            </w:r>
            <w:r w:rsidRPr="00C77E77">
              <w:rPr>
                <w:rFonts w:ascii="Times New Roman" w:eastAsia="標楷體" w:hAnsi="Times New Roman" w:cs="Times New Roman"/>
                <w:kern w:val="0"/>
              </w:rPr>
              <w:t xml:space="preserve"> : </w:t>
            </w:r>
            <w:r w:rsidRPr="00C77E77">
              <w:rPr>
                <w:rFonts w:ascii="Times New Roman" w:eastAsia="標楷體" w:hAnsi="Times New Roman" w:cs="Times New Roman"/>
                <w:kern w:val="0"/>
              </w:rPr>
              <w:t>國發會</w:t>
            </w:r>
            <w:r w:rsidRPr="00C77E77">
              <w:rPr>
                <w:rFonts w:ascii="Times New Roman" w:eastAsia="標楷體" w:hAnsi="Times New Roman" w:cs="Times New Roman"/>
                <w:kern w:val="0"/>
              </w:rPr>
              <w:t xml:space="preserve">, </w:t>
            </w:r>
            <w:r w:rsidRPr="00C77E77">
              <w:rPr>
                <w:rFonts w:ascii="Times New Roman" w:eastAsia="標楷體" w:hAnsi="Times New Roman" w:cs="Times New Roman"/>
                <w:kern w:val="0"/>
              </w:rPr>
              <w:t>民</w:t>
            </w:r>
            <w:r w:rsidRPr="00C77E77">
              <w:rPr>
                <w:rFonts w:ascii="Times New Roman" w:eastAsia="標楷體" w:hAnsi="Times New Roman" w:cs="Times New Roman"/>
                <w:kern w:val="0"/>
              </w:rPr>
              <w:t xml:space="preserve">105.12 </w:t>
            </w:r>
          </w:p>
          <w:p w:rsidR="00CE6CF0" w:rsidRPr="00C77E77" w:rsidRDefault="00CE6CF0" w:rsidP="00C97C5C">
            <w:pPr>
              <w:widowControl/>
              <w:ind w:leftChars="374" w:left="898" w:rightChars="350" w:right="840" w:firstLineChars="100" w:firstLine="240"/>
              <w:jc w:val="both"/>
              <w:rPr>
                <w:rFonts w:ascii="Times New Roman" w:eastAsia="標楷體" w:hAnsi="Times New Roman" w:cs="Times New Roman"/>
                <w:kern w:val="0"/>
              </w:rPr>
            </w:pPr>
            <w:r w:rsidRPr="00C77E77">
              <w:rPr>
                <w:rFonts w:ascii="Times New Roman" w:eastAsia="標楷體" w:hAnsi="Times New Roman" w:cs="Times New Roman"/>
                <w:kern w:val="0"/>
              </w:rPr>
              <w:t xml:space="preserve">　面</w:t>
            </w:r>
            <w:r w:rsidRPr="00C77E77">
              <w:rPr>
                <w:rFonts w:ascii="Times New Roman" w:eastAsia="標楷體" w:hAnsi="Times New Roman" w:cs="Times New Roman"/>
                <w:kern w:val="0"/>
              </w:rPr>
              <w:t xml:space="preserve">: </w:t>
            </w:r>
            <w:r w:rsidRPr="00C77E77">
              <w:rPr>
                <w:rFonts w:ascii="Times New Roman" w:eastAsia="標楷體" w:hAnsi="Times New Roman" w:cs="Times New Roman"/>
                <w:kern w:val="0"/>
              </w:rPr>
              <w:t>表，公分</w:t>
            </w:r>
            <w:r w:rsidRPr="00C77E77">
              <w:rPr>
                <w:rFonts w:ascii="Times New Roman" w:eastAsia="標楷體" w:hAnsi="Times New Roman" w:cs="Times New Roman"/>
                <w:kern w:val="0"/>
              </w:rPr>
              <w:t xml:space="preserve"> </w:t>
            </w:r>
          </w:p>
          <w:p w:rsidR="00CE6CF0" w:rsidRPr="00C77E77" w:rsidRDefault="00CE6CF0" w:rsidP="00C97C5C">
            <w:pPr>
              <w:widowControl/>
              <w:ind w:leftChars="580" w:left="1430" w:rightChars="335" w:right="804" w:hangingChars="16" w:hanging="38"/>
              <w:jc w:val="both"/>
              <w:rPr>
                <w:rFonts w:ascii="Times New Roman" w:eastAsia="標楷體" w:hAnsi="Times New Roman" w:cs="Times New Roman"/>
                <w:kern w:val="0"/>
              </w:rPr>
            </w:pPr>
            <w:r w:rsidRPr="00C77E77">
              <w:rPr>
                <w:rFonts w:ascii="Times New Roman" w:eastAsia="標楷體" w:hAnsi="Times New Roman" w:cs="Times New Roman"/>
                <w:kern w:val="0"/>
              </w:rPr>
              <w:t>編號</w:t>
            </w:r>
            <w:r w:rsidRPr="00C77E77">
              <w:rPr>
                <w:rFonts w:ascii="Times New Roman" w:eastAsia="標楷體" w:hAnsi="Times New Roman" w:cs="Times New Roman"/>
                <w:kern w:val="0"/>
              </w:rPr>
              <w:t>:(105)042.0207</w:t>
            </w:r>
          </w:p>
          <w:p w:rsidR="00CE6CF0" w:rsidRPr="00C77E77" w:rsidRDefault="00CE6CF0" w:rsidP="00C97C5C">
            <w:pPr>
              <w:widowControl/>
              <w:ind w:leftChars="474" w:left="1138" w:rightChars="335" w:right="804" w:firstLineChars="93" w:firstLine="223"/>
              <w:jc w:val="both"/>
              <w:rPr>
                <w:rFonts w:ascii="Times New Roman" w:eastAsia="標楷體" w:hAnsi="Times New Roman" w:cs="Times New Roman"/>
                <w:kern w:val="0"/>
              </w:rPr>
            </w:pPr>
            <w:r w:rsidRPr="00C77E77">
              <w:rPr>
                <w:rFonts w:ascii="Times New Roman" w:eastAsia="標楷體" w:hAnsi="Times New Roman" w:cs="Times New Roman"/>
                <w:kern w:val="0"/>
              </w:rPr>
              <w:t>委託單位</w:t>
            </w:r>
            <w:r w:rsidRPr="00C77E77">
              <w:rPr>
                <w:rFonts w:ascii="Times New Roman" w:eastAsia="標楷體" w:hAnsi="Times New Roman" w:cs="Times New Roman"/>
                <w:kern w:val="0"/>
              </w:rPr>
              <w:t>:</w:t>
            </w:r>
            <w:r w:rsidRPr="00C77E77">
              <w:rPr>
                <w:rFonts w:ascii="Times New Roman" w:eastAsia="標楷體" w:hAnsi="Times New Roman" w:cs="Times New Roman"/>
                <w:kern w:val="0"/>
              </w:rPr>
              <w:t>國家發展委員會</w:t>
            </w:r>
          </w:p>
          <w:p w:rsidR="00CE6CF0" w:rsidRPr="00C77E77" w:rsidRDefault="00CE6CF0" w:rsidP="00C97C5C">
            <w:pPr>
              <w:widowControl/>
              <w:ind w:leftChars="567" w:left="2561" w:rightChars="335" w:right="804" w:hangingChars="500" w:hanging="1200"/>
              <w:jc w:val="both"/>
              <w:rPr>
                <w:rFonts w:ascii="Times New Roman" w:eastAsia="標楷體" w:hAnsi="Times New Roman" w:cs="Times New Roman"/>
                <w:kern w:val="0"/>
              </w:rPr>
            </w:pPr>
            <w:r w:rsidRPr="00C77E77">
              <w:rPr>
                <w:rFonts w:ascii="Times New Roman" w:eastAsia="標楷體" w:hAnsi="Times New Roman" w:cs="Times New Roman"/>
                <w:kern w:val="0"/>
              </w:rPr>
              <w:t>研究單位</w:t>
            </w:r>
            <w:r w:rsidRPr="00C77E77">
              <w:rPr>
                <w:rFonts w:ascii="Times New Roman" w:eastAsia="標楷體" w:hAnsi="Times New Roman" w:cs="Times New Roman"/>
                <w:kern w:val="0"/>
              </w:rPr>
              <w:t>:</w:t>
            </w:r>
            <w:r w:rsidRPr="00C77E77">
              <w:rPr>
                <w:rFonts w:ascii="Times New Roman" w:eastAsia="標楷體" w:hAnsi="Times New Roman" w:cs="Times New Roman"/>
                <w:kern w:val="0"/>
              </w:rPr>
              <w:t>財團法人臺灣經濟研究院新興市場研究中心</w:t>
            </w:r>
          </w:p>
          <w:p w:rsidR="00CE6CF0" w:rsidRPr="00C77E77" w:rsidRDefault="00CE6CF0" w:rsidP="00C97C5C">
            <w:pPr>
              <w:widowControl/>
              <w:ind w:leftChars="474" w:left="1138" w:rightChars="335" w:right="804" w:firstLineChars="93" w:firstLine="379"/>
              <w:jc w:val="both"/>
              <w:rPr>
                <w:rFonts w:ascii="Times New Roman" w:eastAsia="標楷體" w:hAnsi="Times New Roman" w:cs="Times New Roman"/>
                <w:color w:val="212121"/>
                <w:spacing w:val="-16"/>
                <w:sz w:val="44"/>
                <w:szCs w:val="44"/>
                <w:shd w:val="clear" w:color="auto" w:fill="FFFFFF"/>
              </w:rPr>
            </w:pPr>
          </w:p>
          <w:p w:rsidR="00CE6CF0" w:rsidRPr="00C77E77" w:rsidRDefault="00CE6CF0" w:rsidP="00C97C5C">
            <w:pPr>
              <w:widowControl/>
              <w:ind w:leftChars="474" w:left="1138" w:rightChars="335" w:right="804" w:firstLineChars="111" w:firstLine="266"/>
              <w:jc w:val="both"/>
              <w:rPr>
                <w:rFonts w:ascii="Times New Roman" w:eastAsia="標楷體" w:hAnsi="Times New Roman" w:cs="Times New Roman"/>
                <w:kern w:val="0"/>
              </w:rPr>
            </w:pPr>
            <w:r w:rsidRPr="00C77E77">
              <w:rPr>
                <w:rFonts w:ascii="Times New Roman" w:eastAsia="標楷體" w:hAnsi="Times New Roman" w:cs="Times New Roman"/>
                <w:kern w:val="0"/>
              </w:rPr>
              <w:t>國際貿易</w:t>
            </w:r>
          </w:p>
          <w:p w:rsidR="00CE6CF0" w:rsidRPr="00C77E77" w:rsidRDefault="00CE6CF0" w:rsidP="00C97C5C">
            <w:pPr>
              <w:widowControl/>
              <w:ind w:leftChars="474" w:left="1138" w:rightChars="335" w:right="804" w:firstLineChars="111" w:firstLine="266"/>
              <w:jc w:val="both"/>
              <w:rPr>
                <w:rFonts w:ascii="Times New Roman" w:eastAsia="標楷體" w:hAnsi="Times New Roman" w:cs="Times New Roman"/>
                <w:kern w:val="0"/>
              </w:rPr>
            </w:pPr>
            <w:r w:rsidRPr="00C77E77">
              <w:rPr>
                <w:rFonts w:ascii="Times New Roman" w:eastAsia="標楷體" w:hAnsi="Times New Roman" w:cs="Times New Roman"/>
                <w:kern w:val="0"/>
              </w:rPr>
              <w:t>552.2833</w:t>
            </w:r>
          </w:p>
        </w:tc>
      </w:tr>
    </w:tbl>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widowControl/>
        <w:rPr>
          <w:rFonts w:ascii="Times New Roman" w:eastAsia="標楷體" w:hAnsi="Times New Roman" w:cs="Times New Roman"/>
        </w:rPr>
      </w:pPr>
    </w:p>
    <w:p w:rsidR="00CE6CF0" w:rsidRPr="00C77E77" w:rsidRDefault="00CE6CF0" w:rsidP="00CE6CF0">
      <w:pPr>
        <w:rPr>
          <w:rFonts w:ascii="Times New Roman" w:eastAsia="標楷體" w:hAnsi="Times New Roman" w:cs="Times New Roman"/>
          <w:b/>
        </w:rPr>
      </w:pPr>
      <w:r w:rsidRPr="00C77E77">
        <w:rPr>
          <w:rFonts w:ascii="Times New Roman" w:eastAsia="標楷體" w:hAnsi="Times New Roman" w:cs="Times New Roman"/>
        </w:rPr>
        <w:t>題名：</w:t>
      </w:r>
      <w:r w:rsidRPr="00C77E77">
        <w:rPr>
          <w:rFonts w:ascii="Times New Roman" w:eastAsia="標楷體" w:hAnsi="Times New Roman" w:cs="Times New Roman"/>
          <w:kern w:val="0"/>
        </w:rPr>
        <w:t>東南亞及南亞經貿情勢暨策略規劃研究</w:t>
      </w:r>
    </w:p>
    <w:p w:rsidR="00CE6CF0" w:rsidRPr="00C77E77" w:rsidRDefault="00CE6CF0" w:rsidP="00CE6CF0">
      <w:pPr>
        <w:rPr>
          <w:rFonts w:ascii="Times New Roman" w:eastAsia="標楷體" w:hAnsi="Times New Roman" w:cs="Times New Roman"/>
        </w:rPr>
      </w:pPr>
      <w:r w:rsidRPr="00C77E77">
        <w:rPr>
          <w:rFonts w:ascii="Times New Roman" w:eastAsia="標楷體" w:hAnsi="Times New Roman" w:cs="Times New Roman"/>
        </w:rPr>
        <w:t>委託單位：國家發展委員會</w:t>
      </w:r>
    </w:p>
    <w:p w:rsidR="00CE6CF0" w:rsidRPr="00C77E77" w:rsidRDefault="00CE6CF0" w:rsidP="00CE6CF0">
      <w:pPr>
        <w:rPr>
          <w:rFonts w:ascii="Times New Roman" w:eastAsia="標楷體" w:hAnsi="Times New Roman" w:cs="Times New Roman"/>
        </w:rPr>
      </w:pPr>
      <w:r w:rsidRPr="00C77E77">
        <w:rPr>
          <w:rFonts w:ascii="Times New Roman" w:eastAsia="標楷體" w:hAnsi="Times New Roman" w:cs="Times New Roman"/>
        </w:rPr>
        <w:t>研究單位：</w:t>
      </w:r>
      <w:r w:rsidRPr="00C77E77">
        <w:rPr>
          <w:rFonts w:ascii="Times New Roman" w:eastAsia="標楷體" w:hAnsi="Times New Roman" w:cs="Times New Roman"/>
          <w:kern w:val="0"/>
        </w:rPr>
        <w:t>財團法人臺灣經濟研究院新興市場研究中心</w:t>
      </w:r>
    </w:p>
    <w:p w:rsidR="00CE6CF0" w:rsidRPr="00C77E77" w:rsidRDefault="00CE6CF0" w:rsidP="00CE6CF0">
      <w:pPr>
        <w:widowControl/>
        <w:ind w:right="1667"/>
        <w:rPr>
          <w:rFonts w:ascii="Times New Roman" w:eastAsia="標楷體" w:hAnsi="Times New Roman" w:cs="Times New Roman"/>
        </w:rPr>
      </w:pPr>
      <w:r w:rsidRPr="00C77E77">
        <w:rPr>
          <w:rFonts w:ascii="Times New Roman" w:eastAsia="標楷體" w:hAnsi="Times New Roman" w:cs="Times New Roman"/>
        </w:rPr>
        <w:t>計畫主持人：</w:t>
      </w:r>
      <w:r w:rsidRPr="00C77E77">
        <w:rPr>
          <w:rFonts w:ascii="Times New Roman" w:eastAsia="標楷體" w:hAnsi="Times New Roman" w:cs="Times New Roman"/>
          <w:kern w:val="0"/>
        </w:rPr>
        <w:t>譚瑾瑜博士</w:t>
      </w:r>
    </w:p>
    <w:p w:rsidR="00CE6CF0" w:rsidRPr="00C77E77" w:rsidRDefault="00CE6CF0" w:rsidP="00CE6CF0">
      <w:pPr>
        <w:rPr>
          <w:rFonts w:ascii="Times New Roman" w:eastAsia="標楷體" w:hAnsi="Times New Roman" w:cs="Times New Roman"/>
        </w:rPr>
      </w:pPr>
      <w:r w:rsidRPr="00C77E77">
        <w:rPr>
          <w:rFonts w:ascii="Times New Roman" w:eastAsia="標楷體" w:hAnsi="Times New Roman" w:cs="Times New Roman"/>
        </w:rPr>
        <w:t>出版機關：國家發展委員會</w:t>
      </w:r>
    </w:p>
    <w:p w:rsidR="00CE6CF0" w:rsidRPr="00C77E77" w:rsidRDefault="00CE6CF0" w:rsidP="00CE6CF0">
      <w:pPr>
        <w:ind w:firstLineChars="507" w:firstLine="1217"/>
        <w:rPr>
          <w:rFonts w:ascii="Times New Roman" w:eastAsia="標楷體" w:hAnsi="Times New Roman" w:cs="Times New Roman"/>
        </w:rPr>
      </w:pPr>
      <w:r w:rsidRPr="00C77E77">
        <w:rPr>
          <w:rFonts w:ascii="Times New Roman" w:eastAsia="標楷體" w:hAnsi="Times New Roman" w:cs="Times New Roman"/>
        </w:rPr>
        <w:t>電話：</w:t>
      </w:r>
      <w:r w:rsidRPr="00C77E77">
        <w:rPr>
          <w:rFonts w:ascii="Times New Roman" w:eastAsia="標楷體" w:hAnsi="Times New Roman" w:cs="Times New Roman"/>
        </w:rPr>
        <w:t xml:space="preserve">02-23165300     </w:t>
      </w:r>
    </w:p>
    <w:p w:rsidR="00CE6CF0" w:rsidRPr="00C77E77" w:rsidRDefault="00CE6CF0" w:rsidP="00CE6CF0">
      <w:pPr>
        <w:ind w:firstLineChars="513" w:firstLine="1231"/>
        <w:rPr>
          <w:rFonts w:ascii="Times New Roman" w:eastAsia="標楷體" w:hAnsi="Times New Roman" w:cs="Times New Roman"/>
        </w:rPr>
      </w:pPr>
      <w:r w:rsidRPr="00C77E77">
        <w:rPr>
          <w:rFonts w:ascii="Times New Roman" w:eastAsia="標楷體" w:hAnsi="Times New Roman" w:cs="Times New Roman"/>
        </w:rPr>
        <w:t>地址：臺北市寶慶路</w:t>
      </w:r>
      <w:r w:rsidRPr="00C77E77">
        <w:rPr>
          <w:rFonts w:ascii="Times New Roman" w:eastAsia="標楷體" w:hAnsi="Times New Roman" w:cs="Times New Roman"/>
        </w:rPr>
        <w:t>3</w:t>
      </w:r>
      <w:r w:rsidRPr="00C77E77">
        <w:rPr>
          <w:rFonts w:ascii="Times New Roman" w:eastAsia="標楷體" w:hAnsi="Times New Roman" w:cs="Times New Roman"/>
        </w:rPr>
        <w:t>號</w:t>
      </w:r>
      <w:r w:rsidRPr="00C77E77">
        <w:rPr>
          <w:rFonts w:ascii="Times New Roman" w:eastAsia="標楷體" w:hAnsi="Times New Roman" w:cs="Times New Roman"/>
        </w:rPr>
        <w:t xml:space="preserve">   </w:t>
      </w:r>
    </w:p>
    <w:p w:rsidR="00CE6CF0" w:rsidRPr="00C77E77" w:rsidRDefault="00CE6CF0" w:rsidP="00CE6CF0">
      <w:pPr>
        <w:ind w:firstLineChars="513" w:firstLine="1231"/>
        <w:rPr>
          <w:rFonts w:ascii="Times New Roman" w:eastAsia="標楷體" w:hAnsi="Times New Roman" w:cs="Times New Roman"/>
        </w:rPr>
      </w:pPr>
      <w:r w:rsidRPr="00C77E77">
        <w:rPr>
          <w:rFonts w:ascii="Times New Roman" w:eastAsia="標楷體" w:hAnsi="Times New Roman" w:cs="Times New Roman"/>
        </w:rPr>
        <w:t>網址：</w:t>
      </w:r>
      <w:hyperlink r:id="rId226" w:history="1">
        <w:r w:rsidRPr="00C77E77">
          <w:rPr>
            <w:rStyle w:val="aa"/>
            <w:rFonts w:ascii="Times New Roman" w:hAnsi="Times New Roman" w:cs="Times New Roman"/>
            <w:u w:val="none"/>
          </w:rPr>
          <w:t>http://www.ndc.gov.tw/</w:t>
        </w:r>
      </w:hyperlink>
    </w:p>
    <w:p w:rsidR="00CE6CF0" w:rsidRPr="00C77E77" w:rsidRDefault="00CE6CF0" w:rsidP="00CE6CF0">
      <w:pPr>
        <w:spacing w:line="360" w:lineRule="exact"/>
        <w:rPr>
          <w:rFonts w:ascii="Times New Roman" w:eastAsia="標楷體" w:hAnsi="Times New Roman" w:cs="Times New Roman"/>
        </w:rPr>
      </w:pPr>
      <w:r w:rsidRPr="00C77E77">
        <w:rPr>
          <w:rFonts w:ascii="Times New Roman" w:eastAsia="標楷體" w:hAnsi="Times New Roman" w:cs="Times New Roman"/>
        </w:rPr>
        <w:t>出版年月：中華民國</w:t>
      </w:r>
      <w:r w:rsidRPr="00C77E77">
        <w:rPr>
          <w:rFonts w:ascii="Times New Roman" w:eastAsia="標楷體" w:hAnsi="Times New Roman" w:cs="Times New Roman"/>
        </w:rPr>
        <w:t>105</w:t>
      </w:r>
      <w:r w:rsidRPr="00C77E77">
        <w:rPr>
          <w:rFonts w:ascii="Times New Roman" w:eastAsia="標楷體" w:hAnsi="Times New Roman" w:cs="Times New Roman"/>
        </w:rPr>
        <w:t>年</w:t>
      </w:r>
      <w:r w:rsidRPr="00C77E77">
        <w:rPr>
          <w:rFonts w:ascii="Times New Roman" w:eastAsia="標楷體" w:hAnsi="Times New Roman" w:cs="Times New Roman"/>
        </w:rPr>
        <w:t>12</w:t>
      </w:r>
      <w:r w:rsidRPr="00C77E77">
        <w:rPr>
          <w:rFonts w:ascii="Times New Roman" w:eastAsia="標楷體" w:hAnsi="Times New Roman" w:cs="Times New Roman"/>
        </w:rPr>
        <w:t>月</w:t>
      </w:r>
      <w:r w:rsidRPr="00C77E77">
        <w:rPr>
          <w:rFonts w:ascii="Times New Roman" w:eastAsia="標楷體" w:hAnsi="Times New Roman" w:cs="Times New Roman"/>
        </w:rPr>
        <w:t xml:space="preserve">      </w:t>
      </w:r>
    </w:p>
    <w:p w:rsidR="00CE6CF0" w:rsidRPr="00C77E77" w:rsidRDefault="00CE6CF0" w:rsidP="00CE6CF0">
      <w:pPr>
        <w:spacing w:line="360" w:lineRule="exact"/>
        <w:rPr>
          <w:rFonts w:ascii="Times New Roman" w:eastAsia="標楷體" w:hAnsi="Times New Roman" w:cs="Times New Roman"/>
        </w:rPr>
      </w:pPr>
      <w:r w:rsidRPr="00C77E77">
        <w:rPr>
          <w:rFonts w:ascii="Times New Roman" w:eastAsia="標楷體" w:hAnsi="Times New Roman" w:cs="Times New Roman"/>
        </w:rPr>
        <w:t>版次：初版</w:t>
      </w:r>
      <w:r w:rsidRPr="00C77E77">
        <w:rPr>
          <w:rFonts w:ascii="Times New Roman" w:eastAsia="標楷體" w:hAnsi="Times New Roman" w:cs="Times New Roman"/>
        </w:rPr>
        <w:t xml:space="preserve">    </w:t>
      </w:r>
      <w:r w:rsidRPr="00C77E77">
        <w:rPr>
          <w:rFonts w:ascii="Times New Roman" w:eastAsia="標楷體" w:hAnsi="Times New Roman" w:cs="Times New Roman"/>
        </w:rPr>
        <w:t>刷次：第</w:t>
      </w:r>
      <w:r w:rsidRPr="00C77E77">
        <w:rPr>
          <w:rFonts w:ascii="Times New Roman" w:eastAsia="標楷體" w:hAnsi="Times New Roman" w:cs="Times New Roman"/>
        </w:rPr>
        <w:t>1</w:t>
      </w:r>
      <w:r w:rsidRPr="00C77E77">
        <w:rPr>
          <w:rFonts w:ascii="Times New Roman" w:eastAsia="標楷體" w:hAnsi="Times New Roman" w:cs="Times New Roman"/>
        </w:rPr>
        <w:t>刷</w:t>
      </w:r>
    </w:p>
    <w:p w:rsidR="00CE6CF0" w:rsidRPr="00C77E77" w:rsidRDefault="00CE6CF0" w:rsidP="00CE6CF0">
      <w:pPr>
        <w:rPr>
          <w:rFonts w:ascii="Times New Roman" w:eastAsia="標楷體" w:hAnsi="Times New Roman" w:cs="Times New Roman"/>
        </w:rPr>
      </w:pPr>
    </w:p>
    <w:p w:rsidR="00CE6CF0" w:rsidRPr="00C77E77" w:rsidRDefault="00CE6CF0" w:rsidP="00CE6CF0">
      <w:pPr>
        <w:rPr>
          <w:rFonts w:ascii="Times New Roman" w:eastAsia="標楷體" w:hAnsi="Times New Roman" w:cs="Times New Roman"/>
        </w:rPr>
      </w:pPr>
      <w:r w:rsidRPr="00C77E77">
        <w:rPr>
          <w:rFonts w:ascii="Times New Roman" w:eastAsia="標楷體" w:hAnsi="Times New Roman" w:cs="Times New Roman"/>
        </w:rPr>
        <w:t>編號：</w:t>
      </w:r>
      <w:r w:rsidRPr="00C77E77">
        <w:rPr>
          <w:rFonts w:ascii="Times New Roman" w:eastAsia="標楷體" w:hAnsi="Times New Roman" w:cs="Times New Roman"/>
        </w:rPr>
        <w:t>(105)042.0207  (</w:t>
      </w:r>
      <w:r w:rsidRPr="00C77E77">
        <w:rPr>
          <w:rFonts w:ascii="Times New Roman" w:eastAsia="標楷體" w:hAnsi="Times New Roman" w:cs="Times New Roman"/>
        </w:rPr>
        <w:t>平裝</w:t>
      </w:r>
      <w:r w:rsidRPr="00C77E77">
        <w:rPr>
          <w:rFonts w:ascii="Times New Roman" w:eastAsia="標楷體" w:hAnsi="Times New Roman" w:cs="Times New Roman"/>
        </w:rPr>
        <w:t>)</w:t>
      </w:r>
    </w:p>
    <w:p w:rsidR="00CE6CF0" w:rsidRPr="00C77E77" w:rsidRDefault="00CE6CF0" w:rsidP="00CE6CF0">
      <w:pPr>
        <w:ind w:leftChars="300" w:left="900" w:hangingChars="75" w:hanging="180"/>
        <w:rPr>
          <w:rFonts w:ascii="Times New Roman" w:eastAsia="標楷體" w:hAnsi="Times New Roman" w:cs="Times New Roman"/>
        </w:rPr>
      </w:pPr>
    </w:p>
    <w:sectPr w:rsidR="00CE6CF0" w:rsidRPr="00C77E77" w:rsidSect="004042EC">
      <w:pgSz w:w="11906" w:h="16838"/>
      <w:pgMar w:top="1440" w:right="1276" w:bottom="1440"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4FEF" w:rsidRDefault="00DB4FEF" w:rsidP="002D5ACE">
      <w:r>
        <w:separator/>
      </w:r>
    </w:p>
  </w:endnote>
  <w:endnote w:type="continuationSeparator" w:id="0">
    <w:p w:rsidR="00DB4FEF" w:rsidRDefault="00DB4FEF" w:rsidP="002D5A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altName w:val=".D·￠Ae"/>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微軟正黑體">
    <w:panose1 w:val="020B0604030504040204"/>
    <w:charset w:val="88"/>
    <w:family w:val="swiss"/>
    <w:pitch w:val="variable"/>
    <w:sig w:usb0="00000087" w:usb1="288F40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Segoe UI Symbol">
    <w:panose1 w:val="020B0502040204020203"/>
    <w:charset w:val="00"/>
    <w:family w:val="swiss"/>
    <w:pitch w:val="variable"/>
    <w:sig w:usb0="8000006F" w:usb1="1200FBEF" w:usb2="0064C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96773" w:rsidRDefault="00296773" w:rsidP="009E2A12">
    <w:pPr>
      <w:pStyle w:val="af"/>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1742008"/>
      <w:docPartObj>
        <w:docPartGallery w:val="Page Numbers (Bottom of Page)"/>
        <w:docPartUnique/>
      </w:docPartObj>
    </w:sdtPr>
    <w:sdtEndPr/>
    <w:sdtContent>
      <w:p w:rsidR="00441968" w:rsidRDefault="00441968" w:rsidP="009E2A12">
        <w:pPr>
          <w:pStyle w:val="af"/>
          <w:jc w:val="center"/>
        </w:pPr>
        <w:r>
          <w:fldChar w:fldCharType="begin"/>
        </w:r>
        <w:r>
          <w:instrText>PAGE   \* MERGEFORMAT</w:instrText>
        </w:r>
        <w:r>
          <w:fldChar w:fldCharType="separate"/>
        </w:r>
        <w:r w:rsidR="006917D4" w:rsidRPr="006917D4">
          <w:rPr>
            <w:noProof/>
            <w:lang w:val="zh-TW"/>
          </w:rPr>
          <w:t>II</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255840"/>
      <w:docPartObj>
        <w:docPartGallery w:val="Page Numbers (Bottom of Page)"/>
        <w:docPartUnique/>
      </w:docPartObj>
    </w:sdtPr>
    <w:sdtEndPr/>
    <w:sdtContent>
      <w:p w:rsidR="00441968" w:rsidRDefault="00441968" w:rsidP="0062350F">
        <w:pPr>
          <w:pStyle w:val="af"/>
          <w:jc w:val="center"/>
        </w:pPr>
        <w:r>
          <w:fldChar w:fldCharType="begin"/>
        </w:r>
        <w:r>
          <w:instrText>PAGE   \* MERGEFORMAT</w:instrText>
        </w:r>
        <w:r>
          <w:fldChar w:fldCharType="separate"/>
        </w:r>
        <w:r w:rsidR="006917D4" w:rsidRPr="006917D4">
          <w:rPr>
            <w:noProof/>
            <w:lang w:val="zh-TW"/>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9679813"/>
      <w:docPartObj>
        <w:docPartGallery w:val="Page Numbers (Bottom of Page)"/>
        <w:docPartUnique/>
      </w:docPartObj>
    </w:sdtPr>
    <w:sdtEndPr/>
    <w:sdtContent>
      <w:p w:rsidR="00441968" w:rsidRDefault="00441968" w:rsidP="00FC5E8A">
        <w:pPr>
          <w:pStyle w:val="af"/>
          <w:jc w:val="center"/>
        </w:pPr>
        <w:r>
          <w:fldChar w:fldCharType="begin"/>
        </w:r>
        <w:r>
          <w:instrText>PAGE   \* MERGEFORMAT</w:instrText>
        </w:r>
        <w:r>
          <w:fldChar w:fldCharType="separate"/>
        </w:r>
        <w:r w:rsidR="006917D4" w:rsidRPr="006917D4">
          <w:rPr>
            <w:noProof/>
            <w:lang w:val="zh-TW"/>
          </w:rPr>
          <w:t>384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4FEF" w:rsidRDefault="00DB4FEF" w:rsidP="002D5ACE">
      <w:r>
        <w:separator/>
      </w:r>
    </w:p>
  </w:footnote>
  <w:footnote w:type="continuationSeparator" w:id="0">
    <w:p w:rsidR="00DB4FEF" w:rsidRDefault="00DB4FEF" w:rsidP="002D5ACE">
      <w:r>
        <w:continuationSeparator/>
      </w:r>
    </w:p>
  </w:footnote>
  <w:footnote w:id="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「複合式相互依賴」是約瑟夫．奈伊（</w:t>
      </w:r>
      <w:r w:rsidRPr="00356B99">
        <w:rPr>
          <w:rFonts w:ascii="Times New Roman" w:hAnsi="Times New Roman" w:cs="Times New Roman"/>
        </w:rPr>
        <w:t>Joseph S. Nye</w:t>
      </w:r>
      <w:r w:rsidRPr="00356B99">
        <w:rPr>
          <w:rFonts w:ascii="Times New Roman" w:hAnsi="Times New Roman" w:cs="Times New Roman"/>
        </w:rPr>
        <w:t>）和羅伯特．柯漢（</w:t>
      </w:r>
      <w:r w:rsidRPr="00356B99">
        <w:rPr>
          <w:rFonts w:ascii="Times New Roman" w:hAnsi="Times New Roman" w:cs="Times New Roman"/>
        </w:rPr>
        <w:t>Robert O. Keohane</w:t>
      </w:r>
      <w:r w:rsidRPr="00356B99">
        <w:rPr>
          <w:rFonts w:ascii="Times New Roman" w:hAnsi="Times New Roman" w:cs="Times New Roman"/>
        </w:rPr>
        <w:t>）提出的概念，其中「敏感性」是指在特定政策框架中對議題做出的反應程度；「脆弱性」是指相互依賴的雙方為抵禦變化而採取的替代性選擇所需付出的相對成本。參見</w:t>
      </w:r>
      <w:r w:rsidRPr="00356B99">
        <w:rPr>
          <w:rFonts w:ascii="Times New Roman" w:hAnsi="Times New Roman" w:cs="Times New Roman"/>
        </w:rPr>
        <w:t>Robert Keohane &amp; Joseph Nye, 2001, “Power and interdependence”, New York : Longman.</w:t>
      </w:r>
    </w:p>
  </w:footnote>
  <w:footnote w:id="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中華民國行政院，</w:t>
      </w:r>
      <w:r w:rsidRPr="00356B99">
        <w:rPr>
          <w:rFonts w:ascii="Times New Roman" w:hAnsi="Times New Roman" w:cs="Times New Roman"/>
        </w:rPr>
        <w:t>2016</w:t>
      </w:r>
      <w:r w:rsidRPr="00356B99">
        <w:rPr>
          <w:rFonts w:ascii="Times New Roman" w:hAnsi="Times New Roman" w:cs="Times New Roman"/>
        </w:rPr>
        <w:t>年，〈「新南向政策推動計畫」正式啟動〉，</w:t>
      </w:r>
      <w:r w:rsidRPr="00356B99">
        <w:rPr>
          <w:rFonts w:ascii="Times New Roman" w:hAnsi="Times New Roman" w:cs="Times New Roman"/>
        </w:rPr>
        <w:t>9</w:t>
      </w:r>
      <w:r w:rsidRPr="00356B99">
        <w:rPr>
          <w:rFonts w:ascii="Times New Roman" w:hAnsi="Times New Roman" w:cs="Times New Roman"/>
        </w:rPr>
        <w:t>月</w:t>
      </w:r>
      <w:r w:rsidRPr="00356B99">
        <w:rPr>
          <w:rFonts w:ascii="Times New Roman" w:hAnsi="Times New Roman" w:cs="Times New Roman"/>
        </w:rPr>
        <w:t>5</w:t>
      </w:r>
      <w:r w:rsidRPr="00356B99">
        <w:rPr>
          <w:rFonts w:ascii="Times New Roman" w:hAnsi="Times New Roman" w:cs="Times New Roman"/>
        </w:rPr>
        <w:t>日。</w:t>
      </w:r>
      <w:hyperlink r:id="rId1" w:history="1">
        <w:r w:rsidRPr="00356B99">
          <w:rPr>
            <w:rStyle w:val="aa"/>
            <w:rFonts w:ascii="Times New Roman" w:hAnsi="Times New Roman" w:cs="Times New Roman"/>
            <w:color w:val="auto"/>
          </w:rPr>
          <w:t>http://www.ey.gov.tw/News_Content2.aspx?n=F8BAEBE9491FC830&amp;s=82400B39366A678A</w:t>
        </w:r>
      </w:hyperlink>
      <w:r w:rsidRPr="00356B99">
        <w:rPr>
          <w:rFonts w:ascii="Times New Roman" w:hAnsi="Times New Roman" w:cs="Times New Roman"/>
        </w:rPr>
        <w:t xml:space="preserve"> </w:t>
      </w:r>
    </w:p>
  </w:footnote>
  <w:footnote w:id="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經濟部工業局系統整合推動辦公室，〈成立緣起〉。</w:t>
      </w:r>
      <w:hyperlink r:id="rId2" w:history="1">
        <w:r w:rsidRPr="00356B99">
          <w:rPr>
            <w:rStyle w:val="aa"/>
            <w:rFonts w:ascii="Times New Roman" w:hAnsi="Times New Roman" w:cs="Times New Roman"/>
            <w:color w:val="auto"/>
          </w:rPr>
          <w:t>http://www.sipa.org.tw/CHT/about_us.aspx</w:t>
        </w:r>
      </w:hyperlink>
      <w:r w:rsidRPr="00356B99">
        <w:rPr>
          <w:rFonts w:ascii="Times New Roman" w:hAnsi="Times New Roman" w:cs="Times New Roman"/>
        </w:rPr>
        <w:t xml:space="preserve"> </w:t>
      </w:r>
      <w:r w:rsidRPr="00356B99">
        <w:rPr>
          <w:rFonts w:ascii="Times New Roman" w:hAnsi="Times New Roman" w:cs="Times New Roman"/>
        </w:rPr>
        <w:t>查詢日期：</w:t>
      </w:r>
      <w:r w:rsidRPr="00356B99">
        <w:rPr>
          <w:rFonts w:ascii="Times New Roman" w:hAnsi="Times New Roman" w:cs="Times New Roman"/>
        </w:rPr>
        <w:t>2016/8/5</w:t>
      </w:r>
      <w:r w:rsidRPr="00356B99">
        <w:rPr>
          <w:rFonts w:ascii="Times New Roman" w:hAnsi="Times New Roman" w:cs="Times New Roman"/>
        </w:rPr>
        <w:t>。</w:t>
      </w:r>
    </w:p>
  </w:footnote>
  <w:footnote w:id="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商發院，</w:t>
      </w:r>
      <w:r w:rsidRPr="00356B99">
        <w:rPr>
          <w:rFonts w:ascii="Times New Roman" w:hAnsi="Times New Roman" w:cs="Times New Roman"/>
        </w:rPr>
        <w:t>2016</w:t>
      </w:r>
      <w:r w:rsidRPr="00356B99">
        <w:rPr>
          <w:rFonts w:ascii="Times New Roman" w:hAnsi="Times New Roman" w:cs="Times New Roman"/>
        </w:rPr>
        <w:t>，〈跨境電商啟動　助臺商搶食東協百億商機</w:t>
      </w:r>
      <w:r w:rsidRPr="00356B99">
        <w:rPr>
          <w:rFonts w:ascii="Times New Roman" w:hAnsi="Times New Roman" w:cs="Times New Roman"/>
        </w:rPr>
        <w:t xml:space="preserve"> </w:t>
      </w:r>
      <w:r w:rsidRPr="00356B99">
        <w:rPr>
          <w:rFonts w:ascii="Times New Roman" w:hAnsi="Times New Roman" w:cs="Times New Roman"/>
        </w:rPr>
        <w:t>電商零售平臺</w:t>
      </w:r>
      <w:r w:rsidRPr="00356B99">
        <w:rPr>
          <w:rFonts w:ascii="Times New Roman" w:hAnsi="Times New Roman" w:cs="Times New Roman"/>
        </w:rPr>
        <w:t>+</w:t>
      </w:r>
      <w:r w:rsidRPr="00356B99">
        <w:rPr>
          <w:rFonts w:ascii="Times New Roman" w:hAnsi="Times New Roman" w:cs="Times New Roman"/>
        </w:rPr>
        <w:t>臺灣品牌</w:t>
      </w:r>
      <w:r w:rsidRPr="00356B99">
        <w:rPr>
          <w:rFonts w:ascii="Times New Roman" w:hAnsi="Times New Roman" w:cs="Times New Roman"/>
        </w:rPr>
        <w:t>+</w:t>
      </w:r>
      <w:r w:rsidRPr="00356B99">
        <w:rPr>
          <w:rFonts w:ascii="Times New Roman" w:hAnsi="Times New Roman" w:cs="Times New Roman"/>
        </w:rPr>
        <w:t>網路服務業者</w:t>
      </w:r>
      <w:r w:rsidRPr="00356B99">
        <w:rPr>
          <w:rFonts w:ascii="Times New Roman" w:hAnsi="Times New Roman" w:cs="Times New Roman"/>
        </w:rPr>
        <w:t xml:space="preserve"> </w:t>
      </w:r>
      <w:r w:rsidRPr="00356B99">
        <w:rPr>
          <w:rFonts w:ascii="Times New Roman" w:hAnsi="Times New Roman" w:cs="Times New Roman"/>
        </w:rPr>
        <w:t>聯合艦隊挺進東協〉，</w:t>
      </w:r>
      <w:r w:rsidRPr="00356B99">
        <w:rPr>
          <w:rFonts w:ascii="Times New Roman" w:hAnsi="Times New Roman" w:cs="Times New Roman"/>
        </w:rPr>
        <w:t>1</w:t>
      </w:r>
      <w:r w:rsidRPr="00356B99">
        <w:rPr>
          <w:rFonts w:ascii="Times New Roman" w:hAnsi="Times New Roman" w:cs="Times New Roman"/>
        </w:rPr>
        <w:t>月</w:t>
      </w:r>
      <w:r w:rsidRPr="00356B99">
        <w:rPr>
          <w:rFonts w:ascii="Times New Roman" w:hAnsi="Times New Roman" w:cs="Times New Roman"/>
        </w:rPr>
        <w:t>26</w:t>
      </w:r>
      <w:r w:rsidRPr="00356B99">
        <w:rPr>
          <w:rFonts w:ascii="Times New Roman" w:hAnsi="Times New Roman" w:cs="Times New Roman"/>
        </w:rPr>
        <w:t>日。</w:t>
      </w:r>
      <w:hyperlink r:id="rId3" w:history="1">
        <w:r w:rsidRPr="00356B99">
          <w:rPr>
            <w:rStyle w:val="aa"/>
            <w:rFonts w:ascii="Times New Roman" w:hAnsi="Times New Roman" w:cs="Times New Roman"/>
            <w:color w:val="auto"/>
          </w:rPr>
          <w:t>http://www.cdri.org.tw/content/news/news01_in.aspx?sid=118</w:t>
        </w:r>
      </w:hyperlink>
      <w:r w:rsidRPr="00356B99">
        <w:rPr>
          <w:rFonts w:ascii="Times New Roman" w:hAnsi="Times New Roman" w:cs="Times New Roman"/>
        </w:rPr>
        <w:t xml:space="preserve"> </w:t>
      </w:r>
    </w:p>
  </w:footnote>
  <w:footnote w:id="5">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質性研究泛指採用歸納法，而非經由統計或其他量化程序產生研究結果的方法。歸納法亦即從詳細精確的資料中建立相關的理論範疇，而非就先預設的推斷或假設作測試及驗證。</w:t>
      </w:r>
    </w:p>
  </w:footnote>
  <w:footnote w:id="6">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w:t>
      </w:r>
      <w:r w:rsidRPr="00356B99">
        <w:rPr>
          <w:rFonts w:ascii="Times New Roman" w:hAnsi="Times New Roman" w:cs="Times New Roman"/>
        </w:rPr>
        <w:t>1991</w:t>
      </w:r>
      <w:r w:rsidRPr="00356B99">
        <w:rPr>
          <w:rFonts w:ascii="Times New Roman" w:hAnsi="Times New Roman" w:cs="Times New Roman"/>
        </w:rPr>
        <w:t>，《「加強對東南亞及澳紐地區經貿工作綱領」專案報告》。</w:t>
      </w:r>
      <w:r w:rsidRPr="00356B99">
        <w:rPr>
          <w:rFonts w:ascii="Times New Roman" w:hAnsi="Times New Roman" w:cs="Times New Roman"/>
        </w:rPr>
        <w:t xml:space="preserve"> </w:t>
      </w:r>
      <w:hyperlink r:id="rId4" w:history="1">
        <w:r w:rsidRPr="00356B99">
          <w:rPr>
            <w:rStyle w:val="aa"/>
            <w:rFonts w:ascii="Times New Roman" w:hAnsi="Times New Roman" w:cs="Times New Roman"/>
            <w:color w:val="auto"/>
          </w:rPr>
          <w:t>http://npl.ly.gov.tw/npl/report/900425/5.pdf</w:t>
        </w:r>
      </w:hyperlink>
      <w:r w:rsidRPr="00356B99">
        <w:rPr>
          <w:rFonts w:ascii="Times New Roman" w:hAnsi="Times New Roman" w:cs="Times New Roman"/>
        </w:rPr>
        <w:t xml:space="preserve"> </w:t>
      </w:r>
    </w:p>
  </w:footnote>
  <w:footnote w:id="7">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劉孟俊，</w:t>
      </w:r>
      <w:r w:rsidRPr="00356B99">
        <w:rPr>
          <w:rFonts w:ascii="Times New Roman" w:hAnsi="Times New Roman" w:cs="Times New Roman"/>
        </w:rPr>
        <w:t>2012</w:t>
      </w:r>
      <w:r w:rsidRPr="00356B99">
        <w:rPr>
          <w:rFonts w:ascii="Times New Roman" w:hAnsi="Times New Roman" w:cs="Times New Roman"/>
        </w:rPr>
        <w:t>，〈臺灣推動南向政策之回顧與前瞻〉，徐遵慈編，《東南亞區域整合</w:t>
      </w:r>
      <w:r w:rsidRPr="00356B99">
        <w:rPr>
          <w:rFonts w:ascii="Times New Roman" w:hAnsi="Times New Roman" w:cs="Times New Roman"/>
        </w:rPr>
        <w:t>—</w:t>
      </w:r>
      <w:r w:rsidRPr="00356B99">
        <w:rPr>
          <w:rFonts w:ascii="Times New Roman" w:hAnsi="Times New Roman" w:cs="Times New Roman"/>
        </w:rPr>
        <w:t>臺灣觀點》：</w:t>
      </w:r>
      <w:r w:rsidRPr="00356B99">
        <w:rPr>
          <w:rFonts w:ascii="Times New Roman" w:hAnsi="Times New Roman" w:cs="Times New Roman"/>
        </w:rPr>
        <w:t>287-326</w:t>
      </w:r>
      <w:r w:rsidRPr="00356B99">
        <w:rPr>
          <w:rFonts w:ascii="Times New Roman" w:hAnsi="Times New Roman" w:cs="Times New Roman"/>
        </w:rPr>
        <w:t>，臺北：財團法人中華經濟研究院。</w:t>
      </w:r>
    </w:p>
  </w:footnote>
  <w:footnote w:id="8">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w:t>
      </w:r>
      <w:r w:rsidRPr="00356B99">
        <w:rPr>
          <w:rFonts w:ascii="Times New Roman" w:hAnsi="Times New Roman" w:cs="Times New Roman"/>
        </w:rPr>
        <w:t>2001</w:t>
      </w:r>
      <w:r w:rsidRPr="00356B99">
        <w:rPr>
          <w:rFonts w:ascii="Times New Roman" w:hAnsi="Times New Roman" w:cs="Times New Roman"/>
        </w:rPr>
        <w:t>，《加強對東南亞及紐澳地區經貿工作綱領》。</w:t>
      </w:r>
    </w:p>
  </w:footnote>
  <w:footnote w:id="9">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李淳，</w:t>
      </w:r>
      <w:r w:rsidRPr="00356B99">
        <w:rPr>
          <w:rFonts w:ascii="Times New Roman" w:hAnsi="Times New Roman" w:cs="Times New Roman"/>
        </w:rPr>
        <w:t>2015</w:t>
      </w:r>
      <w:r w:rsidRPr="00356B99">
        <w:rPr>
          <w:rFonts w:ascii="Times New Roman" w:hAnsi="Times New Roman" w:cs="Times New Roman"/>
        </w:rPr>
        <w:t>，〈新南向政策，關鍵在於「心」而不是「新」〉，風傳媒。</w:t>
      </w:r>
      <w:hyperlink r:id="rId5" w:history="1">
        <w:r w:rsidRPr="00356B99">
          <w:rPr>
            <w:rStyle w:val="aa"/>
            <w:rFonts w:ascii="Times New Roman" w:hAnsi="Times New Roman" w:cs="Times New Roman"/>
            <w:color w:val="auto"/>
          </w:rPr>
          <w:t>https://tw.news.yahoo.com/%E6%9D%8E%E6%B7%B3%E5%B0%88%E6%AC%84-%E6%96%B0%E5%8D%97%E5%90%91%E6%94%BF%E7%AD%96-%E9%97%9C%E9%8D%B5%E5%9C%A8%E6%96%BC-%E5%BF%83-%E8%80%8C%E4%B8%8D%E6%98%AF-%E6%96%B0-224000850.html</w:t>
        </w:r>
      </w:hyperlink>
      <w:r w:rsidRPr="00356B99">
        <w:rPr>
          <w:rFonts w:ascii="Times New Roman" w:hAnsi="Times New Roman" w:cs="Times New Roman"/>
        </w:rPr>
        <w:t xml:space="preserve"> </w:t>
      </w:r>
      <w:r w:rsidRPr="00356B99">
        <w:rPr>
          <w:rFonts w:ascii="Times New Roman" w:hAnsi="Times New Roman" w:cs="Times New Roman"/>
        </w:rPr>
        <w:t>查閱時間：</w:t>
      </w:r>
      <w:r w:rsidRPr="00356B99">
        <w:rPr>
          <w:rFonts w:ascii="Times New Roman" w:hAnsi="Times New Roman" w:cs="Times New Roman"/>
        </w:rPr>
        <w:t>2016/7/1</w:t>
      </w:r>
      <w:r w:rsidRPr="00356B99">
        <w:rPr>
          <w:rFonts w:ascii="Times New Roman" w:hAnsi="Times New Roman" w:cs="Times New Roman"/>
        </w:rPr>
        <w:t>。</w:t>
      </w:r>
    </w:p>
  </w:footnote>
  <w:footnote w:id="10">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包括中鋼、臺塑興業、寶成、統一、三陽、成霖、廣隆、味丹、豐泰、南紡等十家廠商決定對越南增加投資</w:t>
      </w:r>
      <w:r w:rsidRPr="00356B99">
        <w:rPr>
          <w:rFonts w:ascii="Times New Roman" w:hAnsi="Times New Roman" w:cs="Times New Roman"/>
        </w:rPr>
        <w:t>12.2</w:t>
      </w:r>
      <w:r w:rsidRPr="00356B99">
        <w:rPr>
          <w:rFonts w:ascii="Times New Roman" w:hAnsi="Times New Roman" w:cs="Times New Roman"/>
        </w:rPr>
        <w:t>億美元。</w:t>
      </w:r>
    </w:p>
  </w:footnote>
  <w:footnote w:id="11">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劉孟俊，前引文。</w:t>
      </w:r>
    </w:p>
  </w:footnote>
  <w:footnote w:id="12">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李淳，前引文。</w:t>
      </w:r>
    </w:p>
  </w:footnote>
  <w:footnote w:id="13">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黃奎博、周容卉，</w:t>
      </w:r>
      <w:r w:rsidRPr="00356B99">
        <w:rPr>
          <w:rFonts w:ascii="Times New Roman" w:hAnsi="Times New Roman" w:cs="Times New Roman"/>
        </w:rPr>
        <w:t>2014</w:t>
      </w:r>
      <w:r w:rsidRPr="00356B99">
        <w:rPr>
          <w:rFonts w:ascii="Times New Roman" w:hAnsi="Times New Roman" w:cs="Times New Roman"/>
        </w:rPr>
        <w:t>，〈我國「南向政策」之回顧與影響〉，《展望與探索》，</w:t>
      </w:r>
      <w:r w:rsidRPr="00356B99">
        <w:rPr>
          <w:rFonts w:ascii="Times New Roman" w:hAnsi="Times New Roman" w:cs="Times New Roman"/>
        </w:rPr>
        <w:t>12</w:t>
      </w:r>
      <w:r w:rsidRPr="00356B99">
        <w:rPr>
          <w:rFonts w:ascii="Times New Roman" w:hAnsi="Times New Roman" w:cs="Times New Roman"/>
        </w:rPr>
        <w:t>（</w:t>
      </w:r>
      <w:r w:rsidRPr="00356B99">
        <w:rPr>
          <w:rFonts w:ascii="Times New Roman" w:hAnsi="Times New Roman" w:cs="Times New Roman"/>
        </w:rPr>
        <w:t>8</w:t>
      </w:r>
      <w:r w:rsidRPr="00356B99">
        <w:rPr>
          <w:rFonts w:ascii="Times New Roman" w:hAnsi="Times New Roman" w:cs="Times New Roman"/>
        </w:rPr>
        <w:t>）：</w:t>
      </w:r>
      <w:r w:rsidRPr="00356B99">
        <w:rPr>
          <w:rFonts w:ascii="Times New Roman" w:hAnsi="Times New Roman" w:cs="Times New Roman"/>
        </w:rPr>
        <w:t>61-69</w:t>
      </w:r>
      <w:r w:rsidRPr="00356B99">
        <w:rPr>
          <w:rFonts w:ascii="Times New Roman" w:hAnsi="Times New Roman" w:cs="Times New Roman"/>
        </w:rPr>
        <w:t>。</w:t>
      </w:r>
    </w:p>
  </w:footnote>
  <w:footnote w:id="14">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蕭新煌，</w:t>
      </w:r>
      <w:r w:rsidRPr="00356B99">
        <w:rPr>
          <w:rFonts w:ascii="Times New Roman" w:hAnsi="Times New Roman" w:cs="Times New Roman"/>
        </w:rPr>
        <w:t>2016</w:t>
      </w:r>
      <w:r w:rsidRPr="00356B99">
        <w:rPr>
          <w:rFonts w:ascii="Times New Roman" w:hAnsi="Times New Roman" w:cs="Times New Roman"/>
        </w:rPr>
        <w:t>，〈新南向政策的「要」與「不要」〉，自由評論網。</w:t>
      </w:r>
      <w:hyperlink r:id="rId6" w:history="1">
        <w:r w:rsidRPr="00356B99">
          <w:rPr>
            <w:rStyle w:val="aa"/>
            <w:rFonts w:ascii="Times New Roman" w:hAnsi="Times New Roman" w:cs="Times New Roman"/>
            <w:color w:val="auto"/>
          </w:rPr>
          <w:t>http://talk.ltn.com.tw/article/paper/970713</w:t>
        </w:r>
      </w:hyperlink>
      <w:r w:rsidRPr="00356B99">
        <w:rPr>
          <w:rFonts w:ascii="Times New Roman" w:hAnsi="Times New Roman" w:cs="Times New Roman"/>
        </w:rPr>
        <w:t xml:space="preserve">  </w:t>
      </w:r>
      <w:r w:rsidRPr="00356B99">
        <w:rPr>
          <w:rFonts w:ascii="Times New Roman" w:hAnsi="Times New Roman" w:cs="Times New Roman"/>
        </w:rPr>
        <w:t>查詢時間</w:t>
      </w:r>
      <w:r w:rsidRPr="00356B99">
        <w:rPr>
          <w:rFonts w:ascii="Times New Roman" w:hAnsi="Times New Roman" w:cs="Times New Roman"/>
        </w:rPr>
        <w:t>2016/7/1</w:t>
      </w:r>
      <w:r w:rsidRPr="00356B99">
        <w:rPr>
          <w:rFonts w:ascii="Times New Roman" w:hAnsi="Times New Roman" w:cs="Times New Roman"/>
        </w:rPr>
        <w:t>。</w:t>
      </w:r>
    </w:p>
  </w:footnote>
  <w:footnote w:id="15">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顏真真，</w:t>
      </w:r>
      <w:r w:rsidRPr="00356B99">
        <w:rPr>
          <w:rFonts w:ascii="Times New Roman" w:hAnsi="Times New Roman" w:cs="Times New Roman"/>
        </w:rPr>
        <w:t>2016</w:t>
      </w:r>
      <w:r w:rsidRPr="00356B99">
        <w:rPr>
          <w:rFonts w:ascii="Times New Roman" w:hAnsi="Times New Roman" w:cs="Times New Roman"/>
        </w:rPr>
        <w:t>，〈全球景氣不佳，上市櫃公司海外獲利衰退創</w:t>
      </w:r>
      <w:r w:rsidRPr="00356B99">
        <w:rPr>
          <w:rFonts w:ascii="Times New Roman" w:hAnsi="Times New Roman" w:cs="Times New Roman"/>
        </w:rPr>
        <w:t>4</w:t>
      </w:r>
      <w:r w:rsidRPr="00356B99">
        <w:rPr>
          <w:rFonts w:ascii="Times New Roman" w:hAnsi="Times New Roman" w:cs="Times New Roman"/>
        </w:rPr>
        <w:t>年來新高〉，今日新聞，</w:t>
      </w:r>
      <w:r w:rsidRPr="00356B99">
        <w:rPr>
          <w:rFonts w:ascii="Times New Roman" w:hAnsi="Times New Roman" w:cs="Times New Roman"/>
        </w:rPr>
        <w:t>4</w:t>
      </w:r>
      <w:r w:rsidRPr="00356B99">
        <w:rPr>
          <w:rFonts w:ascii="Times New Roman" w:hAnsi="Times New Roman" w:cs="Times New Roman"/>
        </w:rPr>
        <w:t>月</w:t>
      </w:r>
      <w:r w:rsidRPr="00356B99">
        <w:rPr>
          <w:rFonts w:ascii="Times New Roman" w:hAnsi="Times New Roman" w:cs="Times New Roman"/>
        </w:rPr>
        <w:t>22</w:t>
      </w:r>
      <w:r w:rsidRPr="00356B99">
        <w:rPr>
          <w:rFonts w:ascii="Times New Roman" w:hAnsi="Times New Roman" w:cs="Times New Roman"/>
        </w:rPr>
        <w:t>日。</w:t>
      </w:r>
      <w:hyperlink r:id="rId7" w:history="1">
        <w:r w:rsidRPr="00356B99">
          <w:rPr>
            <w:rStyle w:val="aa"/>
            <w:rFonts w:ascii="Times New Roman" w:hAnsi="Times New Roman" w:cs="Times New Roman"/>
            <w:color w:val="auto"/>
          </w:rPr>
          <w:t>http://www.nownews.com/n/2016/04/22/2072763</w:t>
        </w:r>
      </w:hyperlink>
      <w:r w:rsidRPr="00356B99">
        <w:rPr>
          <w:rFonts w:ascii="Times New Roman" w:hAnsi="Times New Roman" w:cs="Times New Roman"/>
        </w:rPr>
        <w:t xml:space="preserve"> </w:t>
      </w:r>
      <w:r w:rsidRPr="00356B99">
        <w:rPr>
          <w:rFonts w:ascii="Times New Roman" w:hAnsi="Times New Roman" w:cs="Times New Roman"/>
        </w:rPr>
        <w:t>查詢日期：</w:t>
      </w:r>
      <w:r w:rsidRPr="00356B99">
        <w:rPr>
          <w:rFonts w:ascii="Times New Roman" w:hAnsi="Times New Roman" w:cs="Times New Roman"/>
        </w:rPr>
        <w:t>2016/4/23</w:t>
      </w:r>
      <w:r w:rsidRPr="00356B99">
        <w:rPr>
          <w:rFonts w:ascii="Times New Roman" w:hAnsi="Times New Roman" w:cs="Times New Roman"/>
        </w:rPr>
        <w:t>。</w:t>
      </w:r>
    </w:p>
  </w:footnote>
  <w:footnote w:id="16">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吳馥馨，</w:t>
      </w:r>
      <w:r w:rsidRPr="00356B99">
        <w:rPr>
          <w:rFonts w:ascii="Times New Roman" w:hAnsi="Times New Roman" w:cs="Times New Roman"/>
        </w:rPr>
        <w:t>2016</w:t>
      </w:r>
      <w:r w:rsidRPr="00356B99">
        <w:rPr>
          <w:rFonts w:ascii="Times New Roman" w:hAnsi="Times New Roman" w:cs="Times New Roman"/>
        </w:rPr>
        <w:t>，〈新南向政策定調</w:t>
      </w:r>
      <w:r w:rsidRPr="00356B99">
        <w:rPr>
          <w:rFonts w:ascii="Times New Roman" w:hAnsi="Times New Roman" w:cs="Times New Roman"/>
        </w:rPr>
        <w:t xml:space="preserve"> </w:t>
      </w:r>
      <w:r w:rsidRPr="00356B99">
        <w:rPr>
          <w:rFonts w:ascii="Times New Roman" w:hAnsi="Times New Roman" w:cs="Times New Roman"/>
        </w:rPr>
        <w:t>黃志芳：把東協當內需延伸〉，經濟日報，</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15</w:t>
      </w:r>
      <w:r w:rsidRPr="00356B99">
        <w:rPr>
          <w:rFonts w:ascii="Times New Roman" w:hAnsi="Times New Roman" w:cs="Times New Roman"/>
        </w:rPr>
        <w:t>日。</w:t>
      </w:r>
      <w:hyperlink r:id="rId8" w:history="1">
        <w:r w:rsidRPr="00356B99">
          <w:rPr>
            <w:rStyle w:val="aa"/>
            <w:rFonts w:ascii="Times New Roman" w:hAnsi="Times New Roman" w:cs="Times New Roman"/>
            <w:color w:val="auto"/>
          </w:rPr>
          <w:t>http://udn.com/news/story/9485/1695707-%E6%96%B0%E5%8D%97%E5%90%91%E6%94%BF%E7%AD%96%E5%AE%9A%E8%AA%BF-%E9%BB%83%E5%BF%97%E8%8A%B3%EF%BC%9A%E6%8A%8A%E6%9D%B1%E5%8D%94%E7%95%B6%E5%85%A7%E9%9C%80%E5%BB%B6%E4%BC%B8</w:t>
        </w:r>
      </w:hyperlink>
      <w:r w:rsidRPr="00356B99">
        <w:rPr>
          <w:rFonts w:ascii="Times New Roman" w:hAnsi="Times New Roman" w:cs="Times New Roman"/>
        </w:rPr>
        <w:t xml:space="preserve">  </w:t>
      </w:r>
      <w:r w:rsidRPr="00356B99">
        <w:rPr>
          <w:rFonts w:ascii="Times New Roman" w:hAnsi="Times New Roman" w:cs="Times New Roman"/>
        </w:rPr>
        <w:t>查詢日期：</w:t>
      </w:r>
      <w:r w:rsidRPr="00356B99">
        <w:rPr>
          <w:rFonts w:ascii="Times New Roman" w:hAnsi="Times New Roman" w:cs="Times New Roman"/>
        </w:rPr>
        <w:t>2016/5/16</w:t>
      </w:r>
      <w:r w:rsidRPr="00356B99">
        <w:rPr>
          <w:rFonts w:ascii="Times New Roman" w:hAnsi="Times New Roman" w:cs="Times New Roman"/>
        </w:rPr>
        <w:t>。</w:t>
      </w:r>
      <w:r w:rsidRPr="00356B99">
        <w:rPr>
          <w:rFonts w:ascii="Times New Roman" w:hAnsi="Times New Roman" w:cs="Times New Roman"/>
        </w:rPr>
        <w:t xml:space="preserve"> </w:t>
      </w:r>
    </w:p>
  </w:footnote>
  <w:footnote w:id="17">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經濟日報社論，</w:t>
      </w:r>
      <w:r w:rsidRPr="00356B99">
        <w:rPr>
          <w:rFonts w:ascii="Times New Roman" w:hAnsi="Times New Roman" w:cs="Times New Roman"/>
        </w:rPr>
        <w:t>2016</w:t>
      </w:r>
      <w:r w:rsidRPr="00356B99">
        <w:rPr>
          <w:rFonts w:ascii="Times New Roman" w:hAnsi="Times New Roman" w:cs="Times New Roman"/>
        </w:rPr>
        <w:t>，〈經濟／新南向政策</w:t>
      </w:r>
      <w:r w:rsidRPr="00356B99">
        <w:rPr>
          <w:rFonts w:ascii="Times New Roman" w:hAnsi="Times New Roman" w:cs="Times New Roman"/>
        </w:rPr>
        <w:t xml:space="preserve"> </w:t>
      </w:r>
      <w:r w:rsidRPr="00356B99">
        <w:rPr>
          <w:rFonts w:ascii="Times New Roman" w:hAnsi="Times New Roman" w:cs="Times New Roman"/>
        </w:rPr>
        <w:t>擴大格局創造雙贏〉，</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11</w:t>
      </w:r>
      <w:r w:rsidRPr="00356B99">
        <w:rPr>
          <w:rFonts w:ascii="Times New Roman" w:hAnsi="Times New Roman" w:cs="Times New Roman"/>
        </w:rPr>
        <w:t>日。</w:t>
      </w:r>
      <w:hyperlink r:id="rId9" w:history="1">
        <w:r w:rsidRPr="00356B99">
          <w:rPr>
            <w:rStyle w:val="aa"/>
            <w:rFonts w:ascii="Times New Roman" w:hAnsi="Times New Roman" w:cs="Times New Roman"/>
            <w:color w:val="auto"/>
          </w:rPr>
          <w:t>http://udn.com/news/story/7338/1686578-%E7%B6%93%E6%BF%9F%EF%BC%8F%E6%96%B0%E5%8D%97%E5%90%91%E6%94%BF%E7%AD%96-%E6%93%B4%E5%A4%A7%E6%A0%BC%E5%B1%80%E5%89%B5%E9%80%A0%E9%9B%99%E8%B4%8F</w:t>
        </w:r>
      </w:hyperlink>
      <w:r w:rsidRPr="00356B99">
        <w:rPr>
          <w:rFonts w:ascii="Times New Roman" w:hAnsi="Times New Roman" w:cs="Times New Roman"/>
        </w:rPr>
        <w:t xml:space="preserve"> </w:t>
      </w:r>
      <w:r w:rsidRPr="00356B99">
        <w:rPr>
          <w:rFonts w:ascii="Times New Roman" w:hAnsi="Times New Roman" w:cs="Times New Roman"/>
        </w:rPr>
        <w:t>查詢日期：</w:t>
      </w:r>
      <w:r w:rsidRPr="00356B99">
        <w:rPr>
          <w:rFonts w:ascii="Times New Roman" w:hAnsi="Times New Roman" w:cs="Times New Roman"/>
        </w:rPr>
        <w:t>2016/5/12</w:t>
      </w:r>
      <w:r w:rsidRPr="00356B99">
        <w:rPr>
          <w:rFonts w:ascii="Times New Roman" w:hAnsi="Times New Roman" w:cs="Times New Roman"/>
        </w:rPr>
        <w:t>。</w:t>
      </w:r>
    </w:p>
  </w:footnote>
  <w:footnote w:id="18">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根據內政部移民署統計資料，截至</w:t>
      </w:r>
      <w:r w:rsidRPr="00356B99">
        <w:rPr>
          <w:rFonts w:ascii="Times New Roman" w:hAnsi="Times New Roman" w:cs="Times New Roman"/>
        </w:rPr>
        <w:t>2015</w:t>
      </w:r>
      <w:r w:rsidRPr="00356B99">
        <w:rPr>
          <w:rFonts w:ascii="Times New Roman" w:hAnsi="Times New Roman" w:cs="Times New Roman"/>
        </w:rPr>
        <w:t>年</w:t>
      </w:r>
      <w:r w:rsidRPr="00356B99">
        <w:rPr>
          <w:rFonts w:ascii="Times New Roman" w:hAnsi="Times New Roman" w:cs="Times New Roman"/>
        </w:rPr>
        <w:t>12</w:t>
      </w:r>
      <w:r w:rsidRPr="00356B99">
        <w:rPr>
          <w:rFonts w:ascii="Times New Roman" w:hAnsi="Times New Roman" w:cs="Times New Roman"/>
        </w:rPr>
        <w:t>月為止，臺灣共有</w:t>
      </w:r>
      <w:r w:rsidRPr="00356B99">
        <w:rPr>
          <w:rFonts w:ascii="Times New Roman" w:hAnsi="Times New Roman" w:cs="Times New Roman"/>
        </w:rPr>
        <w:t>51</w:t>
      </w:r>
      <w:r w:rsidRPr="00356B99">
        <w:rPr>
          <w:rFonts w:ascii="Times New Roman" w:hAnsi="Times New Roman" w:cs="Times New Roman"/>
        </w:rPr>
        <w:t>萬</w:t>
      </w:r>
      <w:r w:rsidRPr="00356B99">
        <w:rPr>
          <w:rFonts w:ascii="Times New Roman" w:hAnsi="Times New Roman" w:cs="Times New Roman"/>
        </w:rPr>
        <w:t>250</w:t>
      </w:r>
      <w:r w:rsidRPr="00356B99">
        <w:rPr>
          <w:rFonts w:ascii="Times New Roman" w:hAnsi="Times New Roman" w:cs="Times New Roman"/>
        </w:rPr>
        <w:t>名外籍配偶，其中以中國大陸地區的配偶</w:t>
      </w:r>
      <w:r w:rsidRPr="00356B99">
        <w:rPr>
          <w:rFonts w:ascii="Times New Roman" w:hAnsi="Times New Roman" w:cs="Times New Roman"/>
        </w:rPr>
        <w:t>34</w:t>
      </w:r>
      <w:r w:rsidRPr="00356B99">
        <w:rPr>
          <w:rFonts w:ascii="Times New Roman" w:hAnsi="Times New Roman" w:cs="Times New Roman"/>
        </w:rPr>
        <w:t>萬</w:t>
      </w:r>
      <w:r w:rsidRPr="00356B99">
        <w:rPr>
          <w:rFonts w:ascii="Times New Roman" w:hAnsi="Times New Roman" w:cs="Times New Roman"/>
        </w:rPr>
        <w:t>4,348</w:t>
      </w:r>
      <w:r w:rsidRPr="00356B99">
        <w:rPr>
          <w:rFonts w:ascii="Times New Roman" w:hAnsi="Times New Roman" w:cs="Times New Roman"/>
        </w:rPr>
        <w:t>人最多。扣除語言、文化本來就相通的中國大陸籍配偶，臺灣的外籍配偶人數共有</w:t>
      </w:r>
      <w:r w:rsidRPr="00356B99">
        <w:rPr>
          <w:rFonts w:ascii="Times New Roman" w:hAnsi="Times New Roman" w:cs="Times New Roman"/>
        </w:rPr>
        <w:t>16</w:t>
      </w:r>
      <w:r w:rsidRPr="00356B99">
        <w:rPr>
          <w:rFonts w:ascii="Times New Roman" w:hAnsi="Times New Roman" w:cs="Times New Roman"/>
        </w:rPr>
        <w:t>萬</w:t>
      </w:r>
      <w:r w:rsidRPr="00356B99">
        <w:rPr>
          <w:rFonts w:ascii="Times New Roman" w:hAnsi="Times New Roman" w:cs="Times New Roman"/>
        </w:rPr>
        <w:t>5,902</w:t>
      </w:r>
      <w:r w:rsidRPr="00356B99">
        <w:rPr>
          <w:rFonts w:ascii="Times New Roman" w:hAnsi="Times New Roman" w:cs="Times New Roman"/>
        </w:rPr>
        <w:t>人，其中以越南籍最多（</w:t>
      </w:r>
      <w:r w:rsidRPr="00356B99">
        <w:rPr>
          <w:rFonts w:ascii="Times New Roman" w:hAnsi="Times New Roman" w:cs="Times New Roman"/>
        </w:rPr>
        <w:t>9</w:t>
      </w:r>
      <w:r w:rsidRPr="00356B99">
        <w:rPr>
          <w:rFonts w:ascii="Times New Roman" w:hAnsi="Times New Roman" w:cs="Times New Roman"/>
        </w:rPr>
        <w:t>萬</w:t>
      </w:r>
      <w:r w:rsidRPr="00356B99">
        <w:rPr>
          <w:rFonts w:ascii="Times New Roman" w:hAnsi="Times New Roman" w:cs="Times New Roman"/>
        </w:rPr>
        <w:t>3,441</w:t>
      </w:r>
      <w:r w:rsidRPr="00356B99">
        <w:rPr>
          <w:rFonts w:ascii="Times New Roman" w:hAnsi="Times New Roman" w:cs="Times New Roman"/>
        </w:rPr>
        <w:t>人），其次為印尼籍（</w:t>
      </w:r>
      <w:r w:rsidRPr="00356B99">
        <w:rPr>
          <w:rFonts w:ascii="Times New Roman" w:hAnsi="Times New Roman" w:cs="Times New Roman"/>
        </w:rPr>
        <w:t>2</w:t>
      </w:r>
      <w:r w:rsidRPr="00356B99">
        <w:rPr>
          <w:rFonts w:ascii="Times New Roman" w:hAnsi="Times New Roman" w:cs="Times New Roman"/>
        </w:rPr>
        <w:t>萬</w:t>
      </w:r>
      <w:r w:rsidRPr="00356B99">
        <w:rPr>
          <w:rFonts w:ascii="Times New Roman" w:hAnsi="Times New Roman" w:cs="Times New Roman"/>
        </w:rPr>
        <w:t>8,699</w:t>
      </w:r>
      <w:r w:rsidRPr="00356B99">
        <w:rPr>
          <w:rFonts w:ascii="Times New Roman" w:hAnsi="Times New Roman" w:cs="Times New Roman"/>
        </w:rPr>
        <w:t>人），再次為泰國（</w:t>
      </w:r>
      <w:r w:rsidRPr="00356B99">
        <w:rPr>
          <w:rFonts w:ascii="Times New Roman" w:hAnsi="Times New Roman" w:cs="Times New Roman"/>
        </w:rPr>
        <w:t>8,525</w:t>
      </w:r>
      <w:r w:rsidRPr="00356B99">
        <w:rPr>
          <w:rFonts w:ascii="Times New Roman" w:hAnsi="Times New Roman" w:cs="Times New Roman"/>
        </w:rPr>
        <w:t>人）和菲律賓（</w:t>
      </w:r>
      <w:r w:rsidRPr="00356B99">
        <w:rPr>
          <w:rFonts w:ascii="Times New Roman" w:hAnsi="Times New Roman" w:cs="Times New Roman"/>
        </w:rPr>
        <w:t>8,326</w:t>
      </w:r>
      <w:r w:rsidRPr="00356B99">
        <w:rPr>
          <w:rFonts w:ascii="Times New Roman" w:hAnsi="Times New Roman" w:cs="Times New Roman"/>
        </w:rPr>
        <w:t>人），柬埔寨則有</w:t>
      </w:r>
      <w:r w:rsidRPr="00356B99">
        <w:rPr>
          <w:rFonts w:ascii="Times New Roman" w:hAnsi="Times New Roman" w:cs="Times New Roman"/>
        </w:rPr>
        <w:t>4,284</w:t>
      </w:r>
      <w:r w:rsidRPr="00356B99">
        <w:rPr>
          <w:rFonts w:ascii="Times New Roman" w:hAnsi="Times New Roman" w:cs="Times New Roman"/>
        </w:rPr>
        <w:t>人。見：內政部移民署，</w:t>
      </w:r>
      <w:r w:rsidRPr="00356B99">
        <w:rPr>
          <w:rFonts w:ascii="Times New Roman" w:hAnsi="Times New Roman" w:cs="Times New Roman"/>
        </w:rPr>
        <w:t>2015</w:t>
      </w:r>
      <w:r w:rsidRPr="00356B99">
        <w:rPr>
          <w:rFonts w:ascii="Times New Roman" w:hAnsi="Times New Roman" w:cs="Times New Roman"/>
        </w:rPr>
        <w:t>，〈各縣市外裔、外籍配偶人數按國籍分與大陸（含港澳）配偶人數〉。</w:t>
      </w:r>
    </w:p>
  </w:footnote>
  <w:footnote w:id="19">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根據教育部統計，自</w:t>
      </w:r>
      <w:r w:rsidRPr="00356B99">
        <w:rPr>
          <w:rFonts w:ascii="Times New Roman" w:hAnsi="Times New Roman" w:cs="Times New Roman"/>
        </w:rPr>
        <w:t>2005</w:t>
      </w:r>
      <w:r w:rsidRPr="00356B99">
        <w:rPr>
          <w:rFonts w:ascii="Times New Roman" w:hAnsi="Times New Roman" w:cs="Times New Roman"/>
        </w:rPr>
        <w:t>至</w:t>
      </w:r>
      <w:r w:rsidRPr="00356B99">
        <w:rPr>
          <w:rFonts w:ascii="Times New Roman" w:hAnsi="Times New Roman" w:cs="Times New Roman"/>
        </w:rPr>
        <w:t>2015</w:t>
      </w:r>
      <w:r w:rsidRPr="00356B99">
        <w:rPr>
          <w:rFonts w:ascii="Times New Roman" w:hAnsi="Times New Roman" w:cs="Times New Roman"/>
        </w:rPr>
        <w:t>年間，全臺國中、小學生人數自</w:t>
      </w:r>
      <w:r w:rsidRPr="00356B99">
        <w:rPr>
          <w:rFonts w:ascii="Times New Roman" w:hAnsi="Times New Roman" w:cs="Times New Roman"/>
        </w:rPr>
        <w:t>278</w:t>
      </w:r>
      <w:r w:rsidRPr="00356B99">
        <w:rPr>
          <w:rFonts w:ascii="Times New Roman" w:hAnsi="Times New Roman" w:cs="Times New Roman"/>
        </w:rPr>
        <w:t>萬逐年遞減至</w:t>
      </w:r>
      <w:r w:rsidRPr="00356B99">
        <w:rPr>
          <w:rFonts w:ascii="Times New Roman" w:hAnsi="Times New Roman" w:cs="Times New Roman"/>
        </w:rPr>
        <w:t>196</w:t>
      </w:r>
      <w:r w:rsidRPr="00356B99">
        <w:rPr>
          <w:rFonts w:ascii="Times New Roman" w:hAnsi="Times New Roman" w:cs="Times New Roman"/>
        </w:rPr>
        <w:t>萬人。但是新移民子女學生數卻自</w:t>
      </w:r>
      <w:r w:rsidRPr="00356B99">
        <w:rPr>
          <w:rFonts w:ascii="Times New Roman" w:hAnsi="Times New Roman" w:cs="Times New Roman"/>
        </w:rPr>
        <w:t>6</w:t>
      </w:r>
      <w:r w:rsidRPr="00356B99">
        <w:rPr>
          <w:rFonts w:ascii="Times New Roman" w:hAnsi="Times New Roman" w:cs="Times New Roman"/>
        </w:rPr>
        <w:t>萬人增為</w:t>
      </w:r>
      <w:r w:rsidRPr="00356B99">
        <w:rPr>
          <w:rFonts w:ascii="Times New Roman" w:hAnsi="Times New Roman" w:cs="Times New Roman"/>
        </w:rPr>
        <w:t>20</w:t>
      </w:r>
      <w:r w:rsidRPr="00356B99">
        <w:rPr>
          <w:rFonts w:ascii="Times New Roman" w:hAnsi="Times New Roman" w:cs="Times New Roman"/>
        </w:rPr>
        <w:t>萬</w:t>
      </w:r>
      <w:r w:rsidRPr="00356B99">
        <w:rPr>
          <w:rFonts w:ascii="Times New Roman" w:hAnsi="Times New Roman" w:cs="Times New Roman"/>
        </w:rPr>
        <w:t>8,000</w:t>
      </w:r>
      <w:r w:rsidRPr="00356B99">
        <w:rPr>
          <w:rFonts w:ascii="Times New Roman" w:hAnsi="Times New Roman" w:cs="Times New Roman"/>
        </w:rPr>
        <w:t>人，所占比率自</w:t>
      </w:r>
      <w:r w:rsidRPr="00356B99">
        <w:rPr>
          <w:rFonts w:ascii="Times New Roman" w:hAnsi="Times New Roman" w:cs="Times New Roman"/>
        </w:rPr>
        <w:t>2.2</w:t>
      </w:r>
      <w:r w:rsidRPr="00356B99">
        <w:rPr>
          <w:rFonts w:ascii="Times New Roman" w:hAnsi="Times New Roman" w:cs="Times New Roman"/>
        </w:rPr>
        <w:t>％上升至</w:t>
      </w:r>
      <w:r w:rsidRPr="00356B99">
        <w:rPr>
          <w:rFonts w:ascii="Times New Roman" w:hAnsi="Times New Roman" w:cs="Times New Roman"/>
        </w:rPr>
        <w:t>10.6</w:t>
      </w:r>
      <w:r w:rsidRPr="00356B99">
        <w:rPr>
          <w:rFonts w:ascii="Times New Roman" w:hAnsi="Times New Roman" w:cs="Times New Roman"/>
        </w:rPr>
        <w:t>％。其中近</w:t>
      </w:r>
      <w:r w:rsidRPr="00356B99">
        <w:rPr>
          <w:rFonts w:ascii="Times New Roman" w:hAnsi="Times New Roman" w:cs="Times New Roman"/>
        </w:rPr>
        <w:t>9</w:t>
      </w:r>
      <w:r w:rsidRPr="00356B99">
        <w:rPr>
          <w:rFonts w:ascii="Times New Roman" w:hAnsi="Times New Roman" w:cs="Times New Roman"/>
        </w:rPr>
        <w:t>成國中、小新住民子女之父或母主要來自越南、大陸及印尼。國小</w:t>
      </w:r>
      <w:r w:rsidRPr="00356B99">
        <w:rPr>
          <w:rFonts w:ascii="Times New Roman" w:hAnsi="Times New Roman" w:cs="Times New Roman"/>
        </w:rPr>
        <w:t>13</w:t>
      </w:r>
      <w:r w:rsidRPr="00356B99">
        <w:rPr>
          <w:rFonts w:ascii="Times New Roman" w:hAnsi="Times New Roman" w:cs="Times New Roman"/>
        </w:rPr>
        <w:t>萬</w:t>
      </w:r>
      <w:r w:rsidRPr="00356B99">
        <w:rPr>
          <w:rFonts w:ascii="Times New Roman" w:hAnsi="Times New Roman" w:cs="Times New Roman"/>
        </w:rPr>
        <w:t>4369</w:t>
      </w:r>
      <w:r w:rsidRPr="00356B99">
        <w:rPr>
          <w:rFonts w:ascii="Times New Roman" w:hAnsi="Times New Roman" w:cs="Times New Roman"/>
        </w:rPr>
        <w:t>位新移民子女中，其父或母以越南籍最多，計</w:t>
      </w:r>
      <w:r w:rsidRPr="00356B99">
        <w:rPr>
          <w:rFonts w:ascii="Times New Roman" w:hAnsi="Times New Roman" w:cs="Times New Roman"/>
        </w:rPr>
        <w:t>5</w:t>
      </w:r>
      <w:r w:rsidRPr="00356B99">
        <w:rPr>
          <w:rFonts w:ascii="Times New Roman" w:hAnsi="Times New Roman" w:cs="Times New Roman"/>
        </w:rPr>
        <w:t>萬</w:t>
      </w:r>
      <w:r w:rsidRPr="00356B99">
        <w:rPr>
          <w:rFonts w:ascii="Times New Roman" w:hAnsi="Times New Roman" w:cs="Times New Roman"/>
        </w:rPr>
        <w:t>5,481</w:t>
      </w:r>
      <w:r w:rsidRPr="00356B99">
        <w:rPr>
          <w:rFonts w:ascii="Times New Roman" w:hAnsi="Times New Roman" w:cs="Times New Roman"/>
        </w:rPr>
        <w:t>人（</w:t>
      </w:r>
      <w:r w:rsidRPr="00356B99">
        <w:rPr>
          <w:rFonts w:ascii="Times New Roman" w:hAnsi="Times New Roman" w:cs="Times New Roman"/>
        </w:rPr>
        <w:t>41.3</w:t>
      </w:r>
      <w:r w:rsidRPr="00356B99">
        <w:rPr>
          <w:rFonts w:ascii="Times New Roman" w:hAnsi="Times New Roman" w:cs="Times New Roman"/>
        </w:rPr>
        <w:t>％），其次為來自大陸占</w:t>
      </w:r>
      <w:r w:rsidRPr="00356B99">
        <w:rPr>
          <w:rFonts w:ascii="Times New Roman" w:hAnsi="Times New Roman" w:cs="Times New Roman"/>
        </w:rPr>
        <w:t>39.5</w:t>
      </w:r>
      <w:r w:rsidRPr="00356B99">
        <w:rPr>
          <w:rFonts w:ascii="Times New Roman" w:hAnsi="Times New Roman" w:cs="Times New Roman"/>
        </w:rPr>
        <w:t>％，第三為印尼籍占</w:t>
      </w:r>
      <w:r w:rsidRPr="00356B99">
        <w:rPr>
          <w:rFonts w:ascii="Times New Roman" w:hAnsi="Times New Roman" w:cs="Times New Roman"/>
        </w:rPr>
        <w:t>8.8</w:t>
      </w:r>
      <w:r w:rsidRPr="00356B99">
        <w:rPr>
          <w:rFonts w:ascii="Times New Roman" w:hAnsi="Times New Roman" w:cs="Times New Roman"/>
        </w:rPr>
        <w:t>％，三者合占</w:t>
      </w:r>
      <w:r w:rsidRPr="00356B99">
        <w:rPr>
          <w:rFonts w:ascii="Times New Roman" w:hAnsi="Times New Roman" w:cs="Times New Roman"/>
        </w:rPr>
        <w:t>89.6</w:t>
      </w:r>
      <w:r w:rsidRPr="00356B99">
        <w:rPr>
          <w:rFonts w:ascii="Times New Roman" w:hAnsi="Times New Roman" w:cs="Times New Roman"/>
        </w:rPr>
        <w:t>％；國中</w:t>
      </w:r>
      <w:r w:rsidRPr="00356B99">
        <w:rPr>
          <w:rFonts w:ascii="Times New Roman" w:hAnsi="Times New Roman" w:cs="Times New Roman"/>
        </w:rPr>
        <w:t>7</w:t>
      </w:r>
      <w:r w:rsidRPr="00356B99">
        <w:rPr>
          <w:rFonts w:ascii="Times New Roman" w:hAnsi="Times New Roman" w:cs="Times New Roman"/>
        </w:rPr>
        <w:t>萬</w:t>
      </w:r>
      <w:r w:rsidRPr="00356B99">
        <w:rPr>
          <w:rFonts w:ascii="Times New Roman" w:hAnsi="Times New Roman" w:cs="Times New Roman"/>
        </w:rPr>
        <w:t>3,337</w:t>
      </w:r>
      <w:r w:rsidRPr="00356B99">
        <w:rPr>
          <w:rFonts w:ascii="Times New Roman" w:hAnsi="Times New Roman" w:cs="Times New Roman"/>
        </w:rPr>
        <w:t>位新移民子女中，其父或母以來自越南最多，計</w:t>
      </w:r>
      <w:r w:rsidRPr="00356B99">
        <w:rPr>
          <w:rFonts w:ascii="Times New Roman" w:hAnsi="Times New Roman" w:cs="Times New Roman"/>
        </w:rPr>
        <w:t xml:space="preserve">2 </w:t>
      </w:r>
      <w:r w:rsidRPr="00356B99">
        <w:rPr>
          <w:rFonts w:ascii="Times New Roman" w:hAnsi="Times New Roman" w:cs="Times New Roman"/>
        </w:rPr>
        <w:t>萬</w:t>
      </w:r>
      <w:r w:rsidRPr="00356B99">
        <w:rPr>
          <w:rFonts w:ascii="Times New Roman" w:hAnsi="Times New Roman" w:cs="Times New Roman"/>
        </w:rPr>
        <w:t>9,011</w:t>
      </w:r>
      <w:r w:rsidRPr="00356B99">
        <w:rPr>
          <w:rFonts w:ascii="Times New Roman" w:hAnsi="Times New Roman" w:cs="Times New Roman"/>
        </w:rPr>
        <w:t>人（</w:t>
      </w:r>
      <w:r w:rsidRPr="00356B99">
        <w:rPr>
          <w:rFonts w:ascii="Times New Roman" w:hAnsi="Times New Roman" w:cs="Times New Roman"/>
        </w:rPr>
        <w:t>39.6</w:t>
      </w:r>
      <w:r w:rsidRPr="00356B99">
        <w:rPr>
          <w:rFonts w:ascii="Times New Roman" w:hAnsi="Times New Roman" w:cs="Times New Roman"/>
        </w:rPr>
        <w:t>％），其次為中國大陸占</w:t>
      </w:r>
      <w:r w:rsidRPr="00356B99">
        <w:rPr>
          <w:rFonts w:ascii="Times New Roman" w:hAnsi="Times New Roman" w:cs="Times New Roman"/>
        </w:rPr>
        <w:t>36.1</w:t>
      </w:r>
      <w:r w:rsidRPr="00356B99">
        <w:rPr>
          <w:rFonts w:ascii="Times New Roman" w:hAnsi="Times New Roman" w:cs="Times New Roman"/>
        </w:rPr>
        <w:t>％，第三為印尼籍占</w:t>
      </w:r>
      <w:r w:rsidRPr="00356B99">
        <w:rPr>
          <w:rFonts w:ascii="Times New Roman" w:hAnsi="Times New Roman" w:cs="Times New Roman"/>
        </w:rPr>
        <w:t>13.9</w:t>
      </w:r>
      <w:r w:rsidRPr="00356B99">
        <w:rPr>
          <w:rFonts w:ascii="Times New Roman" w:hAnsi="Times New Roman" w:cs="Times New Roman"/>
        </w:rPr>
        <w:t>％，三者合占</w:t>
      </w:r>
      <w:r w:rsidRPr="00356B99">
        <w:rPr>
          <w:rFonts w:ascii="Times New Roman" w:hAnsi="Times New Roman" w:cs="Times New Roman"/>
        </w:rPr>
        <w:t>89.6</w:t>
      </w:r>
      <w:r w:rsidRPr="00356B99">
        <w:rPr>
          <w:rFonts w:ascii="Times New Roman" w:hAnsi="Times New Roman" w:cs="Times New Roman"/>
        </w:rPr>
        <w:t>％。見：教育部，</w:t>
      </w:r>
      <w:r w:rsidRPr="00356B99">
        <w:rPr>
          <w:rFonts w:ascii="Times New Roman" w:hAnsi="Times New Roman" w:cs="Times New Roman"/>
        </w:rPr>
        <w:t>2016</w:t>
      </w:r>
      <w:r w:rsidRPr="00356B99">
        <w:rPr>
          <w:rFonts w:ascii="Times New Roman" w:hAnsi="Times New Roman" w:cs="Times New Roman"/>
        </w:rPr>
        <w:t>，《</w:t>
      </w:r>
      <w:r w:rsidRPr="00356B99">
        <w:rPr>
          <w:rFonts w:ascii="Times New Roman" w:hAnsi="Times New Roman" w:cs="Times New Roman"/>
        </w:rPr>
        <w:t>104</w:t>
      </w:r>
      <w:r w:rsidRPr="00356B99">
        <w:rPr>
          <w:rFonts w:ascii="Times New Roman" w:hAnsi="Times New Roman" w:cs="Times New Roman"/>
        </w:rPr>
        <w:t>學年新移民子女就讀國中小人數分布概況統計》，臺北：教育部統計處。</w:t>
      </w:r>
    </w:p>
  </w:footnote>
  <w:footnote w:id="20">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根據內政統計通報，</w:t>
      </w:r>
      <w:r w:rsidRPr="00356B99">
        <w:rPr>
          <w:rFonts w:ascii="Times New Roman" w:hAnsi="Times New Roman" w:cs="Times New Roman"/>
        </w:rPr>
        <w:t>2015</w:t>
      </w:r>
      <w:r w:rsidRPr="00356B99">
        <w:rPr>
          <w:rFonts w:ascii="Times New Roman" w:hAnsi="Times New Roman" w:cs="Times New Roman"/>
        </w:rPr>
        <w:t>年</w:t>
      </w:r>
      <w:r w:rsidRPr="00356B99">
        <w:rPr>
          <w:rFonts w:ascii="Times New Roman" w:hAnsi="Times New Roman" w:cs="Times New Roman"/>
        </w:rPr>
        <w:t>6</w:t>
      </w:r>
      <w:r w:rsidRPr="00356B99">
        <w:rPr>
          <w:rFonts w:ascii="Times New Roman" w:hAnsi="Times New Roman" w:cs="Times New Roman"/>
        </w:rPr>
        <w:t>月底在臺的外勞為</w:t>
      </w:r>
      <w:r w:rsidRPr="00356B99">
        <w:rPr>
          <w:rFonts w:ascii="Times New Roman" w:hAnsi="Times New Roman" w:cs="Times New Roman"/>
        </w:rPr>
        <w:t>57</w:t>
      </w:r>
      <w:r w:rsidRPr="00356B99">
        <w:rPr>
          <w:rFonts w:ascii="Times New Roman" w:hAnsi="Times New Roman" w:cs="Times New Roman"/>
        </w:rPr>
        <w:t>萬</w:t>
      </w:r>
      <w:r w:rsidRPr="00356B99">
        <w:rPr>
          <w:rFonts w:ascii="Times New Roman" w:hAnsi="Times New Roman" w:cs="Times New Roman"/>
        </w:rPr>
        <w:t>9</w:t>
      </w:r>
      <w:r w:rsidRPr="00356B99">
        <w:rPr>
          <w:rFonts w:ascii="Times New Roman" w:hAnsi="Times New Roman" w:cs="Times New Roman"/>
        </w:rPr>
        <w:t>千人。其中以印尼籍</w:t>
      </w:r>
      <w:r w:rsidRPr="00356B99">
        <w:rPr>
          <w:rFonts w:ascii="Times New Roman" w:hAnsi="Times New Roman" w:cs="Times New Roman"/>
        </w:rPr>
        <w:t>25</w:t>
      </w:r>
      <w:r w:rsidRPr="00356B99">
        <w:rPr>
          <w:rFonts w:ascii="Times New Roman" w:hAnsi="Times New Roman" w:cs="Times New Roman"/>
        </w:rPr>
        <w:t>萬</w:t>
      </w:r>
      <w:r w:rsidRPr="00356B99">
        <w:rPr>
          <w:rFonts w:ascii="Times New Roman" w:hAnsi="Times New Roman" w:cs="Times New Roman"/>
        </w:rPr>
        <w:t>4,083</w:t>
      </w:r>
      <w:r w:rsidRPr="00356B99">
        <w:rPr>
          <w:rFonts w:ascii="Times New Roman" w:hAnsi="Times New Roman" w:cs="Times New Roman"/>
        </w:rPr>
        <w:t>人（</w:t>
      </w:r>
      <w:r w:rsidRPr="00356B99">
        <w:rPr>
          <w:rFonts w:ascii="Times New Roman" w:hAnsi="Times New Roman" w:cs="Times New Roman"/>
        </w:rPr>
        <w:t>32.8</w:t>
      </w:r>
      <w:r w:rsidRPr="00356B99">
        <w:rPr>
          <w:rFonts w:ascii="Times New Roman" w:hAnsi="Times New Roman" w:cs="Times New Roman"/>
        </w:rPr>
        <w:t>％）最多，其次為越南籍</w:t>
      </w:r>
      <w:r w:rsidRPr="00356B99">
        <w:rPr>
          <w:rFonts w:ascii="Times New Roman" w:hAnsi="Times New Roman" w:cs="Times New Roman"/>
        </w:rPr>
        <w:t>19</w:t>
      </w:r>
      <w:r w:rsidRPr="00356B99">
        <w:rPr>
          <w:rFonts w:ascii="Times New Roman" w:hAnsi="Times New Roman" w:cs="Times New Roman"/>
        </w:rPr>
        <w:t>萬</w:t>
      </w:r>
      <w:r w:rsidRPr="00356B99">
        <w:rPr>
          <w:rFonts w:ascii="Times New Roman" w:hAnsi="Times New Roman" w:cs="Times New Roman"/>
        </w:rPr>
        <w:t>8,776</w:t>
      </w:r>
      <w:r w:rsidRPr="00356B99">
        <w:rPr>
          <w:rFonts w:ascii="Times New Roman" w:hAnsi="Times New Roman" w:cs="Times New Roman"/>
        </w:rPr>
        <w:t>人（</w:t>
      </w:r>
      <w:r w:rsidRPr="00356B99">
        <w:rPr>
          <w:rFonts w:ascii="Times New Roman" w:hAnsi="Times New Roman" w:cs="Times New Roman"/>
        </w:rPr>
        <w:t>25.6</w:t>
      </w:r>
      <w:r w:rsidRPr="00356B99">
        <w:rPr>
          <w:rFonts w:ascii="Times New Roman" w:hAnsi="Times New Roman" w:cs="Times New Roman"/>
        </w:rPr>
        <w:t>％），第三為菲律賓籍</w:t>
      </w:r>
      <w:r w:rsidRPr="00356B99">
        <w:rPr>
          <w:rFonts w:ascii="Times New Roman" w:hAnsi="Times New Roman" w:cs="Times New Roman"/>
        </w:rPr>
        <w:t>12</w:t>
      </w:r>
      <w:r w:rsidRPr="00356B99">
        <w:rPr>
          <w:rFonts w:ascii="Times New Roman" w:hAnsi="Times New Roman" w:cs="Times New Roman"/>
        </w:rPr>
        <w:t>萬</w:t>
      </w:r>
      <w:r w:rsidRPr="00356B99">
        <w:rPr>
          <w:rFonts w:ascii="Times New Roman" w:hAnsi="Times New Roman" w:cs="Times New Roman"/>
        </w:rPr>
        <w:t>9,294</w:t>
      </w:r>
      <w:r w:rsidRPr="00356B99">
        <w:rPr>
          <w:rFonts w:ascii="Times New Roman" w:hAnsi="Times New Roman" w:cs="Times New Roman"/>
        </w:rPr>
        <w:t>人（</w:t>
      </w:r>
      <w:r w:rsidRPr="00356B99">
        <w:rPr>
          <w:rFonts w:ascii="Times New Roman" w:hAnsi="Times New Roman" w:cs="Times New Roman"/>
        </w:rPr>
        <w:t>16.7</w:t>
      </w:r>
      <w:r w:rsidRPr="00356B99">
        <w:rPr>
          <w:rFonts w:ascii="Times New Roman" w:hAnsi="Times New Roman" w:cs="Times New Roman"/>
        </w:rPr>
        <w:t>％）。見：內政部統計處，</w:t>
      </w:r>
      <w:r w:rsidRPr="00356B99">
        <w:rPr>
          <w:rFonts w:ascii="Times New Roman" w:hAnsi="Times New Roman" w:cs="Times New Roman"/>
        </w:rPr>
        <w:t>2015</w:t>
      </w:r>
      <w:r w:rsidRPr="00356B99">
        <w:rPr>
          <w:rFonts w:ascii="Times New Roman" w:hAnsi="Times New Roman" w:cs="Times New Roman"/>
        </w:rPr>
        <w:t>，〈</w:t>
      </w:r>
      <w:r w:rsidRPr="00356B99">
        <w:rPr>
          <w:rFonts w:ascii="Times New Roman" w:hAnsi="Times New Roman" w:cs="Times New Roman"/>
        </w:rPr>
        <w:t>104</w:t>
      </w:r>
      <w:r w:rsidRPr="00356B99">
        <w:rPr>
          <w:rFonts w:ascii="Times New Roman" w:hAnsi="Times New Roman" w:cs="Times New Roman"/>
        </w:rPr>
        <w:t>年第</w:t>
      </w:r>
      <w:r w:rsidRPr="00356B99">
        <w:rPr>
          <w:rFonts w:ascii="Times New Roman" w:hAnsi="Times New Roman" w:cs="Times New Roman"/>
        </w:rPr>
        <w:t>32</w:t>
      </w:r>
      <w:r w:rsidRPr="00356B99">
        <w:rPr>
          <w:rFonts w:ascii="Times New Roman" w:hAnsi="Times New Roman" w:cs="Times New Roman"/>
        </w:rPr>
        <w:t>週內政統計通報</w:t>
      </w:r>
      <w:r w:rsidRPr="00356B99">
        <w:rPr>
          <w:rFonts w:ascii="Times New Roman" w:hAnsi="Times New Roman" w:cs="Times New Roman"/>
        </w:rPr>
        <w:t>(104</w:t>
      </w:r>
      <w:r w:rsidRPr="00356B99">
        <w:rPr>
          <w:rFonts w:ascii="Times New Roman" w:hAnsi="Times New Roman" w:cs="Times New Roman"/>
        </w:rPr>
        <w:t>年</w:t>
      </w:r>
      <w:r w:rsidRPr="00356B99">
        <w:rPr>
          <w:rFonts w:ascii="Times New Roman" w:hAnsi="Times New Roman" w:cs="Times New Roman"/>
        </w:rPr>
        <w:t>6</w:t>
      </w:r>
      <w:r w:rsidRPr="00356B99">
        <w:rPr>
          <w:rFonts w:ascii="Times New Roman" w:hAnsi="Times New Roman" w:cs="Times New Roman"/>
        </w:rPr>
        <w:t>月底在我國之外籍人士統計</w:t>
      </w:r>
      <w:r w:rsidRPr="00356B99">
        <w:rPr>
          <w:rFonts w:ascii="Times New Roman" w:hAnsi="Times New Roman" w:cs="Times New Roman"/>
        </w:rPr>
        <w:t>)</w:t>
      </w:r>
      <w:r w:rsidRPr="00356B99">
        <w:rPr>
          <w:rFonts w:ascii="Times New Roman" w:hAnsi="Times New Roman" w:cs="Times New Roman"/>
        </w:rPr>
        <w:t>〉。</w:t>
      </w:r>
    </w:p>
  </w:footnote>
  <w:footnote w:id="21">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李淳，前引文。</w:t>
      </w:r>
      <w:r w:rsidRPr="00356B99">
        <w:rPr>
          <w:rFonts w:ascii="Times New Roman" w:hAnsi="Times New Roman" w:cs="Times New Roman"/>
        </w:rPr>
        <w:t xml:space="preserve"> </w:t>
      </w:r>
    </w:p>
  </w:footnote>
  <w:footnote w:id="22">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工商時報，</w:t>
      </w:r>
      <w:r w:rsidRPr="00356B99">
        <w:rPr>
          <w:rFonts w:ascii="Times New Roman" w:hAnsi="Times New Roman" w:cs="Times New Roman"/>
        </w:rPr>
        <w:t>2016</w:t>
      </w:r>
      <w:r w:rsidRPr="00356B99">
        <w:rPr>
          <w:rFonts w:ascii="Times New Roman" w:hAnsi="Times New Roman" w:cs="Times New Roman"/>
        </w:rPr>
        <w:t>，〈近</w:t>
      </w:r>
      <w:r w:rsidRPr="00356B99">
        <w:rPr>
          <w:rFonts w:ascii="Times New Roman" w:hAnsi="Times New Roman" w:cs="Times New Roman"/>
        </w:rPr>
        <w:t>10</w:t>
      </w:r>
      <w:r w:rsidRPr="00356B99">
        <w:rPr>
          <w:rFonts w:ascii="Times New Roman" w:hAnsi="Times New Roman" w:cs="Times New Roman"/>
        </w:rPr>
        <w:t>年我對東協出口額</w:t>
      </w:r>
      <w:r w:rsidRPr="00356B99">
        <w:rPr>
          <w:rFonts w:ascii="Times New Roman" w:hAnsi="Times New Roman" w:cs="Times New Roman"/>
        </w:rPr>
        <w:t xml:space="preserve"> </w:t>
      </w:r>
      <w:r w:rsidRPr="00356B99">
        <w:rPr>
          <w:rFonts w:ascii="Times New Roman" w:hAnsi="Times New Roman" w:cs="Times New Roman"/>
        </w:rPr>
        <w:t>擴大</w:t>
      </w:r>
      <w:r w:rsidRPr="00356B99">
        <w:rPr>
          <w:rFonts w:ascii="Times New Roman" w:hAnsi="Times New Roman" w:cs="Times New Roman"/>
        </w:rPr>
        <w:t>9</w:t>
      </w:r>
      <w:r w:rsidRPr="00356B99">
        <w:rPr>
          <w:rFonts w:ascii="Times New Roman" w:hAnsi="Times New Roman" w:cs="Times New Roman"/>
        </w:rPr>
        <w:t>成〉，</w:t>
      </w:r>
      <w:r w:rsidRPr="00356B99">
        <w:rPr>
          <w:rFonts w:ascii="Times New Roman" w:hAnsi="Times New Roman" w:cs="Times New Roman"/>
        </w:rPr>
        <w:t>2</w:t>
      </w:r>
      <w:r w:rsidRPr="00356B99">
        <w:rPr>
          <w:rFonts w:ascii="Times New Roman" w:hAnsi="Times New Roman" w:cs="Times New Roman"/>
        </w:rPr>
        <w:t>月</w:t>
      </w:r>
      <w:r w:rsidRPr="00356B99">
        <w:rPr>
          <w:rFonts w:ascii="Times New Roman" w:hAnsi="Times New Roman" w:cs="Times New Roman"/>
        </w:rPr>
        <w:t>23</w:t>
      </w:r>
      <w:r w:rsidRPr="00356B99">
        <w:rPr>
          <w:rFonts w:ascii="Times New Roman" w:hAnsi="Times New Roman" w:cs="Times New Roman"/>
        </w:rPr>
        <w:t>日。</w:t>
      </w:r>
      <w:hyperlink r:id="rId10" w:history="1">
        <w:r w:rsidRPr="00356B99">
          <w:rPr>
            <w:rStyle w:val="aa"/>
            <w:rFonts w:ascii="Times New Roman" w:hAnsi="Times New Roman" w:cs="Times New Roman"/>
            <w:color w:val="auto"/>
          </w:rPr>
          <w:t>http://www.chinatimes.com/newspapers/20160223000050-260202</w:t>
        </w:r>
      </w:hyperlink>
      <w:r w:rsidRPr="00356B99">
        <w:rPr>
          <w:rFonts w:ascii="Times New Roman" w:hAnsi="Times New Roman" w:cs="Times New Roman"/>
        </w:rPr>
        <w:t xml:space="preserve"> </w:t>
      </w:r>
      <w:r w:rsidRPr="00356B99">
        <w:rPr>
          <w:rFonts w:ascii="Times New Roman" w:hAnsi="Times New Roman" w:cs="Times New Roman"/>
        </w:rPr>
        <w:t>查詢日期：</w:t>
      </w:r>
      <w:r w:rsidRPr="00356B99">
        <w:rPr>
          <w:rFonts w:ascii="Times New Roman" w:hAnsi="Times New Roman" w:cs="Times New Roman"/>
        </w:rPr>
        <w:t>2016/5/8</w:t>
      </w:r>
      <w:r w:rsidRPr="00356B99">
        <w:rPr>
          <w:rFonts w:ascii="Times New Roman" w:hAnsi="Times New Roman" w:cs="Times New Roman"/>
        </w:rPr>
        <w:t>。</w:t>
      </w:r>
    </w:p>
  </w:footnote>
  <w:footnote w:id="23">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工商時報，</w:t>
      </w:r>
      <w:r w:rsidRPr="00356B99">
        <w:rPr>
          <w:rFonts w:ascii="Times New Roman" w:hAnsi="Times New Roman" w:cs="Times New Roman"/>
        </w:rPr>
        <w:t>2016</w:t>
      </w:r>
      <w:r w:rsidRPr="00356B99">
        <w:rPr>
          <w:rFonts w:ascii="Times New Roman" w:hAnsi="Times New Roman" w:cs="Times New Roman"/>
        </w:rPr>
        <w:t>，〈購買力平價後</w:t>
      </w:r>
      <w:r w:rsidRPr="00356B99">
        <w:rPr>
          <w:rFonts w:ascii="Times New Roman" w:hAnsi="Times New Roman" w:cs="Times New Roman"/>
        </w:rPr>
        <w:t>... IMF:</w:t>
      </w:r>
      <w:r w:rsidRPr="00356B99">
        <w:rPr>
          <w:rFonts w:ascii="Times New Roman" w:hAnsi="Times New Roman" w:cs="Times New Roman"/>
        </w:rPr>
        <w:t>經濟規模</w:t>
      </w:r>
      <w:r w:rsidRPr="00356B99">
        <w:rPr>
          <w:rFonts w:ascii="Times New Roman" w:hAnsi="Times New Roman" w:cs="Times New Roman"/>
        </w:rPr>
        <w:t xml:space="preserve"> </w:t>
      </w:r>
      <w:r w:rsidRPr="00356B99">
        <w:rPr>
          <w:rFonts w:ascii="Times New Roman" w:hAnsi="Times New Roman" w:cs="Times New Roman"/>
        </w:rPr>
        <w:t>大陸稱王〉，</w:t>
      </w:r>
      <w:r w:rsidRPr="00356B99">
        <w:rPr>
          <w:rFonts w:ascii="Times New Roman" w:hAnsi="Times New Roman" w:cs="Times New Roman"/>
        </w:rPr>
        <w:t>4</w:t>
      </w:r>
      <w:r w:rsidRPr="00356B99">
        <w:rPr>
          <w:rFonts w:ascii="Times New Roman" w:hAnsi="Times New Roman" w:cs="Times New Roman"/>
        </w:rPr>
        <w:t>月</w:t>
      </w:r>
      <w:r w:rsidRPr="00356B99">
        <w:rPr>
          <w:rFonts w:ascii="Times New Roman" w:hAnsi="Times New Roman" w:cs="Times New Roman"/>
        </w:rPr>
        <w:t>15</w:t>
      </w:r>
      <w:r w:rsidRPr="00356B99">
        <w:rPr>
          <w:rFonts w:ascii="Times New Roman" w:hAnsi="Times New Roman" w:cs="Times New Roman"/>
        </w:rPr>
        <w:t>日，</w:t>
      </w:r>
      <w:r w:rsidRPr="00356B99">
        <w:rPr>
          <w:rFonts w:ascii="Times New Roman" w:hAnsi="Times New Roman" w:cs="Times New Roman"/>
        </w:rPr>
        <w:t>A10</w:t>
      </w:r>
      <w:r w:rsidRPr="00356B99">
        <w:rPr>
          <w:rFonts w:ascii="Times New Roman" w:hAnsi="Times New Roman" w:cs="Times New Roman"/>
        </w:rPr>
        <w:t>版。</w:t>
      </w:r>
      <w:r w:rsidRPr="00356B99">
        <w:rPr>
          <w:rFonts w:ascii="Times New Roman" w:hAnsi="Times New Roman" w:cs="Times New Roman"/>
        </w:rPr>
        <w:t xml:space="preserve"> </w:t>
      </w:r>
    </w:p>
  </w:footnote>
  <w:footnote w:id="24">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貿協全球網，</w:t>
      </w:r>
      <w:r w:rsidRPr="00356B99">
        <w:rPr>
          <w:rFonts w:ascii="Times New Roman" w:hAnsi="Times New Roman" w:cs="Times New Roman"/>
        </w:rPr>
        <w:t>2016</w:t>
      </w:r>
      <w:r w:rsidRPr="00356B99">
        <w:rPr>
          <w:rFonts w:ascii="Times New Roman" w:hAnsi="Times New Roman" w:cs="Times New Roman"/>
        </w:rPr>
        <w:t>，〈印度與我經貿關係〉。</w:t>
      </w:r>
      <w:hyperlink r:id="rId11" w:history="1">
        <w:r w:rsidRPr="00356B99">
          <w:rPr>
            <w:rStyle w:val="aa"/>
            <w:rFonts w:ascii="Times New Roman" w:hAnsi="Times New Roman" w:cs="Times New Roman"/>
            <w:color w:val="auto"/>
          </w:rPr>
          <w:t>http://www.taitraesource.com/total01.asp</w:t>
        </w:r>
      </w:hyperlink>
      <w:r w:rsidRPr="00356B99">
        <w:rPr>
          <w:rFonts w:ascii="Times New Roman" w:hAnsi="Times New Roman" w:cs="Times New Roman"/>
        </w:rPr>
        <w:t xml:space="preserve"> </w:t>
      </w:r>
    </w:p>
  </w:footnote>
  <w:footnote w:id="25">
    <w:p w:rsidR="00441968" w:rsidRPr="00356B99" w:rsidRDefault="00441968">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IMF, 2016/04.</w:t>
      </w:r>
      <w:r w:rsidRPr="00356B99">
        <w:rPr>
          <w:rFonts w:ascii="Times New Roman" w:hAnsi="Times New Roman" w:cs="Times New Roman"/>
          <w:i/>
        </w:rPr>
        <w:t xml:space="preserve"> Regional Economic Outlook- Asia and Pacific</w:t>
      </w:r>
      <w:r w:rsidRPr="00356B99">
        <w:rPr>
          <w:rFonts w:ascii="Times New Roman" w:hAnsi="Times New Roman" w:cs="Times New Roman"/>
        </w:rPr>
        <w:t>.</w:t>
      </w:r>
    </w:p>
  </w:footnote>
  <w:footnote w:id="26">
    <w:p w:rsidR="00441968" w:rsidRPr="00356B99" w:rsidRDefault="00441968" w:rsidP="00E078C6">
      <w:pPr>
        <w:widowControl/>
        <w:tabs>
          <w:tab w:val="left" w:pos="567"/>
        </w:tabs>
        <w:ind w:left="284" w:hangingChars="142" w:hanging="284"/>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The Central Intelligence Agency, “India,” The World Factbook,</w:t>
      </w:r>
      <w:r w:rsidRPr="00356B99">
        <w:rPr>
          <w:rFonts w:ascii="Times New Roman" w:hAnsi="Times New Roman" w:cs="Times New Roman"/>
          <w:sz w:val="20"/>
          <w:szCs w:val="20"/>
          <w:u w:val="single"/>
        </w:rPr>
        <w:t xml:space="preserve"> </w:t>
      </w:r>
      <w:hyperlink r:id="rId12" w:history="1">
        <w:r w:rsidRPr="00356B99">
          <w:rPr>
            <w:rStyle w:val="aa"/>
            <w:rFonts w:ascii="Times New Roman" w:hAnsi="Times New Roman" w:cs="Times New Roman"/>
            <w:color w:val="auto"/>
            <w:kern w:val="0"/>
            <w:sz w:val="20"/>
            <w:szCs w:val="20"/>
          </w:rPr>
          <w:t>https://www.cia.gov/library/publications/the-world-factbook/geos/print_in.html</w:t>
        </w:r>
      </w:hyperlink>
      <w:r w:rsidRPr="00356B99">
        <w:rPr>
          <w:rFonts w:ascii="Times New Roman" w:hAnsi="Times New Roman" w:cs="Times New Roman"/>
          <w:kern w:val="0"/>
          <w:sz w:val="20"/>
          <w:szCs w:val="20"/>
        </w:rPr>
        <w:t xml:space="preserve">  </w:t>
      </w:r>
      <w:r w:rsidRPr="00356B99">
        <w:rPr>
          <w:rFonts w:ascii="Times New Roman" w:hAnsi="Times New Roman" w:cs="Times New Roman"/>
          <w:kern w:val="0"/>
          <w:sz w:val="20"/>
          <w:szCs w:val="20"/>
        </w:rPr>
        <w:t>查詢日期：</w:t>
      </w:r>
      <w:r w:rsidRPr="00356B99">
        <w:rPr>
          <w:rFonts w:ascii="Times New Roman" w:hAnsi="Times New Roman" w:cs="Times New Roman"/>
          <w:kern w:val="0"/>
          <w:sz w:val="20"/>
          <w:szCs w:val="20"/>
        </w:rPr>
        <w:t>2016/7/28</w:t>
      </w:r>
      <w:r w:rsidRPr="00356B99">
        <w:rPr>
          <w:rFonts w:ascii="Times New Roman" w:hAnsi="Times New Roman" w:cs="Times New Roman"/>
          <w:kern w:val="0"/>
          <w:sz w:val="20"/>
          <w:szCs w:val="20"/>
        </w:rPr>
        <w:t>。</w:t>
      </w:r>
    </w:p>
  </w:footnote>
  <w:footnote w:id="27">
    <w:p w:rsidR="00441968" w:rsidRPr="00356B99" w:rsidRDefault="00441968" w:rsidP="00E078C6">
      <w:pPr>
        <w:tabs>
          <w:tab w:val="left" w:pos="567"/>
        </w:tabs>
        <w:ind w:left="284" w:hangingChars="142" w:hanging="284"/>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Asian Development Bank, 2016. </w:t>
      </w:r>
      <w:r w:rsidRPr="00356B99">
        <w:rPr>
          <w:rFonts w:ascii="Times New Roman" w:hAnsi="Times New Roman" w:cs="Times New Roman"/>
          <w:i/>
          <w:sz w:val="20"/>
          <w:szCs w:val="20"/>
        </w:rPr>
        <w:t>Asian Development Outlook 2016: Asia’s Potential Growth</w:t>
      </w:r>
      <w:r w:rsidRPr="00356B99">
        <w:rPr>
          <w:rFonts w:ascii="Times New Roman" w:hAnsi="Times New Roman" w:cs="Times New Roman"/>
          <w:sz w:val="20"/>
          <w:szCs w:val="20"/>
        </w:rPr>
        <w:t>. Manila: Asian Development: 164,168.</w:t>
      </w:r>
    </w:p>
  </w:footnote>
  <w:footnote w:id="28">
    <w:p w:rsidR="00441968" w:rsidRPr="00C03492" w:rsidRDefault="00441968" w:rsidP="009E2C56">
      <w:pPr>
        <w:pStyle w:val="a7"/>
        <w:rPr>
          <w:color w:val="FF0000"/>
        </w:rPr>
      </w:pPr>
      <w:r w:rsidRPr="00550161">
        <w:rPr>
          <w:rStyle w:val="a9"/>
          <w:color w:val="000000" w:themeColor="text1"/>
        </w:rPr>
        <w:footnoteRef/>
      </w:r>
      <w:r w:rsidRPr="00550161">
        <w:rPr>
          <w:color w:val="000000" w:themeColor="text1"/>
        </w:rPr>
        <w:t xml:space="preserve"> </w:t>
      </w:r>
      <w:r w:rsidRPr="00550161">
        <w:rPr>
          <w:rFonts w:hint="eastAsia"/>
          <w:color w:val="000000" w:themeColor="text1"/>
        </w:rPr>
        <w:t>張建一，</w:t>
      </w:r>
      <w:r w:rsidRPr="00550161">
        <w:rPr>
          <w:rFonts w:hint="eastAsia"/>
          <w:color w:val="000000" w:themeColor="text1"/>
        </w:rPr>
        <w:t>2015</w:t>
      </w:r>
      <w:r w:rsidRPr="00550161">
        <w:rPr>
          <w:rFonts w:hint="eastAsia"/>
          <w:color w:val="000000" w:themeColor="text1"/>
        </w:rPr>
        <w:t>，</w:t>
      </w:r>
      <w:r w:rsidRPr="00550161">
        <w:rPr>
          <w:rFonts w:asciiTheme="minorEastAsia" w:hAnsiTheme="minorEastAsia" w:hint="eastAsia"/>
          <w:color w:val="000000" w:themeColor="text1"/>
        </w:rPr>
        <w:t>〈</w:t>
      </w:r>
      <w:r w:rsidR="00E524DA">
        <w:rPr>
          <w:rFonts w:hint="eastAsia"/>
          <w:color w:val="000000" w:themeColor="text1"/>
        </w:rPr>
        <w:t>臺</w:t>
      </w:r>
      <w:r w:rsidRPr="00550161">
        <w:rPr>
          <w:rFonts w:hint="eastAsia"/>
          <w:color w:val="000000" w:themeColor="text1"/>
        </w:rPr>
        <w:t>中日韓在東協市場競合發展與我國的策略方向</w:t>
      </w:r>
      <w:r w:rsidRPr="00550161">
        <w:rPr>
          <w:rFonts w:asciiTheme="minorEastAsia" w:hAnsiTheme="minorEastAsia" w:hint="eastAsia"/>
          <w:color w:val="000000" w:themeColor="text1"/>
        </w:rPr>
        <w:t>〉</w:t>
      </w:r>
      <w:r w:rsidRPr="00550161">
        <w:rPr>
          <w:rFonts w:hint="eastAsia"/>
          <w:color w:val="000000" w:themeColor="text1"/>
        </w:rPr>
        <w:t>，</w:t>
      </w:r>
      <w:r w:rsidRPr="00550161">
        <w:rPr>
          <w:rFonts w:asciiTheme="minorEastAsia" w:hAnsiTheme="minorEastAsia" w:hint="eastAsia"/>
          <w:color w:val="000000" w:themeColor="text1"/>
        </w:rPr>
        <w:t>《</w:t>
      </w:r>
      <w:r w:rsidRPr="00550161">
        <w:rPr>
          <w:rFonts w:hint="eastAsia"/>
          <w:color w:val="000000" w:themeColor="text1"/>
        </w:rPr>
        <w:t>產業雜誌</w:t>
      </w:r>
      <w:r w:rsidRPr="00550161">
        <w:rPr>
          <w:rFonts w:asciiTheme="minorEastAsia" w:hAnsiTheme="minorEastAsia" w:hint="eastAsia"/>
          <w:color w:val="000000" w:themeColor="text1"/>
        </w:rPr>
        <w:t>》</w:t>
      </w:r>
      <w:r w:rsidRPr="00550161">
        <w:rPr>
          <w:rFonts w:hint="eastAsia"/>
          <w:color w:val="000000" w:themeColor="text1"/>
        </w:rPr>
        <w:t>，</w:t>
      </w:r>
      <w:r w:rsidRPr="00550161">
        <w:rPr>
          <w:color w:val="000000" w:themeColor="text1"/>
        </w:rPr>
        <w:t>第</w:t>
      </w:r>
      <w:r w:rsidRPr="00550161">
        <w:rPr>
          <w:rFonts w:hint="eastAsia"/>
          <w:color w:val="000000" w:themeColor="text1"/>
        </w:rPr>
        <w:t>542</w:t>
      </w:r>
      <w:r w:rsidRPr="00550161">
        <w:rPr>
          <w:rFonts w:hint="eastAsia"/>
          <w:color w:val="000000" w:themeColor="text1"/>
        </w:rPr>
        <w:t>期</w:t>
      </w:r>
      <w:r w:rsidRPr="00550161">
        <w:rPr>
          <w:color w:val="000000" w:themeColor="text1"/>
        </w:rPr>
        <w:t>。</w:t>
      </w:r>
      <w:hyperlink r:id="rId13" w:history="1">
        <w:r w:rsidRPr="005715E3">
          <w:rPr>
            <w:rStyle w:val="aa"/>
          </w:rPr>
          <w:t>http://www.tier.org.tw/achievements/pec3010.aspx?GUID=bbe5f513-ed61-477d-ae77-9597c8e86aa2</w:t>
        </w:r>
      </w:hyperlink>
      <w:r>
        <w:rPr>
          <w:rFonts w:hint="eastAsia"/>
          <w:color w:val="FF0000"/>
        </w:rPr>
        <w:t xml:space="preserve"> </w:t>
      </w:r>
    </w:p>
  </w:footnote>
  <w:footnote w:id="29">
    <w:p w:rsidR="00441968" w:rsidRPr="00C03492" w:rsidRDefault="00441968">
      <w:pPr>
        <w:pStyle w:val="a7"/>
        <w:rPr>
          <w:color w:val="FF0000"/>
        </w:rPr>
      </w:pPr>
      <w:r w:rsidRPr="00550161">
        <w:rPr>
          <w:rStyle w:val="a9"/>
          <w:color w:val="000000" w:themeColor="text1"/>
        </w:rPr>
        <w:footnoteRef/>
      </w:r>
      <w:r w:rsidRPr="00550161">
        <w:rPr>
          <w:color w:val="000000" w:themeColor="text1"/>
        </w:rPr>
        <w:t xml:space="preserve"> </w:t>
      </w:r>
      <w:r w:rsidRPr="00550161">
        <w:rPr>
          <w:rFonts w:hint="eastAsia"/>
          <w:color w:val="000000" w:themeColor="text1"/>
        </w:rPr>
        <w:t>張博欽</w:t>
      </w:r>
      <w:r w:rsidRPr="00550161">
        <w:rPr>
          <w:color w:val="000000" w:themeColor="text1"/>
        </w:rPr>
        <w:t>，</w:t>
      </w:r>
      <w:r w:rsidRPr="00550161">
        <w:rPr>
          <w:rFonts w:hint="eastAsia"/>
          <w:color w:val="000000" w:themeColor="text1"/>
        </w:rPr>
        <w:t>2014</w:t>
      </w:r>
      <w:r w:rsidRPr="00550161">
        <w:rPr>
          <w:rFonts w:hint="eastAsia"/>
          <w:color w:val="000000" w:themeColor="text1"/>
        </w:rPr>
        <w:t>，</w:t>
      </w:r>
      <w:r w:rsidRPr="00550161">
        <w:rPr>
          <w:rFonts w:asciiTheme="minorEastAsia" w:hAnsiTheme="minorEastAsia" w:hint="eastAsia"/>
          <w:color w:val="000000" w:themeColor="text1"/>
        </w:rPr>
        <w:t>〈論中、日、</w:t>
      </w:r>
      <w:r w:rsidR="00E524DA">
        <w:rPr>
          <w:rFonts w:asciiTheme="minorEastAsia" w:hAnsiTheme="minorEastAsia" w:hint="eastAsia"/>
          <w:color w:val="000000" w:themeColor="text1"/>
        </w:rPr>
        <w:t>臺</w:t>
      </w:r>
      <w:r w:rsidRPr="00550161">
        <w:rPr>
          <w:rFonts w:asciiTheme="minorEastAsia" w:hAnsiTheme="minorEastAsia" w:hint="eastAsia"/>
          <w:color w:val="000000" w:themeColor="text1"/>
        </w:rPr>
        <w:t>、韓之逐鹿東協〉，《APEC通訊》，第171、172期</w:t>
      </w:r>
      <w:r w:rsidRPr="00550161">
        <w:rPr>
          <w:rFonts w:asciiTheme="minorEastAsia" w:hAnsiTheme="minorEastAsia"/>
          <w:color w:val="000000" w:themeColor="text1"/>
        </w:rPr>
        <w:t>。</w:t>
      </w:r>
      <w:hyperlink r:id="rId14" w:history="1">
        <w:r w:rsidRPr="005715E3">
          <w:rPr>
            <w:rStyle w:val="aa"/>
            <w:rFonts w:asciiTheme="minorEastAsia" w:hAnsiTheme="minorEastAsia"/>
          </w:rPr>
          <w:t>http://www.ctasc.org.tw/02publication/APEC-172-p06-10.pdf</w:t>
        </w:r>
      </w:hyperlink>
      <w:r>
        <w:rPr>
          <w:rFonts w:asciiTheme="minorEastAsia" w:hAnsiTheme="minorEastAsia" w:hint="eastAsia"/>
          <w:color w:val="FF0000"/>
        </w:rPr>
        <w:t xml:space="preserve"> </w:t>
      </w:r>
    </w:p>
  </w:footnote>
  <w:footnote w:id="3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經濟部國貿局中華民國進出口貿易統計資料。歷年數據整理於本研究表</w:t>
      </w:r>
      <w:r w:rsidRPr="00356B99">
        <w:rPr>
          <w:rFonts w:ascii="Times New Roman" w:hAnsi="Times New Roman" w:cs="Times New Roman"/>
        </w:rPr>
        <w:t>2-2-1</w:t>
      </w:r>
      <w:r w:rsidRPr="00356B99">
        <w:rPr>
          <w:rFonts w:ascii="Times New Roman" w:hAnsi="Times New Roman" w:cs="Times New Roman"/>
        </w:rPr>
        <w:t>。</w:t>
      </w:r>
    </w:p>
  </w:footnote>
  <w:footnote w:id="3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具未來發展性的新興產業列為中長期輸出項目，如：智慧城市、生產力</w:t>
      </w:r>
      <w:r w:rsidRPr="00356B99">
        <w:rPr>
          <w:rFonts w:ascii="Times New Roman" w:hAnsi="Times New Roman" w:cs="Times New Roman"/>
        </w:rPr>
        <w:t>4.0</w:t>
      </w:r>
      <w:r w:rsidRPr="00356B99">
        <w:rPr>
          <w:rFonts w:ascii="Times New Roman" w:hAnsi="Times New Roman" w:cs="Times New Roman"/>
        </w:rPr>
        <w:t>、車聯網、大數據</w:t>
      </w:r>
      <w:r w:rsidRPr="00356B99">
        <w:rPr>
          <w:rFonts w:ascii="Times New Roman" w:hAnsi="Times New Roman" w:cs="Times New Roman"/>
        </w:rPr>
        <w:t>…</w:t>
      </w:r>
      <w:r w:rsidRPr="00356B99">
        <w:rPr>
          <w:rFonts w:ascii="Times New Roman" w:hAnsi="Times New Roman" w:cs="Times New Roman"/>
        </w:rPr>
        <w:t>等。</w:t>
      </w:r>
    </w:p>
  </w:footnote>
  <w:footnote w:id="3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李威勳、王景弘、李肇浩，</w:t>
      </w:r>
      <w:r w:rsidRPr="00356B99">
        <w:rPr>
          <w:rFonts w:ascii="Times New Roman" w:hAnsi="Times New Roman" w:cs="Times New Roman"/>
        </w:rPr>
        <w:t>2011</w:t>
      </w:r>
      <w:r w:rsidRPr="00356B99">
        <w:rPr>
          <w:rFonts w:ascii="Times New Roman" w:hAnsi="Times New Roman" w:cs="Times New Roman"/>
        </w:rPr>
        <w:t>年，〈高速公路電子收費系統〉，《科學發展》，</w:t>
      </w:r>
      <w:r w:rsidRPr="00356B99">
        <w:rPr>
          <w:rFonts w:ascii="Times New Roman" w:hAnsi="Times New Roman" w:cs="Times New Roman"/>
        </w:rPr>
        <w:t>2011</w:t>
      </w:r>
      <w:r w:rsidRPr="00356B99">
        <w:rPr>
          <w:rFonts w:ascii="Times New Roman" w:hAnsi="Times New Roman" w:cs="Times New Roman"/>
        </w:rPr>
        <w:t>年</w:t>
      </w:r>
      <w:r w:rsidRPr="00356B99">
        <w:rPr>
          <w:rFonts w:ascii="Times New Roman" w:hAnsi="Times New Roman" w:cs="Times New Roman"/>
        </w:rPr>
        <w:t>12</w:t>
      </w:r>
      <w:r w:rsidRPr="00356B99">
        <w:rPr>
          <w:rFonts w:ascii="Times New Roman" w:hAnsi="Times New Roman" w:cs="Times New Roman"/>
        </w:rPr>
        <w:t>月，</w:t>
      </w:r>
      <w:r w:rsidRPr="00356B99">
        <w:rPr>
          <w:rFonts w:ascii="Times New Roman" w:hAnsi="Times New Roman" w:cs="Times New Roman"/>
        </w:rPr>
        <w:t>468</w:t>
      </w:r>
      <w:r w:rsidRPr="00356B99">
        <w:rPr>
          <w:rFonts w:ascii="Times New Roman" w:hAnsi="Times New Roman" w:cs="Times New Roman"/>
        </w:rPr>
        <w:t>期。</w:t>
      </w:r>
      <w:hyperlink r:id="rId15" w:history="1">
        <w:r w:rsidRPr="00356B99">
          <w:rPr>
            <w:rStyle w:val="aa"/>
            <w:rFonts w:ascii="Times New Roman" w:hAnsi="Times New Roman" w:cs="Times New Roman"/>
            <w:color w:val="auto"/>
          </w:rPr>
          <w:t>http://ejournal.stpi.narl.org.tw/NSC_INDEX/Journal/EJ0001/10012/10012-04.pdf</w:t>
        </w:r>
      </w:hyperlink>
      <w:r w:rsidRPr="00356B99">
        <w:rPr>
          <w:rFonts w:ascii="Times New Roman" w:hAnsi="Times New Roman" w:cs="Times New Roman"/>
        </w:rPr>
        <w:t xml:space="preserve"> </w:t>
      </w:r>
    </w:p>
  </w:footnote>
  <w:footnote w:id="3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中華民國交通部臺灣區國道高速公路局，〈臺灣之光</w:t>
      </w:r>
      <w:r w:rsidRPr="00356B99">
        <w:rPr>
          <w:rFonts w:ascii="Times New Roman" w:hAnsi="Times New Roman" w:cs="Times New Roman"/>
        </w:rPr>
        <w:t xml:space="preserve"> </w:t>
      </w:r>
      <w:r w:rsidRPr="00356B99">
        <w:rPr>
          <w:rFonts w:ascii="Times New Roman" w:hAnsi="Times New Roman" w:cs="Times New Roman"/>
        </w:rPr>
        <w:t>喜上加喜</w:t>
      </w:r>
      <w:r w:rsidRPr="00356B99">
        <w:rPr>
          <w:rFonts w:ascii="Times New Roman" w:hAnsi="Times New Roman" w:cs="Times New Roman"/>
        </w:rPr>
        <w:t xml:space="preserve"> </w:t>
      </w:r>
      <w:r w:rsidRPr="00356B99">
        <w:rPr>
          <w:rFonts w:ascii="Times New Roman" w:hAnsi="Times New Roman" w:cs="Times New Roman"/>
        </w:rPr>
        <w:t>再傳捷報</w:t>
      </w:r>
      <w:r w:rsidRPr="00356B99">
        <w:rPr>
          <w:rFonts w:ascii="Times New Roman" w:hAnsi="Times New Roman" w:cs="Times New Roman"/>
        </w:rPr>
        <w:t xml:space="preserve"> </w:t>
      </w:r>
      <w:r w:rsidRPr="00356B99">
        <w:rPr>
          <w:rFonts w:ascii="Times New Roman" w:hAnsi="Times New Roman" w:cs="Times New Roman"/>
        </w:rPr>
        <w:t>臺灣計程電子收費推動成果榮獲</w:t>
      </w:r>
      <w:r w:rsidRPr="00356B99">
        <w:rPr>
          <w:rFonts w:ascii="Times New Roman" w:hAnsi="Times New Roman" w:cs="Times New Roman"/>
        </w:rPr>
        <w:t>IBTTA</w:t>
      </w:r>
      <w:r w:rsidRPr="00356B99">
        <w:rPr>
          <w:rFonts w:ascii="Times New Roman" w:hAnsi="Times New Roman" w:cs="Times New Roman"/>
        </w:rPr>
        <w:t>年度最高榮譽首獎〉，</w:t>
      </w:r>
      <w:r w:rsidRPr="00356B99">
        <w:rPr>
          <w:rFonts w:ascii="Times New Roman" w:hAnsi="Times New Roman" w:cs="Times New Roman"/>
        </w:rPr>
        <w:t>2015</w:t>
      </w:r>
      <w:r w:rsidRPr="00356B99">
        <w:rPr>
          <w:rFonts w:ascii="Times New Roman" w:hAnsi="Times New Roman" w:cs="Times New Roman"/>
        </w:rPr>
        <w:t>年</w:t>
      </w:r>
      <w:r w:rsidRPr="00356B99">
        <w:rPr>
          <w:rFonts w:ascii="Times New Roman" w:hAnsi="Times New Roman" w:cs="Times New Roman"/>
        </w:rPr>
        <w:t>8</w:t>
      </w:r>
      <w:r w:rsidRPr="00356B99">
        <w:rPr>
          <w:rFonts w:ascii="Times New Roman" w:hAnsi="Times New Roman" w:cs="Times New Roman"/>
        </w:rPr>
        <w:t>月</w:t>
      </w:r>
      <w:r w:rsidRPr="00356B99">
        <w:rPr>
          <w:rFonts w:ascii="Times New Roman" w:hAnsi="Times New Roman" w:cs="Times New Roman"/>
        </w:rPr>
        <w:t>31</w:t>
      </w:r>
      <w:r w:rsidRPr="00356B99">
        <w:rPr>
          <w:rFonts w:ascii="Times New Roman" w:hAnsi="Times New Roman" w:cs="Times New Roman"/>
        </w:rPr>
        <w:t>日。</w:t>
      </w:r>
      <w:hyperlink r:id="rId16" w:history="1">
        <w:r w:rsidRPr="00356B99">
          <w:rPr>
            <w:rStyle w:val="aa"/>
            <w:rFonts w:ascii="Times New Roman" w:hAnsi="Times New Roman" w:cs="Times New Roman"/>
            <w:color w:val="auto"/>
          </w:rPr>
          <w:t>https://www.freeway.gov.tw/Publish.aspx?cnid=193&amp;p=6396</w:t>
        </w:r>
      </w:hyperlink>
      <w:r w:rsidRPr="00356B99">
        <w:rPr>
          <w:rFonts w:ascii="Times New Roman" w:hAnsi="Times New Roman" w:cs="Times New Roman"/>
        </w:rPr>
        <w:t xml:space="preserve"> </w:t>
      </w:r>
    </w:p>
  </w:footnote>
  <w:footnote w:id="3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中華民國交通部臺灣區國道高速公路局，〈</w:t>
      </w:r>
      <w:r w:rsidRPr="00356B99">
        <w:rPr>
          <w:rFonts w:ascii="Times New Roman" w:hAnsi="Times New Roman" w:cs="Times New Roman"/>
        </w:rPr>
        <w:t>2016</w:t>
      </w:r>
      <w:r w:rsidRPr="00356B99">
        <w:rPr>
          <w:rFonts w:ascii="Times New Roman" w:hAnsi="Times New Roman" w:cs="Times New Roman"/>
        </w:rPr>
        <w:t>年運作狀況總表〉，</w:t>
      </w:r>
      <w:r w:rsidRPr="00356B99">
        <w:rPr>
          <w:rFonts w:ascii="Times New Roman" w:hAnsi="Times New Roman" w:cs="Times New Roman"/>
        </w:rPr>
        <w:t>2016</w:t>
      </w:r>
      <w:r w:rsidRPr="00356B99">
        <w:rPr>
          <w:rFonts w:ascii="Times New Roman" w:hAnsi="Times New Roman" w:cs="Times New Roman"/>
        </w:rPr>
        <w:t>年</w:t>
      </w:r>
      <w:r w:rsidRPr="00356B99">
        <w:rPr>
          <w:rFonts w:ascii="Times New Roman" w:hAnsi="Times New Roman" w:cs="Times New Roman"/>
        </w:rPr>
        <w:t>7</w:t>
      </w:r>
      <w:r w:rsidRPr="00356B99">
        <w:rPr>
          <w:rFonts w:ascii="Times New Roman" w:hAnsi="Times New Roman" w:cs="Times New Roman"/>
        </w:rPr>
        <w:t>月</w:t>
      </w:r>
      <w:r w:rsidRPr="00356B99">
        <w:rPr>
          <w:rFonts w:ascii="Times New Roman" w:hAnsi="Times New Roman" w:cs="Times New Roman"/>
        </w:rPr>
        <w:t>5</w:t>
      </w:r>
      <w:r w:rsidRPr="00356B99">
        <w:rPr>
          <w:rFonts w:ascii="Times New Roman" w:hAnsi="Times New Roman" w:cs="Times New Roman"/>
        </w:rPr>
        <w:t>日。</w:t>
      </w:r>
      <w:hyperlink r:id="rId17" w:history="1">
        <w:r w:rsidRPr="00356B99">
          <w:rPr>
            <w:rStyle w:val="aa"/>
            <w:rFonts w:ascii="Times New Roman" w:hAnsi="Times New Roman" w:cs="Times New Roman"/>
            <w:color w:val="auto"/>
          </w:rPr>
          <w:t>https://www.freeway.gov.tw/UserFiles/File/2016%E5%B9%B4%E5%90%84%E6%9C%88%E4%BB%BDETC%E9%81%8B%E4%BD%9C%E7%8B%80%E6%B3%81%E7%B8%BD%E8%A1%A81050704.pdf</w:t>
        </w:r>
      </w:hyperlink>
      <w:r w:rsidRPr="00356B99">
        <w:rPr>
          <w:rFonts w:ascii="Times New Roman" w:hAnsi="Times New Roman" w:cs="Times New Roman"/>
        </w:rPr>
        <w:t xml:space="preserve"> </w:t>
      </w:r>
    </w:p>
  </w:footnote>
  <w:footnote w:id="35">
    <w:p w:rsidR="00441968" w:rsidRPr="00356B99" w:rsidRDefault="00441968" w:rsidP="00E078C6">
      <w:pPr>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w:t>
      </w:r>
      <w:r w:rsidRPr="00356B99">
        <w:rPr>
          <w:rFonts w:ascii="Times New Roman" w:hAnsi="Times New Roman" w:cs="Times New Roman"/>
          <w:sz w:val="20"/>
          <w:szCs w:val="20"/>
        </w:rPr>
        <w:t>遠東人月刊編輯室編，</w:t>
      </w:r>
      <w:r w:rsidRPr="00356B99">
        <w:rPr>
          <w:rFonts w:ascii="Times New Roman" w:hAnsi="Times New Roman" w:cs="Times New Roman"/>
          <w:sz w:val="20"/>
          <w:szCs w:val="20"/>
        </w:rPr>
        <w:t>2015</w:t>
      </w:r>
      <w:r w:rsidRPr="00356B99">
        <w:rPr>
          <w:rFonts w:ascii="Times New Roman" w:hAnsi="Times New Roman" w:cs="Times New Roman"/>
          <w:sz w:val="20"/>
          <w:szCs w:val="20"/>
        </w:rPr>
        <w:t>年，〈從交通收費升級智慧產業　遠通電收做創新科技的實踐家〉，《遠東人月刊》，</w:t>
      </w:r>
      <w:r w:rsidRPr="00356B99">
        <w:rPr>
          <w:rFonts w:ascii="Times New Roman" w:hAnsi="Times New Roman" w:cs="Times New Roman"/>
          <w:sz w:val="20"/>
          <w:szCs w:val="20"/>
        </w:rPr>
        <w:t>2015</w:t>
      </w:r>
      <w:r w:rsidRPr="00356B99">
        <w:rPr>
          <w:rFonts w:ascii="Times New Roman" w:hAnsi="Times New Roman" w:cs="Times New Roman"/>
          <w:sz w:val="20"/>
          <w:szCs w:val="20"/>
        </w:rPr>
        <w:t>年</w:t>
      </w:r>
      <w:r w:rsidRPr="00356B99">
        <w:rPr>
          <w:rFonts w:ascii="Times New Roman" w:hAnsi="Times New Roman" w:cs="Times New Roman"/>
          <w:sz w:val="20"/>
          <w:szCs w:val="20"/>
        </w:rPr>
        <w:t>9</w:t>
      </w:r>
      <w:r w:rsidRPr="00356B99">
        <w:rPr>
          <w:rFonts w:ascii="Times New Roman" w:hAnsi="Times New Roman" w:cs="Times New Roman"/>
          <w:sz w:val="20"/>
          <w:szCs w:val="20"/>
        </w:rPr>
        <w:t>月號。</w:t>
      </w:r>
      <w:hyperlink r:id="rId18" w:history="1">
        <w:r w:rsidRPr="00356B99">
          <w:rPr>
            <w:rStyle w:val="aa"/>
            <w:rFonts w:ascii="Times New Roman" w:hAnsi="Times New Roman" w:cs="Times New Roman"/>
            <w:color w:val="auto"/>
            <w:sz w:val="20"/>
            <w:szCs w:val="20"/>
          </w:rPr>
          <w:t>http://www.fenc.com/magazine/show_faq_new.aspx?SN=8493</w:t>
        </w:r>
      </w:hyperlink>
      <w:r w:rsidRPr="00356B99">
        <w:rPr>
          <w:rFonts w:ascii="Times New Roman" w:hAnsi="Times New Roman" w:cs="Times New Roman"/>
          <w:sz w:val="20"/>
          <w:szCs w:val="20"/>
        </w:rPr>
        <w:t xml:space="preserve"> </w:t>
      </w:r>
    </w:p>
  </w:footnote>
  <w:footnote w:id="36">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經濟日報，</w:t>
      </w:r>
      <w:r w:rsidRPr="00356B99">
        <w:rPr>
          <w:rFonts w:ascii="Times New Roman" w:hAnsi="Times New Roman" w:cs="Times New Roman"/>
        </w:rPr>
        <w:t>2016</w:t>
      </w:r>
      <w:r w:rsidRPr="00356B99">
        <w:rPr>
          <w:rFonts w:ascii="Times New Roman" w:hAnsi="Times New Roman" w:cs="Times New Roman"/>
        </w:rPr>
        <w:t>，〈遠通</w:t>
      </w:r>
      <w:r w:rsidRPr="00356B99">
        <w:rPr>
          <w:rFonts w:ascii="Times New Roman" w:hAnsi="Times New Roman" w:cs="Times New Roman"/>
        </w:rPr>
        <w:t xml:space="preserve">ETC </w:t>
      </w:r>
      <w:r w:rsidRPr="00356B99">
        <w:rPr>
          <w:rFonts w:ascii="Times New Roman" w:hAnsi="Times New Roman" w:cs="Times New Roman"/>
        </w:rPr>
        <w:t>拚整廠輸出海外〉，</w:t>
      </w:r>
      <w:r w:rsidRPr="00356B99">
        <w:rPr>
          <w:rFonts w:ascii="Times New Roman" w:hAnsi="Times New Roman" w:cs="Times New Roman"/>
        </w:rPr>
        <w:t>6</w:t>
      </w:r>
      <w:r w:rsidRPr="00356B99">
        <w:rPr>
          <w:rFonts w:ascii="Times New Roman" w:hAnsi="Times New Roman" w:cs="Times New Roman"/>
        </w:rPr>
        <w:t>月</w:t>
      </w:r>
      <w:r w:rsidRPr="00356B99">
        <w:rPr>
          <w:rFonts w:ascii="Times New Roman" w:hAnsi="Times New Roman" w:cs="Times New Roman"/>
        </w:rPr>
        <w:t>12</w:t>
      </w:r>
      <w:r w:rsidRPr="00356B99">
        <w:rPr>
          <w:rFonts w:ascii="Times New Roman" w:hAnsi="Times New Roman" w:cs="Times New Roman"/>
        </w:rPr>
        <w:t>日。</w:t>
      </w:r>
      <w:hyperlink r:id="rId19" w:history="1">
        <w:r w:rsidRPr="00356B99">
          <w:rPr>
            <w:rStyle w:val="aa"/>
            <w:rFonts w:ascii="Times New Roman" w:hAnsi="Times New Roman" w:cs="Times New Roman"/>
            <w:color w:val="auto"/>
          </w:rPr>
          <w:t>http://money.udn.com/money/story/561</w:t>
        </w:r>
        <w:r w:rsidRPr="00356B99">
          <w:rPr>
            <w:rStyle w:val="aa"/>
            <w:rFonts w:ascii="Times New Roman" w:hAnsi="Times New Roman" w:cs="Times New Roman"/>
            <w:color w:val="auto"/>
          </w:rPr>
          <w:t>。</w:t>
        </w:r>
        <w:r w:rsidRPr="00356B99">
          <w:rPr>
            <w:rStyle w:val="aa"/>
            <w:rFonts w:ascii="Times New Roman" w:hAnsi="Times New Roman" w:cs="Times New Roman"/>
            <w:color w:val="auto"/>
          </w:rPr>
          <w:t>/1756088-%E9%81%A0%E9%80%9AETC-%E6%8B%9A%E6%95%B4%E5%BB%A0%E8%BC%B8%E5%87%BA%E6%B5%B7%E5%A4%96</w:t>
        </w:r>
      </w:hyperlink>
      <w:r w:rsidRPr="00356B99">
        <w:rPr>
          <w:rFonts w:ascii="Times New Roman" w:hAnsi="Times New Roman" w:cs="Times New Roman"/>
        </w:rPr>
        <w:t xml:space="preserve"> </w:t>
      </w:r>
    </w:p>
  </w:footnote>
  <w:footnote w:id="3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w:t>
      </w:r>
      <w:r w:rsidRPr="00356B99">
        <w:rPr>
          <w:rFonts w:ascii="Times New Roman" w:hAnsi="Times New Roman" w:cs="Times New Roman"/>
        </w:rPr>
        <w:t>2016</w:t>
      </w:r>
      <w:r w:rsidRPr="00356B99">
        <w:rPr>
          <w:rFonts w:ascii="Times New Roman" w:hAnsi="Times New Roman" w:cs="Times New Roman"/>
        </w:rPr>
        <w:t>年，〈打造整廠</w:t>
      </w:r>
      <w:r w:rsidRPr="00356B99">
        <w:rPr>
          <w:rFonts w:ascii="Times New Roman" w:hAnsi="Times New Roman" w:cs="Times New Roman"/>
        </w:rPr>
        <w:t>/</w:t>
      </w:r>
      <w:r w:rsidRPr="00356B99">
        <w:rPr>
          <w:rFonts w:ascii="Times New Roman" w:hAnsi="Times New Roman" w:cs="Times New Roman"/>
        </w:rPr>
        <w:t>系統整合出口旗艦計畫〉，</w:t>
      </w:r>
      <w:r w:rsidRPr="00356B99">
        <w:rPr>
          <w:rFonts w:ascii="Times New Roman" w:hAnsi="Times New Roman" w:cs="Times New Roman"/>
        </w:rPr>
        <w:t>3</w:t>
      </w:r>
      <w:r w:rsidRPr="00356B99">
        <w:rPr>
          <w:rFonts w:ascii="Times New Roman" w:hAnsi="Times New Roman" w:cs="Times New Roman"/>
        </w:rPr>
        <w:t>月</w:t>
      </w:r>
      <w:r w:rsidRPr="00356B99">
        <w:rPr>
          <w:rFonts w:ascii="Times New Roman" w:hAnsi="Times New Roman" w:cs="Times New Roman"/>
        </w:rPr>
        <w:t>14</w:t>
      </w:r>
      <w:r w:rsidRPr="00356B99">
        <w:rPr>
          <w:rFonts w:ascii="Times New Roman" w:hAnsi="Times New Roman" w:cs="Times New Roman"/>
        </w:rPr>
        <w:t>日。</w:t>
      </w:r>
    </w:p>
  </w:footnote>
  <w:footnote w:id="38">
    <w:p w:rsidR="00441968" w:rsidRPr="00356B99" w:rsidRDefault="00441968" w:rsidP="00D96F8E">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據聯合國的定義，係指「政府應用資訊通訊科技提升內外部關係」。</w:t>
      </w:r>
      <w:r w:rsidRPr="00356B99">
        <w:rPr>
          <w:rFonts w:ascii="Times New Roman" w:hAnsi="Times New Roman" w:cs="Times New Roman"/>
        </w:rPr>
        <w:t xml:space="preserve">United Nations, 2003. </w:t>
      </w:r>
      <w:r w:rsidRPr="00356B99">
        <w:rPr>
          <w:rFonts w:ascii="Times New Roman" w:hAnsi="Times New Roman" w:cs="Times New Roman"/>
          <w:i/>
        </w:rPr>
        <w:t>World Public Sector Report 2003: E-government at the Crossroads</w:t>
      </w:r>
      <w:r w:rsidRPr="00356B99">
        <w:rPr>
          <w:rFonts w:ascii="Times New Roman" w:hAnsi="Times New Roman" w:cs="Times New Roman"/>
        </w:rPr>
        <w:t xml:space="preserve">. </w:t>
      </w:r>
      <w:hyperlink r:id="rId20" w:history="1">
        <w:r w:rsidRPr="00356B99">
          <w:rPr>
            <w:rStyle w:val="aa"/>
            <w:rFonts w:ascii="Times New Roman" w:hAnsi="Times New Roman" w:cs="Times New Roman"/>
          </w:rPr>
          <w:t>https://publicadministration.un.org/publications/content/PDFs/E-Library%20Archives/World%20Public%20Sector%20Report%20series/World%20Public%20Sector%20Report.2003.pdf</w:t>
        </w:r>
      </w:hyperlink>
      <w:r w:rsidRPr="00356B99">
        <w:rPr>
          <w:rFonts w:ascii="Times New Roman" w:hAnsi="Times New Roman" w:cs="Times New Roman"/>
        </w:rPr>
        <w:t xml:space="preserve"> </w:t>
      </w:r>
      <w:r w:rsidRPr="00356B99">
        <w:rPr>
          <w:rFonts w:ascii="Times New Roman" w:hAnsi="Times New Roman" w:cs="Times New Roman"/>
        </w:rPr>
        <w:t>。世界銀行更具體的說是「使用資訊技術提昇政府與民眾、企業或其他政府機關之間的關係」。</w:t>
      </w:r>
      <w:r w:rsidRPr="00356B99">
        <w:rPr>
          <w:rFonts w:ascii="Times New Roman" w:hAnsi="Times New Roman" w:cs="Times New Roman"/>
        </w:rPr>
        <w:t xml:space="preserve">World Bank, 2005. </w:t>
      </w:r>
      <w:r w:rsidRPr="00356B99">
        <w:rPr>
          <w:rFonts w:ascii="Times New Roman" w:hAnsi="Times New Roman" w:cs="Times New Roman"/>
          <w:i/>
        </w:rPr>
        <w:t>A Definition of E*Government</w:t>
      </w:r>
      <w:r w:rsidRPr="00356B99">
        <w:rPr>
          <w:rFonts w:ascii="Times New Roman" w:hAnsi="Times New Roman" w:cs="Times New Roman"/>
        </w:rPr>
        <w:t xml:space="preserve">. 3/23. </w:t>
      </w:r>
      <w:hyperlink r:id="rId21" w:history="1">
        <w:r w:rsidRPr="00356B99">
          <w:rPr>
            <w:rStyle w:val="aa"/>
            <w:rFonts w:ascii="Times New Roman" w:hAnsi="Times New Roman" w:cs="Times New Roman"/>
          </w:rPr>
          <w:t>http://www.egov4dev.org/success/definitions.shtml</w:t>
        </w:r>
      </w:hyperlink>
    </w:p>
  </w:footnote>
  <w:footnote w:id="39">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崔灝東，</w:t>
      </w:r>
      <w:r w:rsidRPr="00356B99">
        <w:rPr>
          <w:rFonts w:ascii="Times New Roman" w:hAnsi="Times New Roman" w:cs="Times New Roman"/>
        </w:rPr>
        <w:t>2008</w:t>
      </w:r>
      <w:r w:rsidRPr="00356B99">
        <w:rPr>
          <w:rFonts w:ascii="Times New Roman" w:hAnsi="Times New Roman" w:cs="Times New Roman"/>
        </w:rPr>
        <w:t>年，〈從電子化政府到電子化治理</w:t>
      </w:r>
      <w:r w:rsidRPr="00356B99">
        <w:rPr>
          <w:rFonts w:ascii="Times New Roman" w:hAnsi="Times New Roman" w:cs="Times New Roman"/>
        </w:rPr>
        <w:t>-</w:t>
      </w:r>
      <w:r w:rsidRPr="00356B99">
        <w:rPr>
          <w:rFonts w:ascii="Times New Roman" w:hAnsi="Times New Roman" w:cs="Times New Roman"/>
        </w:rPr>
        <w:t>兼論資訊長的今日和未來〉，《</w:t>
      </w:r>
      <w:r w:rsidRPr="00356B99">
        <w:rPr>
          <w:rFonts w:ascii="Times New Roman" w:hAnsi="Times New Roman" w:cs="Times New Roman"/>
        </w:rPr>
        <w:t>2008</w:t>
      </w:r>
      <w:r w:rsidRPr="00356B99">
        <w:rPr>
          <w:rFonts w:ascii="Times New Roman" w:hAnsi="Times New Roman" w:cs="Times New Roman"/>
        </w:rPr>
        <w:t>知識社群與系統發展研討會論文全集》。</w:t>
      </w:r>
    </w:p>
  </w:footnote>
  <w:footnote w:id="4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黃朝盟、吳濟安，〈電子化政府的影響評估〉，發表於國立臺北大學第一屆「公共行政與公法」學術研討會（臺北：國立臺北大學主辦，</w:t>
      </w:r>
      <w:r w:rsidRPr="00356B99">
        <w:rPr>
          <w:rFonts w:ascii="Times New Roman" w:hAnsi="Times New Roman" w:cs="Times New Roman"/>
        </w:rPr>
        <w:t>2005</w:t>
      </w:r>
      <w:r w:rsidRPr="00356B99">
        <w:rPr>
          <w:rFonts w:ascii="Times New Roman" w:hAnsi="Times New Roman" w:cs="Times New Roman"/>
        </w:rPr>
        <w:t>年</w:t>
      </w:r>
      <w:r w:rsidRPr="00356B99">
        <w:rPr>
          <w:rFonts w:ascii="Times New Roman" w:hAnsi="Times New Roman" w:cs="Times New Roman"/>
        </w:rPr>
        <w:t>12</w:t>
      </w:r>
      <w:r w:rsidRPr="00356B99">
        <w:rPr>
          <w:rFonts w:ascii="Times New Roman" w:hAnsi="Times New Roman" w:cs="Times New Roman"/>
        </w:rPr>
        <w:t>月</w:t>
      </w:r>
      <w:r w:rsidRPr="00356B99">
        <w:rPr>
          <w:rFonts w:ascii="Times New Roman" w:hAnsi="Times New Roman" w:cs="Times New Roman"/>
        </w:rPr>
        <w:t>15</w:t>
      </w:r>
      <w:r w:rsidRPr="00356B99">
        <w:rPr>
          <w:rFonts w:ascii="Times New Roman" w:hAnsi="Times New Roman" w:cs="Times New Roman"/>
        </w:rPr>
        <w:t>日）。</w:t>
      </w:r>
      <w:hyperlink r:id="rId22" w:history="1">
        <w:r w:rsidRPr="00356B99">
          <w:rPr>
            <w:rStyle w:val="aa"/>
            <w:rFonts w:ascii="Times New Roman" w:hAnsi="Times New Roman" w:cs="Times New Roman"/>
            <w:color w:val="auto"/>
          </w:rPr>
          <w:t>http://www.ntpu.edu.tw/~pa/news/95news/attachment/951215/951215-05.pdf</w:t>
        </w:r>
      </w:hyperlink>
      <w:r w:rsidRPr="00356B99">
        <w:rPr>
          <w:rFonts w:ascii="Times New Roman" w:hAnsi="Times New Roman" w:cs="Times New Roman"/>
        </w:rPr>
        <w:t xml:space="preserve"> </w:t>
      </w:r>
    </w:p>
  </w:footnote>
  <w:footnote w:id="4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國家發展委員會，</w:t>
      </w:r>
      <w:r w:rsidRPr="00356B99">
        <w:rPr>
          <w:rFonts w:ascii="Times New Roman" w:hAnsi="Times New Roman" w:cs="Times New Roman"/>
        </w:rPr>
        <w:t>2016</w:t>
      </w:r>
      <w:r w:rsidRPr="00356B99">
        <w:rPr>
          <w:rFonts w:ascii="Times New Roman" w:hAnsi="Times New Roman" w:cs="Times New Roman"/>
        </w:rPr>
        <w:t>年，〈電子化政府計畫〉</w:t>
      </w:r>
      <w:r w:rsidRPr="00356B99">
        <w:rPr>
          <w:rFonts w:ascii="Times New Roman" w:hAnsi="Times New Roman" w:cs="Times New Roman"/>
        </w:rPr>
        <w:t>8</w:t>
      </w:r>
      <w:r w:rsidRPr="00356B99">
        <w:rPr>
          <w:rFonts w:ascii="Times New Roman" w:hAnsi="Times New Roman" w:cs="Times New Roman"/>
        </w:rPr>
        <w:t>月</w:t>
      </w:r>
      <w:r w:rsidRPr="00356B99">
        <w:rPr>
          <w:rFonts w:ascii="Times New Roman" w:hAnsi="Times New Roman" w:cs="Times New Roman"/>
        </w:rPr>
        <w:t>3</w:t>
      </w:r>
      <w:r w:rsidRPr="00356B99">
        <w:rPr>
          <w:rFonts w:ascii="Times New Roman" w:hAnsi="Times New Roman" w:cs="Times New Roman"/>
        </w:rPr>
        <w:t>日。</w:t>
      </w:r>
      <w:hyperlink r:id="rId23" w:history="1">
        <w:r w:rsidRPr="00356B99">
          <w:rPr>
            <w:rStyle w:val="aa"/>
            <w:rFonts w:ascii="Times New Roman" w:hAnsi="Times New Roman" w:cs="Times New Roman"/>
            <w:color w:val="auto"/>
          </w:rPr>
          <w:t>http://www.ndc.gov.tw/Content_List.aspx?n=E0C48B7F39ACB61F</w:t>
        </w:r>
      </w:hyperlink>
      <w:r w:rsidRPr="00356B99">
        <w:rPr>
          <w:rFonts w:ascii="Times New Roman" w:hAnsi="Times New Roman" w:cs="Times New Roman"/>
        </w:rPr>
        <w:t xml:space="preserve"> </w:t>
      </w:r>
    </w:p>
  </w:footnote>
  <w:footnote w:id="4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唐國泰、周宣光，</w:t>
      </w:r>
      <w:r w:rsidRPr="00356B99">
        <w:rPr>
          <w:rFonts w:ascii="Times New Roman" w:hAnsi="Times New Roman" w:cs="Times New Roman"/>
        </w:rPr>
        <w:t>2012</w:t>
      </w:r>
      <w:r w:rsidRPr="00356B99">
        <w:rPr>
          <w:rFonts w:ascii="Times New Roman" w:hAnsi="Times New Roman" w:cs="Times New Roman"/>
        </w:rPr>
        <w:t>年，〈從電子化政府評比觀察我國</w:t>
      </w:r>
      <w:r w:rsidRPr="00356B99">
        <w:rPr>
          <w:rFonts w:ascii="Times New Roman" w:hAnsi="Times New Roman" w:cs="Times New Roman"/>
        </w:rPr>
        <w:t>IT</w:t>
      </w:r>
      <w:r w:rsidRPr="00356B99">
        <w:rPr>
          <w:rFonts w:ascii="Times New Roman" w:hAnsi="Times New Roman" w:cs="Times New Roman"/>
        </w:rPr>
        <w:t>治理議題〉，國際資訊管理研討會論文，中華民國資訊管理學會。</w:t>
      </w:r>
      <w:hyperlink r:id="rId24" w:history="1">
        <w:r w:rsidRPr="00356B99">
          <w:rPr>
            <w:rStyle w:val="aa"/>
            <w:rFonts w:ascii="Times New Roman" w:hAnsi="Times New Roman" w:cs="Times New Roman"/>
            <w:color w:val="auto"/>
          </w:rPr>
          <w:t>http://oplab.im.ntu.edu.tw/csimweb/index.php/Web/ICIMPublishInquiry?currentpage=26</w:t>
        </w:r>
      </w:hyperlink>
      <w:r w:rsidRPr="00356B99">
        <w:rPr>
          <w:rFonts w:ascii="Times New Roman" w:hAnsi="Times New Roman" w:cs="Times New Roman"/>
        </w:rPr>
        <w:t xml:space="preserve"> </w:t>
      </w:r>
    </w:p>
  </w:footnote>
  <w:footnote w:id="4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w:t>
      </w:r>
      <w:r w:rsidRPr="00356B99">
        <w:rPr>
          <w:rFonts w:ascii="Times New Roman" w:hAnsi="Times New Roman" w:cs="Times New Roman"/>
        </w:rPr>
        <w:t>2016</w:t>
      </w:r>
      <w:r w:rsidRPr="00356B99">
        <w:rPr>
          <w:rFonts w:ascii="Times New Roman" w:hAnsi="Times New Roman" w:cs="Times New Roman"/>
        </w:rPr>
        <w:t>年，〈打造整廠</w:t>
      </w:r>
      <w:r w:rsidRPr="00356B99">
        <w:rPr>
          <w:rFonts w:ascii="Times New Roman" w:hAnsi="Times New Roman" w:cs="Times New Roman"/>
        </w:rPr>
        <w:t>/</w:t>
      </w:r>
      <w:r w:rsidRPr="00356B99">
        <w:rPr>
          <w:rFonts w:ascii="Times New Roman" w:hAnsi="Times New Roman" w:cs="Times New Roman"/>
        </w:rPr>
        <w:t>系統整合出口旗艦計畫〉，</w:t>
      </w:r>
      <w:r w:rsidRPr="00356B99">
        <w:rPr>
          <w:rFonts w:ascii="Times New Roman" w:hAnsi="Times New Roman" w:cs="Times New Roman"/>
        </w:rPr>
        <w:t>3</w:t>
      </w:r>
      <w:r w:rsidRPr="00356B99">
        <w:rPr>
          <w:rFonts w:ascii="Times New Roman" w:hAnsi="Times New Roman" w:cs="Times New Roman"/>
        </w:rPr>
        <w:t>月</w:t>
      </w:r>
      <w:r w:rsidRPr="00356B99">
        <w:rPr>
          <w:rFonts w:ascii="Times New Roman" w:hAnsi="Times New Roman" w:cs="Times New Roman"/>
        </w:rPr>
        <w:t>14</w:t>
      </w:r>
      <w:r w:rsidRPr="00356B99">
        <w:rPr>
          <w:rFonts w:ascii="Times New Roman" w:hAnsi="Times New Roman" w:cs="Times New Roman"/>
        </w:rPr>
        <w:t>日。</w:t>
      </w:r>
    </w:p>
  </w:footnote>
  <w:footnote w:id="4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中華民國經濟部，</w:t>
      </w:r>
      <w:r w:rsidRPr="00356B99">
        <w:rPr>
          <w:rFonts w:ascii="Times New Roman" w:hAnsi="Times New Roman" w:cs="Times New Roman"/>
        </w:rPr>
        <w:t>2015</w:t>
      </w:r>
      <w:r w:rsidRPr="00356B99">
        <w:rPr>
          <w:rFonts w:ascii="Times New Roman" w:hAnsi="Times New Roman" w:cs="Times New Roman"/>
        </w:rPr>
        <w:t>年，〈經濟部推智慧校園搶攻百億美元市場商機〉，</w:t>
      </w:r>
      <w:r w:rsidRPr="00356B99">
        <w:rPr>
          <w:rFonts w:ascii="Times New Roman" w:hAnsi="Times New Roman" w:cs="Times New Roman"/>
        </w:rPr>
        <w:t>1</w:t>
      </w:r>
      <w:r w:rsidRPr="00356B99">
        <w:rPr>
          <w:rFonts w:ascii="Times New Roman" w:hAnsi="Times New Roman" w:cs="Times New Roman"/>
        </w:rPr>
        <w:t>月</w:t>
      </w:r>
      <w:r w:rsidRPr="00356B99">
        <w:rPr>
          <w:rFonts w:ascii="Times New Roman" w:hAnsi="Times New Roman" w:cs="Times New Roman"/>
        </w:rPr>
        <w:t>20</w:t>
      </w:r>
      <w:r w:rsidRPr="00356B99">
        <w:rPr>
          <w:rFonts w:ascii="Times New Roman" w:hAnsi="Times New Roman" w:cs="Times New Roman"/>
        </w:rPr>
        <w:t>日。</w:t>
      </w:r>
      <w:hyperlink r:id="rId25" w:history="1">
        <w:r w:rsidRPr="00356B99">
          <w:rPr>
            <w:rStyle w:val="aa"/>
            <w:rFonts w:ascii="Times New Roman" w:hAnsi="Times New Roman" w:cs="Times New Roman"/>
            <w:color w:val="auto"/>
          </w:rPr>
          <w:t>https://www.moea.gov.tw/MNS/populace/news/News.aspx?kind=1&amp;menu_id=40&amp;news_id=40520</w:t>
        </w:r>
      </w:hyperlink>
      <w:r w:rsidRPr="00356B99">
        <w:rPr>
          <w:rFonts w:ascii="Times New Roman" w:hAnsi="Times New Roman" w:cs="Times New Roman"/>
        </w:rPr>
        <w:t xml:space="preserve"> </w:t>
      </w:r>
    </w:p>
  </w:footnote>
  <w:footnote w:id="45">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張婉玲、周滋靜，〈不再只有單機需求，校園智慧化需要整合能力〉，</w:t>
      </w:r>
      <w:r w:rsidRPr="00356B99">
        <w:rPr>
          <w:rFonts w:ascii="Times New Roman" w:hAnsi="Times New Roman" w:cs="Times New Roman"/>
        </w:rPr>
        <w:tab/>
        <w:t>iDS</w:t>
      </w:r>
      <w:r w:rsidRPr="00356B99">
        <w:rPr>
          <w:rFonts w:ascii="Times New Roman" w:hAnsi="Times New Roman" w:cs="Times New Roman"/>
        </w:rPr>
        <w:t>智慧安防雜誌</w:t>
      </w:r>
      <w:r w:rsidRPr="00356B99">
        <w:rPr>
          <w:rFonts w:ascii="Times New Roman" w:hAnsi="Times New Roman" w:cs="Times New Roman"/>
        </w:rPr>
        <w:t>-</w:t>
      </w:r>
      <w:r w:rsidRPr="00356B99">
        <w:rPr>
          <w:rFonts w:ascii="Times New Roman" w:hAnsi="Times New Roman" w:cs="Times New Roman"/>
        </w:rPr>
        <w:t>編輯部。</w:t>
      </w:r>
      <w:hyperlink r:id="rId26" w:history="1">
        <w:r w:rsidRPr="00356B99">
          <w:rPr>
            <w:rStyle w:val="aa"/>
            <w:rFonts w:ascii="Times New Roman" w:hAnsi="Times New Roman" w:cs="Times New Roman"/>
            <w:color w:val="auto"/>
          </w:rPr>
          <w:t>http://ids.asianmedia.com.tw/new_article.asp?ar_id=24639</w:t>
        </w:r>
      </w:hyperlink>
      <w:r w:rsidRPr="00356B99">
        <w:rPr>
          <w:rFonts w:ascii="Times New Roman" w:hAnsi="Times New Roman" w:cs="Times New Roman"/>
        </w:rPr>
        <w:t xml:space="preserve"> </w:t>
      </w:r>
      <w:r w:rsidRPr="00356B99">
        <w:rPr>
          <w:rFonts w:ascii="Times New Roman" w:hAnsi="Times New Roman" w:cs="Times New Roman"/>
        </w:rPr>
        <w:t>查詢日期：</w:t>
      </w:r>
      <w:r w:rsidRPr="00356B99">
        <w:rPr>
          <w:rFonts w:ascii="Times New Roman" w:hAnsi="Times New Roman" w:cs="Times New Roman"/>
        </w:rPr>
        <w:t>2016/8/4</w:t>
      </w:r>
    </w:p>
  </w:footnote>
  <w:footnote w:id="46">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陳淑儀，</w:t>
      </w:r>
      <w:r w:rsidRPr="00356B99">
        <w:rPr>
          <w:rFonts w:ascii="Times New Roman" w:hAnsi="Times New Roman" w:cs="Times New Roman"/>
        </w:rPr>
        <w:t>2015</w:t>
      </w:r>
      <w:r w:rsidRPr="00356B99">
        <w:rPr>
          <w:rFonts w:ascii="Times New Roman" w:hAnsi="Times New Roman" w:cs="Times New Roman"/>
        </w:rPr>
        <w:t>年，〈智慧化核心理念</w:t>
      </w:r>
      <w:r w:rsidRPr="00356B99">
        <w:rPr>
          <w:rFonts w:ascii="Times New Roman" w:hAnsi="Times New Roman" w:cs="Times New Roman"/>
        </w:rPr>
        <w:t xml:space="preserve"> </w:t>
      </w:r>
      <w:r w:rsidRPr="00356B99">
        <w:rPr>
          <w:rFonts w:ascii="Times New Roman" w:hAnsi="Times New Roman" w:cs="Times New Roman"/>
        </w:rPr>
        <w:t>從智慧校園看端倪〉，全球安防科技網，</w:t>
      </w:r>
      <w:r w:rsidRPr="00356B99">
        <w:rPr>
          <w:rFonts w:ascii="Times New Roman" w:hAnsi="Times New Roman" w:cs="Times New Roman"/>
        </w:rPr>
        <w:t>9</w:t>
      </w:r>
      <w:r w:rsidRPr="00356B99">
        <w:rPr>
          <w:rFonts w:ascii="Times New Roman" w:hAnsi="Times New Roman" w:cs="Times New Roman"/>
        </w:rPr>
        <w:t>月</w:t>
      </w:r>
      <w:r w:rsidRPr="00356B99">
        <w:rPr>
          <w:rFonts w:ascii="Times New Roman" w:hAnsi="Times New Roman" w:cs="Times New Roman"/>
        </w:rPr>
        <w:t>3</w:t>
      </w:r>
      <w:r w:rsidRPr="00356B99">
        <w:rPr>
          <w:rFonts w:ascii="Times New Roman" w:hAnsi="Times New Roman" w:cs="Times New Roman"/>
        </w:rPr>
        <w:t>日。</w:t>
      </w:r>
      <w:hyperlink r:id="rId27" w:history="1">
        <w:r w:rsidRPr="00356B99">
          <w:rPr>
            <w:rStyle w:val="aa"/>
            <w:rFonts w:ascii="Times New Roman" w:hAnsi="Times New Roman" w:cs="Times New Roman"/>
            <w:color w:val="auto"/>
          </w:rPr>
          <w:t>http://www.asmag.com.tw/article/article_detail.aspx?aid=9797</w:t>
        </w:r>
      </w:hyperlink>
      <w:r w:rsidRPr="00356B99">
        <w:rPr>
          <w:rFonts w:ascii="Times New Roman" w:hAnsi="Times New Roman" w:cs="Times New Roman"/>
        </w:rPr>
        <w:t xml:space="preserve"> </w:t>
      </w:r>
    </w:p>
  </w:footnote>
  <w:footnote w:id="4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中華民國經濟部，</w:t>
      </w:r>
      <w:r w:rsidRPr="00356B99">
        <w:rPr>
          <w:rFonts w:ascii="Times New Roman" w:hAnsi="Times New Roman" w:cs="Times New Roman"/>
        </w:rPr>
        <w:t>2015</w:t>
      </w:r>
      <w:r w:rsidRPr="00356B99">
        <w:rPr>
          <w:rFonts w:ascii="Times New Roman" w:hAnsi="Times New Roman" w:cs="Times New Roman"/>
        </w:rPr>
        <w:t>年，〈經濟部推智慧校園搶攻百億美元市場商機〉，</w:t>
      </w:r>
      <w:r w:rsidRPr="00356B99">
        <w:rPr>
          <w:rFonts w:ascii="Times New Roman" w:hAnsi="Times New Roman" w:cs="Times New Roman"/>
        </w:rPr>
        <w:t>1</w:t>
      </w:r>
      <w:r w:rsidRPr="00356B99">
        <w:rPr>
          <w:rFonts w:ascii="Times New Roman" w:hAnsi="Times New Roman" w:cs="Times New Roman"/>
        </w:rPr>
        <w:t>月</w:t>
      </w:r>
      <w:r w:rsidRPr="00356B99">
        <w:rPr>
          <w:rFonts w:ascii="Times New Roman" w:hAnsi="Times New Roman" w:cs="Times New Roman"/>
        </w:rPr>
        <w:t>20</w:t>
      </w:r>
      <w:r w:rsidRPr="00356B99">
        <w:rPr>
          <w:rFonts w:ascii="Times New Roman" w:hAnsi="Times New Roman" w:cs="Times New Roman"/>
        </w:rPr>
        <w:t>日。</w:t>
      </w:r>
      <w:hyperlink r:id="rId28" w:history="1">
        <w:r w:rsidRPr="00356B99">
          <w:rPr>
            <w:rStyle w:val="aa"/>
            <w:rFonts w:ascii="Times New Roman" w:hAnsi="Times New Roman" w:cs="Times New Roman"/>
            <w:color w:val="auto"/>
          </w:rPr>
          <w:t>https://www.moea.gov.tw/MNS/populace/news/News.aspx?kind=1&amp;menu_id=40&amp;news_id=40520</w:t>
        </w:r>
      </w:hyperlink>
    </w:p>
  </w:footnote>
  <w:footnote w:id="4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w:t>
      </w:r>
      <w:r w:rsidRPr="00356B99">
        <w:rPr>
          <w:rFonts w:ascii="Times New Roman" w:hAnsi="Times New Roman" w:cs="Times New Roman"/>
        </w:rPr>
        <w:t>2016</w:t>
      </w:r>
      <w:r w:rsidRPr="00356B99">
        <w:rPr>
          <w:rFonts w:ascii="Times New Roman" w:hAnsi="Times New Roman" w:cs="Times New Roman"/>
        </w:rPr>
        <w:t>年，〈打造整廠</w:t>
      </w:r>
      <w:r w:rsidRPr="00356B99">
        <w:rPr>
          <w:rFonts w:ascii="Times New Roman" w:hAnsi="Times New Roman" w:cs="Times New Roman"/>
        </w:rPr>
        <w:t>/</w:t>
      </w:r>
      <w:r w:rsidRPr="00356B99">
        <w:rPr>
          <w:rFonts w:ascii="Times New Roman" w:hAnsi="Times New Roman" w:cs="Times New Roman"/>
        </w:rPr>
        <w:t>系統整合出口旗艦計畫〉，</w:t>
      </w:r>
      <w:r w:rsidRPr="00356B99">
        <w:rPr>
          <w:rFonts w:ascii="Times New Roman" w:hAnsi="Times New Roman" w:cs="Times New Roman"/>
        </w:rPr>
        <w:t>3</w:t>
      </w:r>
      <w:r w:rsidRPr="00356B99">
        <w:rPr>
          <w:rFonts w:ascii="Times New Roman" w:hAnsi="Times New Roman" w:cs="Times New Roman"/>
        </w:rPr>
        <w:t>月</w:t>
      </w:r>
      <w:r w:rsidRPr="00356B99">
        <w:rPr>
          <w:rFonts w:ascii="Times New Roman" w:hAnsi="Times New Roman" w:cs="Times New Roman"/>
        </w:rPr>
        <w:t>14</w:t>
      </w:r>
      <w:r w:rsidRPr="00356B99">
        <w:rPr>
          <w:rFonts w:ascii="Times New Roman" w:hAnsi="Times New Roman" w:cs="Times New Roman"/>
        </w:rPr>
        <w:t>日。</w:t>
      </w:r>
    </w:p>
  </w:footnote>
  <w:footnote w:id="49">
    <w:p w:rsidR="00441968" w:rsidRPr="00356B99" w:rsidRDefault="00441968" w:rsidP="00E078C6">
      <w:pPr>
        <w:pStyle w:val="a7"/>
        <w:tabs>
          <w:tab w:val="left" w:pos="567"/>
        </w:tabs>
        <w:spacing w:beforeLines="50" w:before="180" w:afterLines="50" w:after="180"/>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w:t>
      </w:r>
      <w:r w:rsidRPr="00356B99">
        <w:rPr>
          <w:rFonts w:ascii="Times New Roman" w:hAnsi="Times New Roman" w:cs="Times New Roman"/>
        </w:rPr>
        <w:t>2015</w:t>
      </w:r>
      <w:r w:rsidRPr="00356B99">
        <w:rPr>
          <w:rFonts w:ascii="Times New Roman" w:hAnsi="Times New Roman" w:cs="Times New Roman"/>
        </w:rPr>
        <w:t>，〈電子商務雲端創新應用與基礎環境建置計畫〉；資策會，</w:t>
      </w:r>
      <w:r w:rsidRPr="00356B99">
        <w:rPr>
          <w:rFonts w:ascii="Times New Roman" w:hAnsi="Times New Roman" w:cs="Times New Roman"/>
        </w:rPr>
        <w:t>2015</w:t>
      </w:r>
      <w:r w:rsidRPr="00356B99">
        <w:rPr>
          <w:rFonts w:ascii="Times New Roman" w:hAnsi="Times New Roman" w:cs="Times New Roman"/>
        </w:rPr>
        <w:t>，〈臺灣電子商務金額預估〉。</w:t>
      </w:r>
    </w:p>
  </w:footnote>
  <w:footnote w:id="50">
    <w:p w:rsidR="00441968" w:rsidRPr="00356B99" w:rsidRDefault="00441968" w:rsidP="00E078C6">
      <w:pPr>
        <w:pStyle w:val="a7"/>
        <w:tabs>
          <w:tab w:val="left" w:pos="567"/>
        </w:tabs>
        <w:spacing w:beforeLines="50" w:before="180" w:afterLines="50" w:after="180"/>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新北全球商貿網，</w:t>
      </w:r>
      <w:r w:rsidRPr="00356B99">
        <w:rPr>
          <w:rFonts w:ascii="Times New Roman" w:hAnsi="Times New Roman" w:cs="Times New Roman"/>
        </w:rPr>
        <w:t>2015</w:t>
      </w:r>
      <w:r w:rsidRPr="00356B99">
        <w:rPr>
          <w:rFonts w:ascii="Times New Roman" w:hAnsi="Times New Roman" w:cs="Times New Roman"/>
        </w:rPr>
        <w:t>年，〈新北跨境電子商務</w:t>
      </w:r>
      <w:r w:rsidRPr="00356B99">
        <w:rPr>
          <w:rFonts w:ascii="Times New Roman" w:hAnsi="Times New Roman" w:cs="Times New Roman"/>
        </w:rPr>
        <w:t>B2B</w:t>
      </w:r>
      <w:r w:rsidRPr="00356B99">
        <w:rPr>
          <w:rFonts w:ascii="Times New Roman" w:hAnsi="Times New Roman" w:cs="Times New Roman"/>
        </w:rPr>
        <w:t>媒合洽談會〉，</w:t>
      </w:r>
      <w:r w:rsidRPr="00356B99">
        <w:rPr>
          <w:rFonts w:ascii="Times New Roman" w:hAnsi="Times New Roman" w:cs="Times New Roman"/>
        </w:rPr>
        <w:t>8</w:t>
      </w:r>
      <w:r w:rsidRPr="00356B99">
        <w:rPr>
          <w:rFonts w:ascii="Times New Roman" w:hAnsi="Times New Roman" w:cs="Times New Roman"/>
        </w:rPr>
        <w:t>月</w:t>
      </w:r>
      <w:r w:rsidRPr="00356B99">
        <w:rPr>
          <w:rFonts w:ascii="Times New Roman" w:hAnsi="Times New Roman" w:cs="Times New Roman"/>
        </w:rPr>
        <w:t>25</w:t>
      </w:r>
      <w:r w:rsidRPr="00356B99">
        <w:rPr>
          <w:rFonts w:ascii="Times New Roman" w:hAnsi="Times New Roman" w:cs="Times New Roman"/>
        </w:rPr>
        <w:t>日。</w:t>
      </w:r>
      <w:hyperlink r:id="rId29" w:history="1">
        <w:r w:rsidRPr="00356B99">
          <w:rPr>
            <w:rStyle w:val="aa"/>
            <w:rFonts w:ascii="Times New Roman" w:hAnsi="Times New Roman" w:cs="Times New Roman"/>
            <w:color w:val="auto"/>
          </w:rPr>
          <w:t>http://www.careernet.org.tw/n/Class-8480.html</w:t>
        </w:r>
      </w:hyperlink>
      <w:r w:rsidRPr="00356B99">
        <w:rPr>
          <w:rFonts w:ascii="Times New Roman" w:hAnsi="Times New Roman" w:cs="Times New Roman"/>
        </w:rPr>
        <w:t xml:space="preserve"> </w:t>
      </w:r>
    </w:p>
  </w:footnote>
  <w:footnote w:id="51">
    <w:p w:rsidR="00441968" w:rsidRPr="00356B99" w:rsidRDefault="00441968" w:rsidP="00E078C6">
      <w:pPr>
        <w:pStyle w:val="a7"/>
        <w:tabs>
          <w:tab w:val="left" w:pos="567"/>
        </w:tabs>
        <w:spacing w:beforeLines="50" w:before="180" w:afterLines="50" w:after="180"/>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沈培華，</w:t>
      </w:r>
      <w:r w:rsidRPr="00356B99">
        <w:rPr>
          <w:rFonts w:ascii="Times New Roman" w:hAnsi="Times New Roman" w:cs="Times New Roman"/>
        </w:rPr>
        <w:t>2016</w:t>
      </w:r>
      <w:r w:rsidRPr="00356B99">
        <w:rPr>
          <w:rFonts w:ascii="Times New Roman" w:hAnsi="Times New Roman" w:cs="Times New Roman"/>
        </w:rPr>
        <w:t>，〈《貿易》臺灣經貿網加碼電商推廣〉，</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25</w:t>
      </w:r>
      <w:r w:rsidRPr="00356B99">
        <w:rPr>
          <w:rFonts w:ascii="Times New Roman" w:hAnsi="Times New Roman" w:cs="Times New Roman"/>
        </w:rPr>
        <w:t>日，中時電子報。</w:t>
      </w:r>
      <w:hyperlink r:id="rId30" w:history="1">
        <w:r w:rsidRPr="00356B99">
          <w:rPr>
            <w:rStyle w:val="aa"/>
            <w:rFonts w:ascii="Times New Roman" w:hAnsi="Times New Roman" w:cs="Times New Roman"/>
            <w:color w:val="auto"/>
          </w:rPr>
          <w:t>http://www.chinatimes.com/realtimenews/20160525002104-260410</w:t>
        </w:r>
      </w:hyperlink>
      <w:r w:rsidRPr="00356B99">
        <w:rPr>
          <w:rFonts w:ascii="Times New Roman" w:hAnsi="Times New Roman" w:cs="Times New Roman"/>
        </w:rPr>
        <w:t xml:space="preserve">  </w:t>
      </w:r>
    </w:p>
  </w:footnote>
  <w:footnote w:id="5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商發院，</w:t>
      </w:r>
      <w:r w:rsidRPr="00356B99">
        <w:rPr>
          <w:rFonts w:ascii="Times New Roman" w:hAnsi="Times New Roman" w:cs="Times New Roman"/>
        </w:rPr>
        <w:t>2016</w:t>
      </w:r>
      <w:r w:rsidRPr="00356B99">
        <w:rPr>
          <w:rFonts w:ascii="Times New Roman" w:hAnsi="Times New Roman" w:cs="Times New Roman"/>
        </w:rPr>
        <w:t>，〈跨境電商啟動　助臺商搶食東協百億商機</w:t>
      </w:r>
      <w:r w:rsidRPr="00356B99">
        <w:rPr>
          <w:rFonts w:ascii="Times New Roman" w:hAnsi="Times New Roman" w:cs="Times New Roman"/>
        </w:rPr>
        <w:t xml:space="preserve"> </w:t>
      </w:r>
      <w:r w:rsidRPr="00356B99">
        <w:rPr>
          <w:rFonts w:ascii="Times New Roman" w:hAnsi="Times New Roman" w:cs="Times New Roman"/>
        </w:rPr>
        <w:t>電商零售平臺</w:t>
      </w:r>
      <w:r w:rsidRPr="00356B99">
        <w:rPr>
          <w:rFonts w:ascii="Times New Roman" w:hAnsi="Times New Roman" w:cs="Times New Roman"/>
        </w:rPr>
        <w:t>+</w:t>
      </w:r>
      <w:r w:rsidRPr="00356B99">
        <w:rPr>
          <w:rFonts w:ascii="Times New Roman" w:hAnsi="Times New Roman" w:cs="Times New Roman"/>
        </w:rPr>
        <w:t>臺灣品牌</w:t>
      </w:r>
      <w:r w:rsidRPr="00356B99">
        <w:rPr>
          <w:rFonts w:ascii="Times New Roman" w:hAnsi="Times New Roman" w:cs="Times New Roman"/>
        </w:rPr>
        <w:t>+</w:t>
      </w:r>
      <w:r w:rsidRPr="00356B99">
        <w:rPr>
          <w:rFonts w:ascii="Times New Roman" w:hAnsi="Times New Roman" w:cs="Times New Roman"/>
        </w:rPr>
        <w:t>網路服務業者</w:t>
      </w:r>
      <w:r w:rsidRPr="00356B99">
        <w:rPr>
          <w:rFonts w:ascii="Times New Roman" w:hAnsi="Times New Roman" w:cs="Times New Roman"/>
        </w:rPr>
        <w:t xml:space="preserve"> </w:t>
      </w:r>
      <w:r w:rsidRPr="00356B99">
        <w:rPr>
          <w:rFonts w:ascii="Times New Roman" w:hAnsi="Times New Roman" w:cs="Times New Roman"/>
        </w:rPr>
        <w:t>聯合艦隊挺進東協〉，</w:t>
      </w:r>
      <w:r w:rsidRPr="00356B99">
        <w:rPr>
          <w:rFonts w:ascii="Times New Roman" w:hAnsi="Times New Roman" w:cs="Times New Roman"/>
        </w:rPr>
        <w:t>1</w:t>
      </w:r>
      <w:r w:rsidRPr="00356B99">
        <w:rPr>
          <w:rFonts w:ascii="Times New Roman" w:hAnsi="Times New Roman" w:cs="Times New Roman"/>
        </w:rPr>
        <w:t>月</w:t>
      </w:r>
      <w:r w:rsidRPr="00356B99">
        <w:rPr>
          <w:rFonts w:ascii="Times New Roman" w:hAnsi="Times New Roman" w:cs="Times New Roman"/>
        </w:rPr>
        <w:t>26</w:t>
      </w:r>
      <w:r w:rsidRPr="00356B99">
        <w:rPr>
          <w:rFonts w:ascii="Times New Roman" w:hAnsi="Times New Roman" w:cs="Times New Roman"/>
        </w:rPr>
        <w:t>日。</w:t>
      </w:r>
      <w:hyperlink r:id="rId31" w:history="1">
        <w:r w:rsidRPr="00356B99">
          <w:rPr>
            <w:rStyle w:val="aa"/>
            <w:rFonts w:ascii="Times New Roman" w:hAnsi="Times New Roman" w:cs="Times New Roman"/>
            <w:color w:val="auto"/>
          </w:rPr>
          <w:t>http://www.cdri.org.tw/content/news/news01_in.aspx?sid=118</w:t>
        </w:r>
      </w:hyperlink>
      <w:r w:rsidRPr="00356B99">
        <w:rPr>
          <w:rFonts w:ascii="Times New Roman" w:hAnsi="Times New Roman" w:cs="Times New Roman"/>
        </w:rPr>
        <w:t xml:space="preserve"> </w:t>
      </w:r>
    </w:p>
  </w:footnote>
  <w:footnote w:id="53">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臺經觀點，</w:t>
      </w:r>
      <w:r w:rsidRPr="00356B99">
        <w:rPr>
          <w:rFonts w:ascii="Times New Roman" w:hAnsi="Times New Roman" w:cs="Times New Roman"/>
        </w:rPr>
        <w:t>2016</w:t>
      </w:r>
      <w:r w:rsidRPr="00356B99">
        <w:rPr>
          <w:rFonts w:ascii="Times New Roman" w:hAnsi="Times New Roman" w:cs="Times New Roman"/>
        </w:rPr>
        <w:t>，〈恢復中小企業的關鍵角色〉，</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19</w:t>
      </w:r>
      <w:r w:rsidRPr="00356B99">
        <w:rPr>
          <w:rFonts w:ascii="Times New Roman" w:hAnsi="Times New Roman" w:cs="Times New Roman"/>
        </w:rPr>
        <w:t>日。</w:t>
      </w:r>
      <w:hyperlink r:id="rId32" w:history="1">
        <w:r w:rsidRPr="00356B99">
          <w:rPr>
            <w:rStyle w:val="aa"/>
            <w:rFonts w:ascii="Times New Roman" w:hAnsi="Times New Roman" w:cs="Times New Roman"/>
            <w:color w:val="auto"/>
          </w:rPr>
          <w:t>http://www.tier.org.tw/comment/pec1010.aspx?GUID=958a7dfc-9a96-4e17-89b4-fac1d3debea8</w:t>
        </w:r>
      </w:hyperlink>
      <w:r w:rsidRPr="00356B99">
        <w:rPr>
          <w:rFonts w:ascii="Times New Roman" w:hAnsi="Times New Roman" w:cs="Times New Roman"/>
        </w:rPr>
        <w:t xml:space="preserve"> </w:t>
      </w:r>
    </w:p>
  </w:footnote>
  <w:footnote w:id="5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交通部統計處，</w:t>
      </w:r>
      <w:r w:rsidRPr="00356B99">
        <w:rPr>
          <w:rFonts w:ascii="Times New Roman" w:hAnsi="Times New Roman" w:cs="Times New Roman"/>
        </w:rPr>
        <w:t>2016</w:t>
      </w:r>
      <w:r w:rsidRPr="00356B99">
        <w:rPr>
          <w:rFonts w:ascii="Times New Roman" w:hAnsi="Times New Roman" w:cs="Times New Roman"/>
        </w:rPr>
        <w:t>，《</w:t>
      </w:r>
      <w:r w:rsidRPr="00356B99">
        <w:rPr>
          <w:rFonts w:ascii="Times New Roman" w:hAnsi="Times New Roman" w:cs="Times New Roman"/>
        </w:rPr>
        <w:t>104</w:t>
      </w:r>
      <w:r w:rsidRPr="00356B99">
        <w:rPr>
          <w:rFonts w:ascii="Times New Roman" w:hAnsi="Times New Roman" w:cs="Times New Roman"/>
        </w:rPr>
        <w:t>年運輸及倉儲業之生產及受僱員工概況》。</w:t>
      </w:r>
    </w:p>
  </w:footnote>
  <w:footnote w:id="55">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工商時報，</w:t>
      </w:r>
      <w:r w:rsidRPr="00356B99">
        <w:rPr>
          <w:rFonts w:ascii="Times New Roman" w:hAnsi="Times New Roman" w:cs="Times New Roman"/>
        </w:rPr>
        <w:t>2016</w:t>
      </w:r>
      <w:r w:rsidRPr="00356B99">
        <w:rPr>
          <w:rFonts w:ascii="Times New Roman" w:hAnsi="Times New Roman" w:cs="Times New Roman"/>
        </w:rPr>
        <w:t>，〈中菲行物流集團</w:t>
      </w:r>
      <w:r w:rsidRPr="00356B99">
        <w:rPr>
          <w:rFonts w:ascii="Times New Roman" w:hAnsi="Times New Roman" w:cs="Times New Roman"/>
        </w:rPr>
        <w:t xml:space="preserve"> </w:t>
      </w:r>
      <w:r w:rsidRPr="00356B99">
        <w:rPr>
          <w:rFonts w:ascii="Times New Roman" w:hAnsi="Times New Roman" w:cs="Times New Roman"/>
        </w:rPr>
        <w:t>名列亞太第三方物流前十強〉，</w:t>
      </w:r>
      <w:r w:rsidRPr="00356B99">
        <w:rPr>
          <w:rFonts w:ascii="Times New Roman" w:hAnsi="Times New Roman" w:cs="Times New Roman"/>
        </w:rPr>
        <w:t>4</w:t>
      </w:r>
      <w:r w:rsidRPr="00356B99">
        <w:rPr>
          <w:rFonts w:ascii="Times New Roman" w:hAnsi="Times New Roman" w:cs="Times New Roman"/>
        </w:rPr>
        <w:t>月</w:t>
      </w:r>
      <w:r w:rsidRPr="00356B99">
        <w:rPr>
          <w:rFonts w:ascii="Times New Roman" w:hAnsi="Times New Roman" w:cs="Times New Roman"/>
        </w:rPr>
        <w:t>25</w:t>
      </w:r>
      <w:r w:rsidRPr="00356B99">
        <w:rPr>
          <w:rFonts w:ascii="Times New Roman" w:hAnsi="Times New Roman" w:cs="Times New Roman"/>
        </w:rPr>
        <w:t>日。</w:t>
      </w:r>
      <w:hyperlink r:id="rId33" w:history="1">
        <w:r w:rsidRPr="00356B99">
          <w:rPr>
            <w:rStyle w:val="aa"/>
            <w:rFonts w:ascii="Times New Roman" w:hAnsi="Times New Roman" w:cs="Times New Roman"/>
            <w:color w:val="auto"/>
          </w:rPr>
          <w:t>http://www.chinatimes.com/realtimenews/20160425003998-260410</w:t>
        </w:r>
      </w:hyperlink>
      <w:r w:rsidRPr="00356B99">
        <w:rPr>
          <w:rFonts w:ascii="Times New Roman" w:hAnsi="Times New Roman" w:cs="Times New Roman"/>
        </w:rPr>
        <w:t xml:space="preserve"> </w:t>
      </w:r>
    </w:p>
  </w:footnote>
  <w:footnote w:id="56">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中央社，</w:t>
      </w:r>
      <w:r w:rsidRPr="00356B99">
        <w:rPr>
          <w:rFonts w:ascii="Times New Roman" w:hAnsi="Times New Roman" w:cs="Times New Roman"/>
        </w:rPr>
        <w:t>2016</w:t>
      </w:r>
      <w:r w:rsidRPr="00356B99">
        <w:rPr>
          <w:rFonts w:ascii="Times New Roman" w:hAnsi="Times New Roman" w:cs="Times New Roman"/>
        </w:rPr>
        <w:t>，〈賣水果到東協</w:t>
      </w:r>
      <w:r w:rsidRPr="00356B99">
        <w:rPr>
          <w:rFonts w:ascii="Times New Roman" w:hAnsi="Times New Roman" w:cs="Times New Roman"/>
        </w:rPr>
        <w:t xml:space="preserve"> </w:t>
      </w:r>
      <w:r w:rsidRPr="00356B99">
        <w:rPr>
          <w:rFonts w:ascii="Times New Roman" w:hAnsi="Times New Roman" w:cs="Times New Roman"/>
        </w:rPr>
        <w:t>臺中與嘉里物流簽備忘錄〉，</w:t>
      </w:r>
      <w:r w:rsidRPr="00356B99">
        <w:rPr>
          <w:rFonts w:ascii="Times New Roman" w:hAnsi="Times New Roman" w:cs="Times New Roman"/>
        </w:rPr>
        <w:t>4</w:t>
      </w:r>
      <w:r w:rsidRPr="00356B99">
        <w:rPr>
          <w:rFonts w:ascii="Times New Roman" w:hAnsi="Times New Roman" w:cs="Times New Roman"/>
        </w:rPr>
        <w:t>月</w:t>
      </w:r>
      <w:r w:rsidRPr="00356B99">
        <w:rPr>
          <w:rFonts w:ascii="Times New Roman" w:hAnsi="Times New Roman" w:cs="Times New Roman"/>
        </w:rPr>
        <w:t>13</w:t>
      </w:r>
      <w:r w:rsidRPr="00356B99">
        <w:rPr>
          <w:rFonts w:ascii="Times New Roman" w:hAnsi="Times New Roman" w:cs="Times New Roman"/>
        </w:rPr>
        <w:t>日。</w:t>
      </w:r>
      <w:r w:rsidRPr="00356B99">
        <w:rPr>
          <w:rFonts w:ascii="Times New Roman" w:hAnsi="Times New Roman" w:cs="Times New Roman"/>
        </w:rPr>
        <w:t xml:space="preserve"> </w:t>
      </w:r>
      <w:hyperlink r:id="rId34" w:history="1">
        <w:r w:rsidRPr="00356B99">
          <w:rPr>
            <w:rStyle w:val="aa"/>
            <w:rFonts w:ascii="Times New Roman" w:hAnsi="Times New Roman" w:cs="Times New Roman"/>
            <w:color w:val="auto"/>
          </w:rPr>
          <w:t>http://udn.com/news/story/3/1626007</w:t>
        </w:r>
      </w:hyperlink>
      <w:r w:rsidRPr="00356B99">
        <w:rPr>
          <w:rFonts w:ascii="Times New Roman" w:hAnsi="Times New Roman" w:cs="Times New Roman"/>
        </w:rPr>
        <w:t xml:space="preserve"> </w:t>
      </w:r>
    </w:p>
  </w:footnote>
  <w:footnote w:id="57">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中時電子報，</w:t>
      </w:r>
      <w:r w:rsidRPr="00356B99">
        <w:rPr>
          <w:rFonts w:ascii="Times New Roman" w:hAnsi="Times New Roman" w:cs="Times New Roman"/>
        </w:rPr>
        <w:t>2015</w:t>
      </w:r>
      <w:r w:rsidRPr="00356B99">
        <w:rPr>
          <w:rFonts w:ascii="Times New Roman" w:hAnsi="Times New Roman" w:cs="Times New Roman"/>
        </w:rPr>
        <w:t>，〈臺北港國際物流</w:t>
      </w:r>
      <w:r w:rsidRPr="00356B99">
        <w:rPr>
          <w:rFonts w:ascii="Times New Roman" w:hAnsi="Times New Roman" w:cs="Times New Roman"/>
        </w:rPr>
        <w:t xml:space="preserve"> </w:t>
      </w:r>
      <w:r w:rsidRPr="00356B99">
        <w:rPr>
          <w:rFonts w:ascii="Times New Roman" w:hAnsi="Times New Roman" w:cs="Times New Roman"/>
        </w:rPr>
        <w:t>掀成車海運革命〉，</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4</w:t>
      </w:r>
      <w:r w:rsidRPr="00356B99">
        <w:rPr>
          <w:rFonts w:ascii="Times New Roman" w:hAnsi="Times New Roman" w:cs="Times New Roman"/>
        </w:rPr>
        <w:t>日。</w:t>
      </w:r>
      <w:hyperlink r:id="rId35" w:history="1">
        <w:r w:rsidRPr="00356B99">
          <w:rPr>
            <w:rStyle w:val="aa"/>
            <w:rFonts w:ascii="Times New Roman" w:hAnsi="Times New Roman" w:cs="Times New Roman"/>
            <w:color w:val="auto"/>
          </w:rPr>
          <w:t>http://www.chinatimes.com/newspapers/20150504000170-260204</w:t>
        </w:r>
      </w:hyperlink>
      <w:r w:rsidRPr="00356B99">
        <w:rPr>
          <w:rFonts w:ascii="Times New Roman" w:hAnsi="Times New Roman" w:cs="Times New Roman"/>
        </w:rPr>
        <w:t xml:space="preserve"> </w:t>
      </w:r>
    </w:p>
  </w:footnote>
  <w:footnote w:id="58">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臺經社論，</w:t>
      </w:r>
      <w:r w:rsidRPr="00356B99">
        <w:rPr>
          <w:rFonts w:ascii="Times New Roman" w:hAnsi="Times New Roman" w:cs="Times New Roman"/>
        </w:rPr>
        <w:t>2015</w:t>
      </w:r>
      <w:r w:rsidRPr="00356B99">
        <w:rPr>
          <w:rFonts w:ascii="Times New Roman" w:hAnsi="Times New Roman" w:cs="Times New Roman"/>
        </w:rPr>
        <w:t>，〈「港灣城市論壇」提供國際港口城市合作交流平臺〉，</w:t>
      </w:r>
      <w:r w:rsidRPr="00356B99">
        <w:rPr>
          <w:rFonts w:ascii="Times New Roman" w:hAnsi="Times New Roman" w:cs="Times New Roman"/>
        </w:rPr>
        <w:t>8</w:t>
      </w:r>
      <w:r w:rsidRPr="00356B99">
        <w:rPr>
          <w:rFonts w:ascii="Times New Roman" w:hAnsi="Times New Roman" w:cs="Times New Roman"/>
        </w:rPr>
        <w:t>月。</w:t>
      </w:r>
      <w:hyperlink r:id="rId36" w:history="1">
        <w:r w:rsidRPr="00356B99">
          <w:rPr>
            <w:rStyle w:val="aa"/>
            <w:rFonts w:ascii="Times New Roman" w:hAnsi="Times New Roman" w:cs="Times New Roman"/>
            <w:color w:val="auto"/>
          </w:rPr>
          <w:t>http://www.tier.org.tw/comment/tiermon201508.aspx</w:t>
        </w:r>
      </w:hyperlink>
      <w:r w:rsidRPr="00356B99">
        <w:rPr>
          <w:rFonts w:ascii="Times New Roman" w:hAnsi="Times New Roman" w:cs="Times New Roman"/>
        </w:rPr>
        <w:t xml:space="preserve"> </w:t>
      </w:r>
    </w:p>
  </w:footnote>
  <w:footnote w:id="59">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資策會</w:t>
      </w:r>
      <w:r w:rsidRPr="00356B99">
        <w:rPr>
          <w:rFonts w:ascii="Times New Roman" w:hAnsi="Times New Roman" w:cs="Times New Roman"/>
        </w:rPr>
        <w:t>MIC</w:t>
      </w:r>
      <w:r w:rsidRPr="00356B99">
        <w:rPr>
          <w:rFonts w:ascii="Times New Roman" w:hAnsi="Times New Roman" w:cs="Times New Roman"/>
        </w:rPr>
        <w:t>，</w:t>
      </w:r>
      <w:r w:rsidRPr="00356B99">
        <w:rPr>
          <w:rFonts w:ascii="Times New Roman" w:hAnsi="Times New Roman" w:cs="Times New Roman"/>
        </w:rPr>
        <w:t>2015</w:t>
      </w:r>
      <w:r w:rsidRPr="00356B99">
        <w:rPr>
          <w:rFonts w:ascii="Times New Roman" w:hAnsi="Times New Roman" w:cs="Times New Roman"/>
        </w:rPr>
        <w:t>，〈全球資訊服務及軟體市場平穩成長〉，</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20</w:t>
      </w:r>
      <w:r w:rsidRPr="00356B99">
        <w:rPr>
          <w:rFonts w:ascii="Times New Roman" w:hAnsi="Times New Roman" w:cs="Times New Roman"/>
        </w:rPr>
        <w:t>日。</w:t>
      </w:r>
      <w:hyperlink r:id="rId37" w:history="1">
        <w:r w:rsidRPr="00356B99">
          <w:rPr>
            <w:rStyle w:val="aa"/>
            <w:rFonts w:ascii="Times New Roman" w:hAnsi="Times New Roman" w:cs="Times New Roman"/>
            <w:color w:val="auto"/>
          </w:rPr>
          <w:t>https://mic.iii.org.tw/micnew/IndustryObservations_PressRelease02.aspx?sqno=393</w:t>
        </w:r>
      </w:hyperlink>
      <w:r w:rsidRPr="00356B99">
        <w:rPr>
          <w:rFonts w:ascii="Times New Roman" w:hAnsi="Times New Roman" w:cs="Times New Roman"/>
        </w:rPr>
        <w:t xml:space="preserve"> </w:t>
      </w:r>
    </w:p>
  </w:footnote>
  <w:footnote w:id="60">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資策會</w:t>
      </w:r>
      <w:r w:rsidRPr="00356B99">
        <w:rPr>
          <w:rFonts w:ascii="Times New Roman" w:hAnsi="Times New Roman" w:cs="Times New Roman"/>
        </w:rPr>
        <w:t>MIC</w:t>
      </w:r>
      <w:r w:rsidRPr="00356B99">
        <w:rPr>
          <w:rFonts w:ascii="Times New Roman" w:hAnsi="Times New Roman" w:cs="Times New Roman"/>
        </w:rPr>
        <w:t>，</w:t>
      </w:r>
      <w:r w:rsidRPr="00356B99">
        <w:rPr>
          <w:rFonts w:ascii="Times New Roman" w:hAnsi="Times New Roman" w:cs="Times New Roman"/>
        </w:rPr>
        <w:t>2015</w:t>
      </w:r>
      <w:r w:rsidRPr="00356B99">
        <w:rPr>
          <w:rFonts w:ascii="Times New Roman" w:hAnsi="Times New Roman" w:cs="Times New Roman"/>
        </w:rPr>
        <w:t>，經濟部</w:t>
      </w:r>
      <w:r w:rsidRPr="00356B99">
        <w:rPr>
          <w:rFonts w:ascii="Times New Roman" w:hAnsi="Times New Roman" w:cs="Times New Roman"/>
        </w:rPr>
        <w:t>ITIS</w:t>
      </w:r>
      <w:r w:rsidRPr="00356B99">
        <w:rPr>
          <w:rFonts w:ascii="Times New Roman" w:hAnsi="Times New Roman" w:cs="Times New Roman"/>
        </w:rPr>
        <w:t>計畫，</w:t>
      </w:r>
      <w:r w:rsidRPr="00356B99">
        <w:rPr>
          <w:rFonts w:ascii="Times New Roman" w:hAnsi="Times New Roman" w:cs="Times New Roman"/>
        </w:rPr>
        <w:t>6</w:t>
      </w:r>
      <w:r w:rsidRPr="00356B99">
        <w:rPr>
          <w:rFonts w:ascii="Times New Roman" w:hAnsi="Times New Roman" w:cs="Times New Roman"/>
        </w:rPr>
        <w:t>月。</w:t>
      </w:r>
    </w:p>
  </w:footnote>
  <w:footnote w:id="61">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iThome 2015</w:t>
      </w:r>
      <w:r w:rsidRPr="00356B99">
        <w:rPr>
          <w:rFonts w:ascii="Times New Roman" w:hAnsi="Times New Roman" w:cs="Times New Roman"/>
        </w:rPr>
        <w:t>年</w:t>
      </w:r>
      <w:r w:rsidRPr="00356B99">
        <w:rPr>
          <w:rFonts w:ascii="Times New Roman" w:hAnsi="Times New Roman" w:cs="Times New Roman"/>
        </w:rPr>
        <w:t>CIO</w:t>
      </w:r>
      <w:r w:rsidRPr="00356B99">
        <w:rPr>
          <w:rFonts w:ascii="Times New Roman" w:hAnsi="Times New Roman" w:cs="Times New Roman"/>
        </w:rPr>
        <w:t>大調查，</w:t>
      </w:r>
      <w:r w:rsidRPr="00356B99">
        <w:rPr>
          <w:rFonts w:ascii="Times New Roman" w:hAnsi="Times New Roman" w:cs="Times New Roman"/>
        </w:rPr>
        <w:t>2015</w:t>
      </w:r>
      <w:r w:rsidRPr="00356B99">
        <w:rPr>
          <w:rFonts w:ascii="Times New Roman" w:hAnsi="Times New Roman" w:cs="Times New Roman"/>
        </w:rPr>
        <w:t>，雲端採用趨勢分析，</w:t>
      </w:r>
      <w:r w:rsidRPr="00356B99">
        <w:rPr>
          <w:rFonts w:ascii="Times New Roman" w:hAnsi="Times New Roman" w:cs="Times New Roman"/>
        </w:rPr>
        <w:t>2</w:t>
      </w:r>
      <w:r w:rsidRPr="00356B99">
        <w:rPr>
          <w:rFonts w:ascii="Times New Roman" w:hAnsi="Times New Roman" w:cs="Times New Roman"/>
        </w:rPr>
        <w:t>月</w:t>
      </w:r>
      <w:r w:rsidRPr="00356B99">
        <w:rPr>
          <w:rFonts w:ascii="Times New Roman" w:hAnsi="Times New Roman" w:cs="Times New Roman"/>
        </w:rPr>
        <w:t>17</w:t>
      </w:r>
      <w:r w:rsidRPr="00356B99">
        <w:rPr>
          <w:rFonts w:ascii="Times New Roman" w:hAnsi="Times New Roman" w:cs="Times New Roman"/>
        </w:rPr>
        <w:t>日。</w:t>
      </w:r>
      <w:hyperlink r:id="rId38" w:history="1">
        <w:r w:rsidRPr="00356B99">
          <w:rPr>
            <w:rStyle w:val="aa"/>
            <w:rFonts w:ascii="Times New Roman" w:hAnsi="Times New Roman" w:cs="Times New Roman"/>
            <w:color w:val="auto"/>
          </w:rPr>
          <w:t>http://www.ithome.com.tw/article/94084</w:t>
        </w:r>
      </w:hyperlink>
      <w:r w:rsidRPr="00356B99">
        <w:rPr>
          <w:rFonts w:ascii="Times New Roman" w:hAnsi="Times New Roman" w:cs="Times New Roman"/>
        </w:rPr>
        <w:t xml:space="preserve"> </w:t>
      </w:r>
    </w:p>
  </w:footnote>
  <w:footnote w:id="62">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行政院，</w:t>
      </w:r>
      <w:r w:rsidRPr="00356B99">
        <w:rPr>
          <w:rFonts w:ascii="Times New Roman" w:hAnsi="Times New Roman" w:cs="Times New Roman"/>
        </w:rPr>
        <w:t>2015</w:t>
      </w:r>
      <w:r w:rsidRPr="00356B99">
        <w:rPr>
          <w:rFonts w:ascii="Times New Roman" w:hAnsi="Times New Roman" w:cs="Times New Roman"/>
        </w:rPr>
        <w:t>，〈四大智慧型產業〉，</w:t>
      </w:r>
      <w:r w:rsidRPr="00356B99">
        <w:rPr>
          <w:rFonts w:ascii="Times New Roman" w:hAnsi="Times New Roman" w:cs="Times New Roman"/>
        </w:rPr>
        <w:t>9</w:t>
      </w:r>
      <w:r w:rsidRPr="00356B99">
        <w:rPr>
          <w:rFonts w:ascii="Times New Roman" w:hAnsi="Times New Roman" w:cs="Times New Roman"/>
        </w:rPr>
        <w:t>月</w:t>
      </w:r>
      <w:r w:rsidRPr="00356B99">
        <w:rPr>
          <w:rFonts w:ascii="Times New Roman" w:hAnsi="Times New Roman" w:cs="Times New Roman"/>
        </w:rPr>
        <w:t>25</w:t>
      </w:r>
      <w:r w:rsidRPr="00356B99">
        <w:rPr>
          <w:rFonts w:ascii="Times New Roman" w:hAnsi="Times New Roman" w:cs="Times New Roman"/>
        </w:rPr>
        <w:t>日。</w:t>
      </w:r>
      <w:hyperlink r:id="rId39" w:history="1">
        <w:r w:rsidRPr="00356B99">
          <w:rPr>
            <w:rStyle w:val="aa"/>
            <w:rFonts w:ascii="Times New Roman" w:hAnsi="Times New Roman" w:cs="Times New Roman"/>
            <w:color w:val="auto"/>
          </w:rPr>
          <w:t>http://www.ey.gov.tw/policy8/cp.aspx?n=8E8DE47D1B703E07</w:t>
        </w:r>
      </w:hyperlink>
    </w:p>
  </w:footnote>
  <w:footnote w:id="63">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臺經時事關注，</w:t>
      </w:r>
      <w:r w:rsidRPr="00356B99">
        <w:rPr>
          <w:rFonts w:ascii="Times New Roman" w:hAnsi="Times New Roman" w:cs="Times New Roman"/>
        </w:rPr>
        <w:t>2016</w:t>
      </w:r>
      <w:r w:rsidRPr="00356B99">
        <w:rPr>
          <w:rFonts w:ascii="Times New Roman" w:hAnsi="Times New Roman" w:cs="Times New Roman"/>
        </w:rPr>
        <w:t>，〈正視產業智慧化發展方向及國內面臨瓶頸〉，</w:t>
      </w:r>
      <w:r w:rsidRPr="00356B99">
        <w:rPr>
          <w:rFonts w:ascii="Times New Roman" w:hAnsi="Times New Roman" w:cs="Times New Roman"/>
        </w:rPr>
        <w:t>4</w:t>
      </w:r>
      <w:r w:rsidRPr="00356B99">
        <w:rPr>
          <w:rFonts w:ascii="Times New Roman" w:hAnsi="Times New Roman" w:cs="Times New Roman"/>
        </w:rPr>
        <w:t>月</w:t>
      </w:r>
      <w:r w:rsidRPr="00356B99">
        <w:rPr>
          <w:rFonts w:ascii="Times New Roman" w:hAnsi="Times New Roman" w:cs="Times New Roman"/>
        </w:rPr>
        <w:t>21</w:t>
      </w:r>
      <w:r w:rsidRPr="00356B99">
        <w:rPr>
          <w:rFonts w:ascii="Times New Roman" w:hAnsi="Times New Roman" w:cs="Times New Roman"/>
        </w:rPr>
        <w:t>日。</w:t>
      </w:r>
      <w:hyperlink r:id="rId40" w:history="1">
        <w:r w:rsidRPr="00356B99">
          <w:rPr>
            <w:rStyle w:val="aa"/>
            <w:rFonts w:ascii="Times New Roman" w:hAnsi="Times New Roman" w:cs="Times New Roman"/>
            <w:color w:val="auto"/>
          </w:rPr>
          <w:t>http://www.tier.org.tw/comment/pec5010.aspx?GUID=affe38d2-d3c5-4d0f-9621-e9fccbdb4bb4</w:t>
        </w:r>
      </w:hyperlink>
      <w:r w:rsidRPr="00356B99">
        <w:rPr>
          <w:rFonts w:ascii="Times New Roman" w:hAnsi="Times New Roman" w:cs="Times New Roman"/>
        </w:rPr>
        <w:t xml:space="preserve"> </w:t>
      </w:r>
    </w:p>
  </w:footnote>
  <w:footnote w:id="6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經濟部能源局，</w:t>
      </w:r>
      <w:r w:rsidRPr="00356B99">
        <w:rPr>
          <w:rFonts w:ascii="Times New Roman" w:hAnsi="Times New Roman" w:cs="Times New Roman"/>
          <w:b/>
        </w:rPr>
        <w:t>綠色能源產業躍升計畫</w:t>
      </w:r>
      <w:r w:rsidRPr="00356B99">
        <w:rPr>
          <w:rFonts w:ascii="Times New Roman" w:hAnsi="Times New Roman" w:cs="Times New Roman"/>
        </w:rPr>
        <w:t>：</w:t>
      </w:r>
      <w:hyperlink r:id="rId41" w:history="1">
        <w:r w:rsidRPr="00356B99">
          <w:rPr>
            <w:rStyle w:val="aa"/>
            <w:rFonts w:ascii="Times New Roman" w:hAnsi="Times New Roman" w:cs="Times New Roman"/>
            <w:color w:val="auto"/>
          </w:rPr>
          <w:t>http://web3.moeaboe.gov.tw/ecw/populace/content/wHandMenuFile.ashx?menu_id=110</w:t>
        </w:r>
      </w:hyperlink>
    </w:p>
  </w:footnote>
  <w:footnote w:id="65">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經濟部能源局，</w:t>
      </w:r>
      <w:r w:rsidRPr="00356B99">
        <w:rPr>
          <w:rFonts w:ascii="Times New Roman" w:hAnsi="Times New Roman" w:cs="Times New Roman"/>
          <w:b/>
        </w:rPr>
        <w:t>綠色能源產業躍升計畫</w:t>
      </w:r>
      <w:r w:rsidRPr="00356B99">
        <w:rPr>
          <w:rFonts w:ascii="Times New Roman" w:hAnsi="Times New Roman" w:cs="Times New Roman"/>
        </w:rPr>
        <w:t>：</w:t>
      </w:r>
      <w:hyperlink r:id="rId42" w:history="1">
        <w:r w:rsidRPr="00356B99">
          <w:rPr>
            <w:rStyle w:val="aa"/>
            <w:rFonts w:ascii="Times New Roman" w:hAnsi="Times New Roman" w:cs="Times New Roman"/>
            <w:color w:val="auto"/>
          </w:rPr>
          <w:t>http://web3.moeaboe.gov.tw/ecw/populace/content/wHandMenuFile.ashx?menu_id=110</w:t>
        </w:r>
      </w:hyperlink>
    </w:p>
  </w:footnote>
  <w:footnote w:id="66">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綠能趨勢網，〈新日光、昱晶加速海外布局</w:t>
      </w:r>
      <w:r w:rsidRPr="00356B99">
        <w:rPr>
          <w:rFonts w:ascii="Times New Roman" w:hAnsi="Times New Roman" w:cs="Times New Roman"/>
        </w:rPr>
        <w:t xml:space="preserve"> </w:t>
      </w:r>
      <w:r w:rsidRPr="00356B99">
        <w:rPr>
          <w:rFonts w:ascii="Times New Roman" w:hAnsi="Times New Roman" w:cs="Times New Roman"/>
        </w:rPr>
        <w:t>產能約</w:t>
      </w:r>
      <w:r w:rsidRPr="00356B99">
        <w:rPr>
          <w:rFonts w:ascii="Times New Roman" w:hAnsi="Times New Roman" w:cs="Times New Roman"/>
        </w:rPr>
        <w:t xml:space="preserve"> 500MW</w:t>
      </w:r>
      <w:r w:rsidRPr="00356B99">
        <w:rPr>
          <w:rFonts w:ascii="Times New Roman" w:hAnsi="Times New Roman" w:cs="Times New Roman"/>
        </w:rPr>
        <w:t>〉，</w:t>
      </w:r>
      <w:r w:rsidRPr="00356B99">
        <w:rPr>
          <w:rFonts w:ascii="Times New Roman" w:hAnsi="Times New Roman" w:cs="Times New Roman"/>
        </w:rPr>
        <w:t>205/1/23</w:t>
      </w:r>
      <w:r w:rsidRPr="00356B99">
        <w:rPr>
          <w:rFonts w:ascii="Times New Roman" w:hAnsi="Times New Roman" w:cs="Times New Roman"/>
        </w:rPr>
        <w:t>：</w:t>
      </w:r>
      <w:hyperlink r:id="rId43" w:history="1">
        <w:r w:rsidRPr="00356B99">
          <w:rPr>
            <w:rStyle w:val="aa"/>
            <w:rFonts w:ascii="Times New Roman" w:hAnsi="Times New Roman" w:cs="Times New Roman"/>
            <w:color w:val="auto"/>
          </w:rPr>
          <w:t>http://pv.energytrend.com.tw/news/20150123-10415.html</w:t>
        </w:r>
      </w:hyperlink>
    </w:p>
  </w:footnote>
  <w:footnote w:id="6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經濟日報，〈新日光：下半年沒悲觀理由〉，</w:t>
      </w:r>
      <w:r w:rsidRPr="00356B99">
        <w:rPr>
          <w:rFonts w:ascii="Times New Roman" w:hAnsi="Times New Roman" w:cs="Times New Roman"/>
        </w:rPr>
        <w:t>2016/6/17</w:t>
      </w:r>
      <w:r w:rsidRPr="00356B99">
        <w:rPr>
          <w:rFonts w:ascii="Times New Roman" w:hAnsi="Times New Roman" w:cs="Times New Roman"/>
        </w:rPr>
        <w:t>：</w:t>
      </w:r>
      <w:hyperlink r:id="rId44" w:history="1">
        <w:r w:rsidRPr="00356B99">
          <w:rPr>
            <w:rStyle w:val="aa"/>
            <w:rFonts w:ascii="Times New Roman" w:hAnsi="Times New Roman" w:cs="Times New Roman"/>
            <w:color w:val="auto"/>
          </w:rPr>
          <w:t>http://udn.com/news/story/7253/1767085-%E6%96%B0%E6%97%A5%E5%85%89%EF%BC%9A%E4%B8%8B%E5%8D%8A%E5%B9%B4%E6%B2%92%E6%82%B2%E8%A7%80%E7%90%86%E7%94%B1</w:t>
        </w:r>
      </w:hyperlink>
    </w:p>
    <w:p w:rsidR="00441968" w:rsidRPr="00356B99" w:rsidRDefault="00441968" w:rsidP="00E078C6">
      <w:pPr>
        <w:pStyle w:val="a7"/>
        <w:rPr>
          <w:rFonts w:ascii="Times New Roman" w:hAnsi="Times New Roman" w:cs="Times New Roman"/>
        </w:rPr>
      </w:pPr>
      <w:r w:rsidRPr="00356B99">
        <w:rPr>
          <w:rFonts w:ascii="Times New Roman" w:hAnsi="Times New Roman" w:cs="Times New Roman"/>
        </w:rPr>
        <w:t>蘋果日報，〈新日光新竹模組廠熄燈</w:t>
      </w:r>
      <w:r w:rsidRPr="00356B99">
        <w:rPr>
          <w:rFonts w:ascii="Times New Roman" w:hAnsi="Times New Roman" w:cs="Times New Roman"/>
        </w:rPr>
        <w:t xml:space="preserve"> </w:t>
      </w:r>
      <w:r w:rsidRPr="00356B99">
        <w:rPr>
          <w:rFonts w:ascii="Times New Roman" w:hAnsi="Times New Roman" w:cs="Times New Roman"/>
        </w:rPr>
        <w:t>電池廠員工也求資遣〉，</w:t>
      </w:r>
      <w:r w:rsidRPr="00356B99">
        <w:rPr>
          <w:rFonts w:ascii="Times New Roman" w:hAnsi="Times New Roman" w:cs="Times New Roman"/>
        </w:rPr>
        <w:t>2016/5/24</w:t>
      </w:r>
      <w:r w:rsidRPr="00356B99">
        <w:rPr>
          <w:rFonts w:ascii="Times New Roman" w:hAnsi="Times New Roman" w:cs="Times New Roman"/>
        </w:rPr>
        <w:t>：</w:t>
      </w:r>
      <w:hyperlink r:id="rId45" w:history="1">
        <w:r w:rsidRPr="00356B99">
          <w:rPr>
            <w:rStyle w:val="aa"/>
            <w:rFonts w:ascii="Times New Roman" w:hAnsi="Times New Roman" w:cs="Times New Roman"/>
            <w:color w:val="auto"/>
          </w:rPr>
          <w:t>http://www.appledaily.com.tw/appledaily/article/finance/20160524/37230742/</w:t>
        </w:r>
      </w:hyperlink>
    </w:p>
    <w:p w:rsidR="00441968" w:rsidRPr="00356B99" w:rsidRDefault="00441968" w:rsidP="00E078C6">
      <w:pPr>
        <w:pStyle w:val="a7"/>
        <w:rPr>
          <w:rFonts w:ascii="Times New Roman" w:hAnsi="Times New Roman" w:cs="Times New Roman"/>
        </w:rPr>
      </w:pPr>
      <w:r w:rsidRPr="00356B99">
        <w:rPr>
          <w:rFonts w:ascii="Times New Roman" w:hAnsi="Times New Roman" w:cs="Times New Roman"/>
        </w:rPr>
        <w:t>自由時報，〈政策挺太陽能</w:t>
      </w:r>
      <w:r w:rsidRPr="00356B99">
        <w:rPr>
          <w:rFonts w:ascii="Times New Roman" w:hAnsi="Times New Roman" w:cs="Times New Roman"/>
        </w:rPr>
        <w:t xml:space="preserve"> </w:t>
      </w:r>
      <w:r w:rsidRPr="00356B99">
        <w:rPr>
          <w:rFonts w:ascii="Times New Roman" w:hAnsi="Times New Roman" w:cs="Times New Roman"/>
        </w:rPr>
        <w:t>臺廠擴產</w:t>
      </w:r>
      <w:r w:rsidRPr="00356B99">
        <w:rPr>
          <w:rFonts w:ascii="Times New Roman" w:hAnsi="Times New Roman" w:cs="Times New Roman"/>
        </w:rPr>
        <w:t xml:space="preserve"> </w:t>
      </w:r>
      <w:r w:rsidRPr="00356B99">
        <w:rPr>
          <w:rFonts w:ascii="Times New Roman" w:hAnsi="Times New Roman" w:cs="Times New Roman"/>
        </w:rPr>
        <w:t>新品齊發〉，</w:t>
      </w:r>
      <w:r w:rsidRPr="00356B99">
        <w:rPr>
          <w:rFonts w:ascii="Times New Roman" w:hAnsi="Times New Roman" w:cs="Times New Roman"/>
        </w:rPr>
        <w:t>2016/6/23</w:t>
      </w:r>
      <w:r w:rsidRPr="00356B99">
        <w:rPr>
          <w:rFonts w:ascii="Times New Roman" w:hAnsi="Times New Roman" w:cs="Times New Roman"/>
        </w:rPr>
        <w:t>：</w:t>
      </w:r>
      <w:hyperlink r:id="rId46" w:history="1">
        <w:r w:rsidRPr="00356B99">
          <w:rPr>
            <w:rStyle w:val="aa"/>
            <w:rFonts w:ascii="Times New Roman" w:hAnsi="Times New Roman" w:cs="Times New Roman"/>
            <w:color w:val="auto"/>
          </w:rPr>
          <w:t>http://news.ltn.com.tw/news/business/paper/1003346</w:t>
        </w:r>
      </w:hyperlink>
    </w:p>
  </w:footnote>
  <w:footnote w:id="6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自由時報，〈政策挺太陽能</w:t>
      </w:r>
      <w:r w:rsidRPr="00356B99">
        <w:rPr>
          <w:rFonts w:ascii="Times New Roman" w:hAnsi="Times New Roman" w:cs="Times New Roman"/>
        </w:rPr>
        <w:t xml:space="preserve"> </w:t>
      </w:r>
      <w:r w:rsidRPr="00356B99">
        <w:rPr>
          <w:rFonts w:ascii="Times New Roman" w:hAnsi="Times New Roman" w:cs="Times New Roman"/>
        </w:rPr>
        <w:t>臺廠擴產</w:t>
      </w:r>
      <w:r w:rsidRPr="00356B99">
        <w:rPr>
          <w:rFonts w:ascii="Times New Roman" w:hAnsi="Times New Roman" w:cs="Times New Roman"/>
        </w:rPr>
        <w:t xml:space="preserve"> </w:t>
      </w:r>
      <w:r w:rsidRPr="00356B99">
        <w:rPr>
          <w:rFonts w:ascii="Times New Roman" w:hAnsi="Times New Roman" w:cs="Times New Roman"/>
        </w:rPr>
        <w:t>新品齊發〉，</w:t>
      </w:r>
      <w:r w:rsidRPr="00356B99">
        <w:rPr>
          <w:rFonts w:ascii="Times New Roman" w:hAnsi="Times New Roman" w:cs="Times New Roman"/>
        </w:rPr>
        <w:t>2016/6/23</w:t>
      </w:r>
      <w:r w:rsidRPr="00356B99">
        <w:rPr>
          <w:rFonts w:ascii="Times New Roman" w:hAnsi="Times New Roman" w:cs="Times New Roman"/>
        </w:rPr>
        <w:t>：</w:t>
      </w:r>
      <w:hyperlink r:id="rId47" w:history="1">
        <w:r w:rsidRPr="00356B99">
          <w:rPr>
            <w:rStyle w:val="aa"/>
            <w:rFonts w:ascii="Times New Roman" w:hAnsi="Times New Roman" w:cs="Times New Roman"/>
            <w:color w:val="auto"/>
          </w:rPr>
          <w:t>http://news.ltn.com.tw/news/business/paper/1003346</w:t>
        </w:r>
      </w:hyperlink>
    </w:p>
  </w:footnote>
  <w:footnote w:id="69">
    <w:p w:rsidR="00441968" w:rsidRPr="00356B99" w:rsidRDefault="00441968" w:rsidP="00E078C6">
      <w:pPr>
        <w:pStyle w:val="a7"/>
        <w:rPr>
          <w:rFonts w:ascii="Times New Roman" w:hAnsi="Times New Roman" w:cs="Times New Roman"/>
          <w:b/>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經濟部能源局，</w:t>
      </w:r>
      <w:r w:rsidRPr="00356B99">
        <w:rPr>
          <w:rFonts w:ascii="Times New Roman" w:hAnsi="Times New Roman" w:cs="Times New Roman"/>
          <w:b/>
        </w:rPr>
        <w:t>綠色能源產業躍升計畫</w:t>
      </w:r>
      <w:r w:rsidRPr="00356B99">
        <w:rPr>
          <w:rFonts w:ascii="Times New Roman" w:hAnsi="Times New Roman" w:cs="Times New Roman"/>
        </w:rPr>
        <w:t>：</w:t>
      </w:r>
      <w:hyperlink r:id="rId48" w:history="1">
        <w:r w:rsidRPr="00356B99">
          <w:rPr>
            <w:rStyle w:val="aa"/>
            <w:rFonts w:ascii="Times New Roman" w:hAnsi="Times New Roman" w:cs="Times New Roman"/>
            <w:color w:val="auto"/>
          </w:rPr>
          <w:t>http://web3.moeaboe.gov.tw/ecw/populace/content/wHandMenuFile.ashx?menu_id=110</w:t>
        </w:r>
      </w:hyperlink>
    </w:p>
  </w:footnote>
  <w:footnote w:id="7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經濟部能源局，</w:t>
      </w:r>
      <w:r w:rsidRPr="00356B99">
        <w:rPr>
          <w:rFonts w:ascii="Times New Roman" w:hAnsi="Times New Roman" w:cs="Times New Roman"/>
          <w:b/>
        </w:rPr>
        <w:t>綠色能源產業躍升計畫</w:t>
      </w:r>
      <w:r w:rsidRPr="00356B99">
        <w:rPr>
          <w:rFonts w:ascii="Times New Roman" w:hAnsi="Times New Roman" w:cs="Times New Roman"/>
        </w:rPr>
        <w:t>：</w:t>
      </w:r>
      <w:hyperlink r:id="rId49" w:history="1">
        <w:r w:rsidRPr="00356B99">
          <w:rPr>
            <w:rStyle w:val="aa"/>
            <w:rFonts w:ascii="Times New Roman" w:hAnsi="Times New Roman" w:cs="Times New Roman"/>
            <w:color w:val="auto"/>
          </w:rPr>
          <w:t>http://web3.moeaboe.gov.tw/ecw/populace/content/wHandMenuFile.ashx?menu_id=110</w:t>
        </w:r>
      </w:hyperlink>
    </w:p>
  </w:footnote>
  <w:footnote w:id="7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綠色能源產業資訊網，〈氫能與燃料電池產業簡介〉，最後瀏覽日期</w:t>
      </w:r>
      <w:r w:rsidRPr="00356B99">
        <w:rPr>
          <w:rFonts w:ascii="Times New Roman" w:hAnsi="Times New Roman" w:cs="Times New Roman"/>
        </w:rPr>
        <w:t>2016/8/3</w:t>
      </w:r>
      <w:r w:rsidRPr="00356B99">
        <w:rPr>
          <w:rFonts w:ascii="Times New Roman" w:hAnsi="Times New Roman" w:cs="Times New Roman"/>
        </w:rPr>
        <w:t>：</w:t>
      </w:r>
      <w:hyperlink r:id="rId50" w:history="1">
        <w:r w:rsidRPr="00356B99">
          <w:rPr>
            <w:rStyle w:val="aa"/>
            <w:rFonts w:ascii="Times New Roman" w:hAnsi="Times New Roman" w:cs="Times New Roman"/>
            <w:color w:val="auto"/>
          </w:rPr>
          <w:t>http://www.taiwangreenenergy.org.tw/Domain/domain-6.aspx</w:t>
        </w:r>
      </w:hyperlink>
    </w:p>
  </w:footnote>
  <w:footnote w:id="7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綠色能源產業資訊網，〈電動車輛產業簡介〉，最後瀏覽日期</w:t>
      </w:r>
      <w:r w:rsidRPr="00356B99">
        <w:rPr>
          <w:rFonts w:ascii="Times New Roman" w:hAnsi="Times New Roman" w:cs="Times New Roman"/>
        </w:rPr>
        <w:t>2016/8/4</w:t>
      </w:r>
      <w:r w:rsidRPr="00356B99">
        <w:rPr>
          <w:rFonts w:ascii="Times New Roman" w:hAnsi="Times New Roman" w:cs="Times New Roman"/>
        </w:rPr>
        <w:t>：</w:t>
      </w:r>
      <w:hyperlink r:id="rId51" w:history="1">
        <w:r w:rsidRPr="00356B99">
          <w:rPr>
            <w:rStyle w:val="aa"/>
            <w:rFonts w:ascii="Times New Roman" w:hAnsi="Times New Roman" w:cs="Times New Roman"/>
            <w:color w:val="auto"/>
          </w:rPr>
          <w:t>http://www.taiwangreenenergy.org.tw/Domain/domain-7.aspx</w:t>
        </w:r>
      </w:hyperlink>
    </w:p>
  </w:footnote>
  <w:footnote w:id="7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經濟部工業局，</w:t>
      </w:r>
      <w:r w:rsidRPr="00356B99">
        <w:rPr>
          <w:rFonts w:ascii="Times New Roman" w:hAnsi="Times New Roman" w:cs="Times New Roman"/>
        </w:rPr>
        <w:t>2016</w:t>
      </w:r>
      <w:r w:rsidRPr="00356B99">
        <w:rPr>
          <w:rFonts w:ascii="Times New Roman" w:hAnsi="Times New Roman" w:cs="Times New Roman"/>
        </w:rPr>
        <w:t>，《石化廠整廠輸出方案》。</w:t>
      </w:r>
    </w:p>
  </w:footnote>
  <w:footnote w:id="7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同上。</w:t>
      </w:r>
    </w:p>
  </w:footnote>
  <w:footnote w:id="75">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經濟日報，</w:t>
      </w:r>
      <w:r w:rsidRPr="00356B99">
        <w:rPr>
          <w:rFonts w:ascii="Times New Roman" w:hAnsi="Times New Roman" w:cs="Times New Roman"/>
        </w:rPr>
        <w:t>2016</w:t>
      </w:r>
      <w:r w:rsidRPr="00356B99">
        <w:rPr>
          <w:rFonts w:ascii="Times New Roman" w:hAnsi="Times New Roman" w:cs="Times New Roman"/>
        </w:rPr>
        <w:t>，《工業之母何去何從？沒了石化業</w:t>
      </w:r>
      <w:r w:rsidRPr="00356B99">
        <w:rPr>
          <w:rFonts w:ascii="Times New Roman" w:hAnsi="Times New Roman" w:cs="Times New Roman"/>
        </w:rPr>
        <w:t>40</w:t>
      </w:r>
      <w:r w:rsidRPr="00356B99">
        <w:rPr>
          <w:rFonts w:ascii="Times New Roman" w:hAnsi="Times New Roman" w:cs="Times New Roman"/>
        </w:rPr>
        <w:t>萬工作不保》，</w:t>
      </w:r>
      <w:r w:rsidRPr="00356B99">
        <w:rPr>
          <w:rFonts w:ascii="Times New Roman" w:hAnsi="Times New Roman" w:cs="Times New Roman"/>
        </w:rPr>
        <w:t>3</w:t>
      </w:r>
      <w:r w:rsidRPr="00356B99">
        <w:rPr>
          <w:rFonts w:ascii="Times New Roman" w:hAnsi="Times New Roman" w:cs="Times New Roman"/>
        </w:rPr>
        <w:t>月</w:t>
      </w:r>
      <w:r w:rsidRPr="00356B99">
        <w:rPr>
          <w:rFonts w:ascii="Times New Roman" w:hAnsi="Times New Roman" w:cs="Times New Roman"/>
        </w:rPr>
        <w:t>20</w:t>
      </w:r>
      <w:r w:rsidRPr="00356B99">
        <w:rPr>
          <w:rFonts w:ascii="Times New Roman" w:hAnsi="Times New Roman" w:cs="Times New Roman"/>
        </w:rPr>
        <w:t>日。</w:t>
      </w:r>
    </w:p>
  </w:footnote>
  <w:footnote w:id="76">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同上。</w:t>
      </w:r>
    </w:p>
  </w:footnote>
  <w:footnote w:id="7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同上。</w:t>
      </w:r>
    </w:p>
  </w:footnote>
  <w:footnote w:id="7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范振誠，工研院</w:t>
      </w:r>
      <w:r w:rsidRPr="00356B99">
        <w:rPr>
          <w:rFonts w:ascii="Times New Roman" w:hAnsi="Times New Roman" w:cs="Times New Roman"/>
        </w:rPr>
        <w:t>IEK</w:t>
      </w:r>
      <w:r w:rsidRPr="00356B99">
        <w:rPr>
          <w:rFonts w:ascii="Times New Roman" w:hAnsi="Times New Roman" w:cs="Times New Roman"/>
        </w:rPr>
        <w:t>，</w:t>
      </w:r>
      <w:r w:rsidRPr="00356B99">
        <w:rPr>
          <w:rFonts w:ascii="Times New Roman" w:hAnsi="Times New Roman" w:cs="Times New Roman"/>
        </w:rPr>
        <w:t>2012</w:t>
      </w:r>
      <w:r w:rsidRPr="00356B99">
        <w:rPr>
          <w:rFonts w:ascii="Times New Roman" w:hAnsi="Times New Roman" w:cs="Times New Roman"/>
        </w:rPr>
        <w:t>，《中國大陸石化產業區域聚落現況與規劃》，</w:t>
      </w:r>
      <w:r w:rsidRPr="00356B99">
        <w:rPr>
          <w:rFonts w:ascii="Times New Roman" w:hAnsi="Times New Roman" w:cs="Times New Roman"/>
        </w:rPr>
        <w:t>1</w:t>
      </w:r>
      <w:r w:rsidRPr="00356B99">
        <w:rPr>
          <w:rFonts w:ascii="Times New Roman" w:hAnsi="Times New Roman" w:cs="Times New Roman"/>
        </w:rPr>
        <w:t>月</w:t>
      </w:r>
      <w:r w:rsidRPr="00356B99">
        <w:rPr>
          <w:rFonts w:ascii="Times New Roman" w:hAnsi="Times New Roman" w:cs="Times New Roman"/>
        </w:rPr>
        <w:t>20</w:t>
      </w:r>
      <w:r w:rsidRPr="00356B99">
        <w:rPr>
          <w:rFonts w:ascii="Times New Roman" w:hAnsi="Times New Roman" w:cs="Times New Roman"/>
        </w:rPr>
        <w:t>日，苦勞網，</w:t>
      </w:r>
      <w:r w:rsidRPr="00356B99">
        <w:rPr>
          <w:rFonts w:ascii="Times New Roman" w:hAnsi="Times New Roman" w:cs="Times New Roman"/>
        </w:rPr>
        <w:t>http://www.coolloud.org.tw/node/66265</w:t>
      </w:r>
    </w:p>
  </w:footnote>
  <w:footnote w:id="79">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將健康照護過程分為健康管理、疾病預防、疾病診斷、疾病治療、復健與療後之五階段，則智慧健康照護產業可劃分成三大子產業：「智慧健康服務」、「智慧醫療服務」、「智慧照護服務」。「智慧健康服務」涵蓋健康管理與疾病預防階段之保健目的，主要提供個人飲食管理、運動管理或睡眠應用等服務；「智慧醫療服務」涵蓋疾病預防、疾病診斷與疾病治療階段之醫療目的，主要提供醫療系統、用藥管理與病患管理等緊急處置及遠距會診服務；「智慧照護服務」則涵蓋疾病治療、復健與療後之照護目的，主要提供慢性病管理、居家照護、生活支援等服務。</w:t>
      </w:r>
    </w:p>
  </w:footnote>
  <w:footnote w:id="8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陳景松，資策會，《從智慧醫療看臺灣工業電腦業者在醫療領域之佈局現況》，</w:t>
      </w:r>
      <w:hyperlink r:id="rId52" w:history="1">
        <w:r w:rsidRPr="00356B99">
          <w:rPr>
            <w:rStyle w:val="aa"/>
            <w:rFonts w:ascii="Times New Roman" w:hAnsi="Times New Roman" w:cs="Times New Roman"/>
            <w:color w:val="auto"/>
          </w:rPr>
          <w:t>http://www.nspark.org.tw/webfiles/files/MIC_0914_02.pdf</w:t>
        </w:r>
      </w:hyperlink>
      <w:r w:rsidRPr="00356B99">
        <w:rPr>
          <w:rFonts w:ascii="Times New Roman" w:hAnsi="Times New Roman" w:cs="Times New Roman"/>
        </w:rPr>
        <w:t xml:space="preserve"> (</w:t>
      </w:r>
      <w:r w:rsidRPr="00356B99">
        <w:rPr>
          <w:rFonts w:ascii="Times New Roman" w:hAnsi="Times New Roman" w:cs="Times New Roman"/>
        </w:rPr>
        <w:t>最後瀏覽日期</w:t>
      </w:r>
      <w:r w:rsidRPr="00356B99">
        <w:rPr>
          <w:rFonts w:ascii="Times New Roman" w:hAnsi="Times New Roman" w:cs="Times New Roman"/>
        </w:rPr>
        <w:t>: 2016.8.4)</w:t>
      </w:r>
    </w:p>
  </w:footnote>
  <w:footnote w:id="8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時報資訊，</w:t>
      </w:r>
      <w:r w:rsidRPr="00356B99">
        <w:rPr>
          <w:rFonts w:ascii="Times New Roman" w:hAnsi="Times New Roman" w:cs="Times New Roman"/>
        </w:rPr>
        <w:t>2015</w:t>
      </w:r>
      <w:r w:rsidRPr="00356B99">
        <w:rPr>
          <w:rFonts w:ascii="Times New Roman" w:hAnsi="Times New Roman" w:cs="Times New Roman"/>
        </w:rPr>
        <w:t>，《智慧醫療旺</w:t>
      </w:r>
      <w:r w:rsidRPr="00356B99">
        <w:rPr>
          <w:rFonts w:ascii="Times New Roman" w:hAnsi="Times New Roman" w:cs="Times New Roman"/>
        </w:rPr>
        <w:t>PC</w:t>
      </w:r>
      <w:r w:rsidRPr="00356B99">
        <w:rPr>
          <w:rFonts w:ascii="Times New Roman" w:hAnsi="Times New Roman" w:cs="Times New Roman"/>
        </w:rPr>
        <w:t>三雄壓對寶》，</w:t>
      </w:r>
      <w:r w:rsidRPr="00356B99">
        <w:rPr>
          <w:rFonts w:ascii="Times New Roman" w:hAnsi="Times New Roman" w:cs="Times New Roman"/>
        </w:rPr>
        <w:t>11</w:t>
      </w:r>
      <w:r w:rsidRPr="00356B99">
        <w:rPr>
          <w:rFonts w:ascii="Times New Roman" w:hAnsi="Times New Roman" w:cs="Times New Roman"/>
        </w:rPr>
        <w:t>月</w:t>
      </w:r>
      <w:r w:rsidRPr="00356B99">
        <w:rPr>
          <w:rFonts w:ascii="Times New Roman" w:hAnsi="Times New Roman" w:cs="Times New Roman"/>
        </w:rPr>
        <w:t>24</w:t>
      </w:r>
      <w:r w:rsidRPr="00356B99">
        <w:rPr>
          <w:rFonts w:ascii="Times New Roman" w:hAnsi="Times New Roman" w:cs="Times New Roman"/>
        </w:rPr>
        <w:t>日。</w:t>
      </w:r>
    </w:p>
  </w:footnote>
  <w:footnote w:id="8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依我國「醫療器材分類分級」，將醫療器材劃分為四大類：診斷與監測用醫療器材、手術與治療用醫療器材、體外診斷器材、輔助與彌補用醫療器材、其他類醫療器材。</w:t>
      </w:r>
    </w:p>
  </w:footnote>
  <w:footnote w:id="8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農委會，「精緻農業健康卓越方案」。</w:t>
      </w:r>
    </w:p>
  </w:footnote>
  <w:footnote w:id="8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農食鏈統計範圍包含初級農林漁牧業、食品飲</w:t>
      </w:r>
      <w:r w:rsidRPr="00356B99">
        <w:rPr>
          <w:rFonts w:ascii="Times New Roman" w:hAnsi="Times New Roman" w:cs="Times New Roman"/>
        </w:rPr>
        <w:t xml:space="preserve"> </w:t>
      </w:r>
      <w:r w:rsidRPr="00356B99">
        <w:rPr>
          <w:rFonts w:ascii="Times New Roman" w:hAnsi="Times New Roman" w:cs="Times New Roman"/>
        </w:rPr>
        <w:t>料製造業、食品飲料批發業、食品飲料零售業及餐飲業。</w:t>
      </w:r>
    </w:p>
  </w:footnote>
  <w:footnote w:id="85">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農委會：</w:t>
      </w:r>
      <w:r w:rsidRPr="00356B99">
        <w:rPr>
          <w:rFonts w:ascii="Times New Roman" w:hAnsi="Times New Roman" w:cs="Times New Roman"/>
        </w:rPr>
        <w:t>102</w:t>
      </w:r>
      <w:r w:rsidRPr="00356B99">
        <w:rPr>
          <w:rFonts w:ascii="Times New Roman" w:hAnsi="Times New Roman" w:cs="Times New Roman"/>
        </w:rPr>
        <w:t>年休耕面積少</w:t>
      </w:r>
      <w:r w:rsidRPr="00356B99">
        <w:rPr>
          <w:rFonts w:ascii="Times New Roman" w:hAnsi="Times New Roman" w:cs="Times New Roman"/>
        </w:rPr>
        <w:t>8.8</w:t>
      </w:r>
      <w:r w:rsidRPr="00356B99">
        <w:rPr>
          <w:rFonts w:ascii="Times New Roman" w:hAnsi="Times New Roman" w:cs="Times New Roman"/>
        </w:rPr>
        <w:t>萬公頃，</w:t>
      </w:r>
      <w:hyperlink r:id="rId53" w:history="1">
        <w:r w:rsidRPr="00356B99">
          <w:rPr>
            <w:rStyle w:val="aa"/>
            <w:rFonts w:ascii="Times New Roman" w:hAnsi="Times New Roman" w:cs="Times New Roman"/>
            <w:color w:val="auto"/>
          </w:rPr>
          <w:t>http://www.chinatimes.com/realtimenews/20140312004400-260407</w:t>
        </w:r>
      </w:hyperlink>
      <w:r w:rsidRPr="00356B99">
        <w:rPr>
          <w:rFonts w:ascii="Times New Roman" w:hAnsi="Times New Roman" w:cs="Times New Roman"/>
        </w:rPr>
        <w:t>。</w:t>
      </w:r>
    </w:p>
  </w:footnote>
  <w:footnote w:id="86">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行政院國情簡介，</w:t>
      </w:r>
      <w:hyperlink r:id="rId54" w:history="1">
        <w:r w:rsidRPr="00356B99">
          <w:rPr>
            <w:rStyle w:val="aa"/>
            <w:rFonts w:ascii="Times New Roman" w:hAnsi="Times New Roman" w:cs="Times New Roman"/>
            <w:color w:val="auto"/>
          </w:rPr>
          <w:t>http://www.ey.gov.tw/state/News_Content3.aspx?n=3F00F60B9FC304D7&amp;s=2FE35E5B857F7A92</w:t>
        </w:r>
      </w:hyperlink>
      <w:r w:rsidRPr="00356B99">
        <w:rPr>
          <w:rFonts w:ascii="Times New Roman" w:hAnsi="Times New Roman" w:cs="Times New Roman"/>
        </w:rPr>
        <w:t>。</w:t>
      </w:r>
    </w:p>
  </w:footnote>
  <w:footnote w:id="8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農委會，農政與農情，</w:t>
      </w:r>
      <w:r w:rsidRPr="00356B99">
        <w:rPr>
          <w:rFonts w:ascii="Times New Roman" w:hAnsi="Times New Roman" w:cs="Times New Roman"/>
        </w:rPr>
        <w:t>2015</w:t>
      </w:r>
      <w:r w:rsidRPr="00356B99">
        <w:rPr>
          <w:rFonts w:ascii="Times New Roman" w:hAnsi="Times New Roman" w:cs="Times New Roman"/>
        </w:rPr>
        <w:t>年</w:t>
      </w:r>
      <w:r w:rsidRPr="00356B99">
        <w:rPr>
          <w:rFonts w:ascii="Times New Roman" w:hAnsi="Times New Roman" w:cs="Times New Roman"/>
        </w:rPr>
        <w:t>4</w:t>
      </w:r>
      <w:r w:rsidRPr="00356B99">
        <w:rPr>
          <w:rFonts w:ascii="Times New Roman" w:hAnsi="Times New Roman" w:cs="Times New Roman"/>
        </w:rPr>
        <w:t>月（第</w:t>
      </w:r>
      <w:r w:rsidRPr="00356B99">
        <w:rPr>
          <w:rFonts w:ascii="Times New Roman" w:hAnsi="Times New Roman" w:cs="Times New Roman"/>
        </w:rPr>
        <w:t>274</w:t>
      </w:r>
      <w:r w:rsidRPr="00356B99">
        <w:rPr>
          <w:rFonts w:ascii="Times New Roman" w:hAnsi="Times New Roman" w:cs="Times New Roman"/>
        </w:rPr>
        <w:t>期）。</w:t>
      </w:r>
    </w:p>
  </w:footnote>
  <w:footnote w:id="8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吳秋萍，</w:t>
      </w:r>
      <w:r w:rsidRPr="00356B99">
        <w:rPr>
          <w:rFonts w:ascii="Times New Roman" w:hAnsi="Times New Roman" w:cs="Times New Roman"/>
        </w:rPr>
        <w:t>2015</w:t>
      </w:r>
      <w:r w:rsidRPr="00356B99">
        <w:rPr>
          <w:rFonts w:ascii="Times New Roman" w:hAnsi="Times New Roman" w:cs="Times New Roman"/>
        </w:rPr>
        <w:t>年。觀賞魚與周邊產品產業之市場動態與我國競爭力簡析。</w:t>
      </w:r>
    </w:p>
  </w:footnote>
  <w:footnote w:id="89">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行政院生產力</w:t>
      </w:r>
      <w:r w:rsidRPr="00356B99">
        <w:rPr>
          <w:rFonts w:ascii="Times New Roman" w:hAnsi="Times New Roman" w:cs="Times New Roman"/>
        </w:rPr>
        <w:t>4.0</w:t>
      </w:r>
      <w:r w:rsidRPr="00356B99">
        <w:rPr>
          <w:rFonts w:ascii="Times New Roman" w:hAnsi="Times New Roman" w:cs="Times New Roman"/>
        </w:rPr>
        <w:t>發展方案。</w:t>
      </w:r>
    </w:p>
  </w:footnote>
  <w:footnote w:id="9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吳碧娥，</w:t>
      </w:r>
      <w:r w:rsidRPr="00356B99">
        <w:rPr>
          <w:rFonts w:ascii="Times New Roman" w:hAnsi="Times New Roman" w:cs="Times New Roman"/>
        </w:rPr>
        <w:t>2016</w:t>
      </w:r>
      <w:r w:rsidRPr="00356B99">
        <w:rPr>
          <w:rFonts w:ascii="Times New Roman" w:hAnsi="Times New Roman" w:cs="Times New Roman"/>
        </w:rPr>
        <w:t>年，〈臺灣</w:t>
      </w:r>
      <w:r w:rsidRPr="00356B99">
        <w:rPr>
          <w:rFonts w:ascii="Times New Roman" w:hAnsi="Times New Roman" w:cs="Times New Roman"/>
        </w:rPr>
        <w:t>ETC</w:t>
      </w:r>
      <w:r w:rsidRPr="00356B99">
        <w:rPr>
          <w:rFonts w:ascii="Times New Roman" w:hAnsi="Times New Roman" w:cs="Times New Roman"/>
        </w:rPr>
        <w:t>三項「世界第一」</w:t>
      </w:r>
      <w:r w:rsidRPr="00356B99">
        <w:rPr>
          <w:rFonts w:ascii="Times New Roman" w:hAnsi="Times New Roman" w:cs="Times New Roman"/>
        </w:rPr>
        <w:t xml:space="preserve"> </w:t>
      </w:r>
      <w:r w:rsidRPr="00356B99">
        <w:rPr>
          <w:rFonts w:ascii="Times New Roman" w:hAnsi="Times New Roman" w:cs="Times New Roman"/>
        </w:rPr>
        <w:t>帶動智慧交通海外輸出大商機！〉，北美智權報，</w:t>
      </w:r>
      <w:r w:rsidRPr="00356B99">
        <w:rPr>
          <w:rFonts w:ascii="Times New Roman" w:hAnsi="Times New Roman" w:cs="Times New Roman"/>
        </w:rPr>
        <w:t>4</w:t>
      </w:r>
      <w:r w:rsidRPr="00356B99">
        <w:rPr>
          <w:rFonts w:ascii="Times New Roman" w:hAnsi="Times New Roman" w:cs="Times New Roman"/>
        </w:rPr>
        <w:t>月</w:t>
      </w:r>
      <w:r w:rsidRPr="00356B99">
        <w:rPr>
          <w:rFonts w:ascii="Times New Roman" w:hAnsi="Times New Roman" w:cs="Times New Roman"/>
        </w:rPr>
        <w:t>7</w:t>
      </w:r>
      <w:r w:rsidRPr="00356B99">
        <w:rPr>
          <w:rFonts w:ascii="Times New Roman" w:hAnsi="Times New Roman" w:cs="Times New Roman"/>
        </w:rPr>
        <w:t>日。</w:t>
      </w:r>
      <w:hyperlink r:id="rId55" w:history="1">
        <w:r w:rsidRPr="00356B99">
          <w:rPr>
            <w:rStyle w:val="aa"/>
            <w:rFonts w:ascii="Times New Roman" w:hAnsi="Times New Roman" w:cs="Times New Roman"/>
            <w:color w:val="auto"/>
          </w:rPr>
          <w:t>http://www.naipo.com/Portals/1/web_tw/Knowledge_Center/Industry_Economy/IPNC_160401_0702.htm</w:t>
        </w:r>
      </w:hyperlink>
      <w:r w:rsidRPr="00356B99">
        <w:rPr>
          <w:rFonts w:ascii="Times New Roman" w:hAnsi="Times New Roman" w:cs="Times New Roman"/>
        </w:rPr>
        <w:t xml:space="preserve"> </w:t>
      </w:r>
    </w:p>
  </w:footnote>
  <w:footnote w:id="9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經濟日報，</w:t>
      </w:r>
      <w:r w:rsidRPr="00356B99">
        <w:rPr>
          <w:rFonts w:ascii="Times New Roman" w:hAnsi="Times New Roman" w:cs="Times New Roman"/>
        </w:rPr>
        <w:t>2015</w:t>
      </w:r>
      <w:r w:rsidRPr="00356B99">
        <w:rPr>
          <w:rFonts w:ascii="Times New Roman" w:hAnsi="Times New Roman" w:cs="Times New Roman"/>
        </w:rPr>
        <w:t>年，〈</w:t>
      </w:r>
      <w:r w:rsidRPr="00356B99">
        <w:rPr>
          <w:rFonts w:ascii="Times New Roman" w:hAnsi="Times New Roman" w:cs="Times New Roman"/>
        </w:rPr>
        <w:t>ETC</w:t>
      </w:r>
      <w:r w:rsidRPr="00356B99">
        <w:rPr>
          <w:rFonts w:ascii="Times New Roman" w:hAnsi="Times New Roman" w:cs="Times New Roman"/>
        </w:rPr>
        <w:t>征印尼</w:t>
      </w:r>
      <w:r w:rsidRPr="00356B99">
        <w:rPr>
          <w:rFonts w:ascii="Times New Roman" w:hAnsi="Times New Roman" w:cs="Times New Roman"/>
        </w:rPr>
        <w:t xml:space="preserve"> </w:t>
      </w:r>
      <w:r w:rsidRPr="00356B99">
        <w:rPr>
          <w:rFonts w:ascii="Times New Roman" w:hAnsi="Times New Roman" w:cs="Times New Roman"/>
        </w:rPr>
        <w:t>雅加達「堵城」有解〉，</w:t>
      </w:r>
      <w:r w:rsidRPr="00356B99">
        <w:rPr>
          <w:rFonts w:ascii="Times New Roman" w:hAnsi="Times New Roman" w:cs="Times New Roman"/>
        </w:rPr>
        <w:t>10</w:t>
      </w:r>
      <w:r w:rsidRPr="00356B99">
        <w:rPr>
          <w:rFonts w:ascii="Times New Roman" w:hAnsi="Times New Roman" w:cs="Times New Roman"/>
        </w:rPr>
        <w:t>月</w:t>
      </w:r>
      <w:r w:rsidRPr="00356B99">
        <w:rPr>
          <w:rFonts w:ascii="Times New Roman" w:hAnsi="Times New Roman" w:cs="Times New Roman"/>
        </w:rPr>
        <w:t>3</w:t>
      </w:r>
      <w:r w:rsidRPr="00356B99">
        <w:rPr>
          <w:rFonts w:ascii="Times New Roman" w:hAnsi="Times New Roman" w:cs="Times New Roman"/>
        </w:rPr>
        <w:t>日。</w:t>
      </w:r>
      <w:hyperlink r:id="rId56" w:history="1">
        <w:r w:rsidRPr="00356B99">
          <w:rPr>
            <w:rStyle w:val="aa"/>
            <w:rFonts w:ascii="Times New Roman" w:hAnsi="Times New Roman" w:cs="Times New Roman"/>
            <w:color w:val="auto"/>
          </w:rPr>
          <w:t>http://udn.com/news/story/7238/1225944-ETC%E5%BE%81%E5%8D%B0%E5%B0%BC-%E9%9B%85%E5%8A%A0%E9%81%94%E3%80%8C%E5%A0%B5%E5%9F%8E%E3%80%8D%E6%9C%89%E8%A7%A3</w:t>
        </w:r>
      </w:hyperlink>
      <w:r w:rsidRPr="00356B99">
        <w:rPr>
          <w:rFonts w:ascii="Times New Roman" w:hAnsi="Times New Roman" w:cs="Times New Roman"/>
        </w:rPr>
        <w:t xml:space="preserve"> </w:t>
      </w:r>
    </w:p>
  </w:footnote>
  <w:footnote w:id="9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林志杰，</w:t>
      </w:r>
      <w:r w:rsidRPr="00356B99">
        <w:rPr>
          <w:rFonts w:ascii="Times New Roman" w:hAnsi="Times New Roman" w:cs="Times New Roman"/>
        </w:rPr>
        <w:t>2007</w:t>
      </w:r>
      <w:r w:rsidRPr="00356B99">
        <w:rPr>
          <w:rFonts w:ascii="Times New Roman" w:hAnsi="Times New Roman" w:cs="Times New Roman"/>
        </w:rPr>
        <w:t>年，〈新加坡電子道路定價策略　降低車流量更減少溫室氣體〉，財團法人資訊工業策進會</w:t>
      </w:r>
      <w:r w:rsidRPr="00356B99">
        <w:rPr>
          <w:rFonts w:ascii="Times New Roman" w:hAnsi="Times New Roman" w:cs="Times New Roman"/>
        </w:rPr>
        <w:t xml:space="preserve"> </w:t>
      </w:r>
      <w:r w:rsidRPr="00356B99">
        <w:rPr>
          <w:rFonts w:ascii="Times New Roman" w:hAnsi="Times New Roman" w:cs="Times New Roman"/>
        </w:rPr>
        <w:t>創新應用服務研究所，</w:t>
      </w:r>
      <w:r w:rsidRPr="00356B99">
        <w:rPr>
          <w:rFonts w:ascii="Times New Roman" w:hAnsi="Times New Roman" w:cs="Times New Roman"/>
        </w:rPr>
        <w:t>6</w:t>
      </w:r>
      <w:r w:rsidRPr="00356B99">
        <w:rPr>
          <w:rFonts w:ascii="Times New Roman" w:hAnsi="Times New Roman" w:cs="Times New Roman"/>
        </w:rPr>
        <w:t>月</w:t>
      </w:r>
      <w:r w:rsidRPr="00356B99">
        <w:rPr>
          <w:rFonts w:ascii="Times New Roman" w:hAnsi="Times New Roman" w:cs="Times New Roman"/>
        </w:rPr>
        <w:t>28</w:t>
      </w:r>
      <w:r w:rsidRPr="00356B99">
        <w:rPr>
          <w:rFonts w:ascii="Times New Roman" w:hAnsi="Times New Roman" w:cs="Times New Roman"/>
        </w:rPr>
        <w:t>日。</w:t>
      </w:r>
      <w:hyperlink r:id="rId57" w:history="1">
        <w:r w:rsidRPr="00356B99">
          <w:rPr>
            <w:rStyle w:val="aa"/>
            <w:rFonts w:ascii="Times New Roman" w:hAnsi="Times New Roman" w:cs="Times New Roman"/>
            <w:color w:val="auto"/>
          </w:rPr>
          <w:t>http://www.find.org.tw/market_info.aspx?n_ID=4398</w:t>
        </w:r>
      </w:hyperlink>
      <w:r w:rsidRPr="00356B99">
        <w:rPr>
          <w:rFonts w:ascii="Times New Roman" w:hAnsi="Times New Roman" w:cs="Times New Roman"/>
        </w:rPr>
        <w:t xml:space="preserve"> </w:t>
      </w:r>
    </w:p>
  </w:footnote>
  <w:footnote w:id="9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神通資科，〈神通智慧校園</w:t>
      </w:r>
      <w:r w:rsidRPr="00356B99">
        <w:rPr>
          <w:rFonts w:ascii="Times New Roman" w:hAnsi="Times New Roman" w:cs="Times New Roman"/>
        </w:rPr>
        <w:t xml:space="preserve"> </w:t>
      </w:r>
      <w:r w:rsidRPr="00356B99">
        <w:rPr>
          <w:rFonts w:ascii="Times New Roman" w:hAnsi="Times New Roman" w:cs="Times New Roman"/>
        </w:rPr>
        <w:t>遠赴越南樹立標竿〉。</w:t>
      </w:r>
      <w:hyperlink r:id="rId58" w:history="1">
        <w:r w:rsidRPr="00356B99">
          <w:rPr>
            <w:rStyle w:val="aa"/>
            <w:rFonts w:ascii="Times New Roman" w:hAnsi="Times New Roman" w:cs="Times New Roman"/>
            <w:color w:val="auto"/>
          </w:rPr>
          <w:t>http://www.mitac.com.tw/cn/pdf/P.21%20%E7%A5%9E%E9%80%9A%E6%99%BA%E6%85%A7%E6%A0%A1%E5%9C%92.pdf</w:t>
        </w:r>
      </w:hyperlink>
      <w:r w:rsidRPr="00356B99">
        <w:rPr>
          <w:rFonts w:ascii="Times New Roman" w:hAnsi="Times New Roman" w:cs="Times New Roman"/>
        </w:rPr>
        <w:t xml:space="preserve"> </w:t>
      </w:r>
      <w:r w:rsidRPr="00356B99">
        <w:rPr>
          <w:rFonts w:ascii="Times New Roman" w:hAnsi="Times New Roman" w:cs="Times New Roman"/>
        </w:rPr>
        <w:t>查詢日期：</w:t>
      </w:r>
      <w:r w:rsidRPr="00356B99">
        <w:rPr>
          <w:rFonts w:ascii="Times New Roman" w:hAnsi="Times New Roman" w:cs="Times New Roman"/>
        </w:rPr>
        <w:t>2016/8/5</w:t>
      </w:r>
      <w:r w:rsidRPr="00356B99">
        <w:rPr>
          <w:rFonts w:ascii="Times New Roman" w:hAnsi="Times New Roman" w:cs="Times New Roman"/>
        </w:rPr>
        <w:t>。</w:t>
      </w:r>
    </w:p>
  </w:footnote>
  <w:footnote w:id="9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財團法人資訊工業策進會，</w:t>
      </w:r>
      <w:r w:rsidRPr="00356B99">
        <w:rPr>
          <w:rFonts w:ascii="Times New Roman" w:hAnsi="Times New Roman" w:cs="Times New Roman"/>
        </w:rPr>
        <w:t>2016</w:t>
      </w:r>
      <w:r w:rsidRPr="00356B99">
        <w:rPr>
          <w:rFonts w:ascii="Times New Roman" w:hAnsi="Times New Roman" w:cs="Times New Roman"/>
        </w:rPr>
        <w:t>年，〈臺灣電子化政府與資通訊應用軟實力驚艷寮國〉，</w:t>
      </w:r>
      <w:r w:rsidRPr="00356B99">
        <w:rPr>
          <w:rFonts w:ascii="Times New Roman" w:hAnsi="Times New Roman" w:cs="Times New Roman"/>
        </w:rPr>
        <w:t>6</w:t>
      </w:r>
      <w:r w:rsidRPr="00356B99">
        <w:rPr>
          <w:rFonts w:ascii="Times New Roman" w:hAnsi="Times New Roman" w:cs="Times New Roman"/>
        </w:rPr>
        <w:t>月</w:t>
      </w:r>
      <w:r w:rsidRPr="00356B99">
        <w:rPr>
          <w:rFonts w:ascii="Times New Roman" w:hAnsi="Times New Roman" w:cs="Times New Roman"/>
        </w:rPr>
        <w:t>22</w:t>
      </w:r>
      <w:r w:rsidRPr="00356B99">
        <w:rPr>
          <w:rFonts w:ascii="Times New Roman" w:hAnsi="Times New Roman" w:cs="Times New Roman"/>
        </w:rPr>
        <w:t>日。</w:t>
      </w:r>
      <w:hyperlink r:id="rId59" w:history="1">
        <w:r w:rsidRPr="00356B99">
          <w:rPr>
            <w:rStyle w:val="aa"/>
            <w:rFonts w:ascii="Times New Roman" w:hAnsi="Times New Roman" w:cs="Times New Roman"/>
            <w:color w:val="auto"/>
          </w:rPr>
          <w:t>http://www.iii.org.tw/Press/NewsDtl.aspx?nsp_sqno=1738&amp;fm_sqno=14</w:t>
        </w:r>
      </w:hyperlink>
      <w:r w:rsidRPr="00356B99">
        <w:rPr>
          <w:rFonts w:ascii="Times New Roman" w:hAnsi="Times New Roman" w:cs="Times New Roman"/>
        </w:rPr>
        <w:t xml:space="preserve"> </w:t>
      </w:r>
    </w:p>
  </w:footnote>
  <w:footnote w:id="95">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經濟部駐新加坡臺北代表處經濟組，</w:t>
      </w:r>
      <w:r w:rsidRPr="00356B99">
        <w:rPr>
          <w:rFonts w:ascii="Times New Roman" w:hAnsi="Times New Roman" w:cs="Times New Roman"/>
        </w:rPr>
        <w:t>2016</w:t>
      </w:r>
      <w:r w:rsidRPr="00356B99">
        <w:rPr>
          <w:rFonts w:ascii="Times New Roman" w:hAnsi="Times New Roman" w:cs="Times New Roman"/>
        </w:rPr>
        <w:t>，〈受人均收入增加、中產階級擴張及電子商務崛起所賜，東協零售業將快速發展〉，</w:t>
      </w:r>
      <w:r w:rsidRPr="00356B99">
        <w:rPr>
          <w:rFonts w:ascii="Times New Roman" w:hAnsi="Times New Roman" w:cs="Times New Roman"/>
        </w:rPr>
        <w:t>7</w:t>
      </w:r>
      <w:r w:rsidRPr="00356B99">
        <w:rPr>
          <w:rFonts w:ascii="Times New Roman" w:hAnsi="Times New Roman" w:cs="Times New Roman"/>
        </w:rPr>
        <w:t>月</w:t>
      </w:r>
      <w:r w:rsidRPr="00356B99">
        <w:rPr>
          <w:rFonts w:ascii="Times New Roman" w:hAnsi="Times New Roman" w:cs="Times New Roman"/>
        </w:rPr>
        <w:t>8</w:t>
      </w:r>
      <w:r w:rsidRPr="00356B99">
        <w:rPr>
          <w:rFonts w:ascii="Times New Roman" w:hAnsi="Times New Roman" w:cs="Times New Roman"/>
        </w:rPr>
        <w:t>日。</w:t>
      </w:r>
      <w:hyperlink r:id="rId60" w:history="1">
        <w:r w:rsidRPr="00356B99">
          <w:rPr>
            <w:rStyle w:val="aa"/>
            <w:rFonts w:ascii="Times New Roman" w:hAnsi="Times New Roman" w:cs="Times New Roman"/>
            <w:color w:val="auto"/>
          </w:rPr>
          <w:t>http://info.taiwantrade.com/CH/bizsearchdetail/8288317/C?keyword0=</w:t>
        </w:r>
      </w:hyperlink>
    </w:p>
  </w:footnote>
  <w:footnote w:id="96">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臺經觀點，</w:t>
      </w:r>
      <w:r w:rsidRPr="00356B99">
        <w:rPr>
          <w:rFonts w:ascii="Times New Roman" w:hAnsi="Times New Roman" w:cs="Times New Roman"/>
        </w:rPr>
        <w:t>2016</w:t>
      </w:r>
      <w:r w:rsidRPr="00356B99">
        <w:rPr>
          <w:rFonts w:ascii="Times New Roman" w:hAnsi="Times New Roman" w:cs="Times New Roman"/>
        </w:rPr>
        <w:t>，〈迎接伊斯蘭商機〉，</w:t>
      </w:r>
      <w:r w:rsidRPr="00356B99">
        <w:rPr>
          <w:rFonts w:ascii="Times New Roman" w:hAnsi="Times New Roman" w:cs="Times New Roman"/>
        </w:rPr>
        <w:t xml:space="preserve"> 7</w:t>
      </w:r>
      <w:r w:rsidRPr="00356B99">
        <w:rPr>
          <w:rFonts w:ascii="Times New Roman" w:hAnsi="Times New Roman" w:cs="Times New Roman"/>
        </w:rPr>
        <w:t>月</w:t>
      </w:r>
      <w:r w:rsidRPr="00356B99">
        <w:rPr>
          <w:rFonts w:ascii="Times New Roman" w:hAnsi="Times New Roman" w:cs="Times New Roman"/>
        </w:rPr>
        <w:t>7</w:t>
      </w:r>
      <w:r w:rsidRPr="00356B99">
        <w:rPr>
          <w:rFonts w:ascii="Times New Roman" w:hAnsi="Times New Roman" w:cs="Times New Roman"/>
        </w:rPr>
        <w:t>日。</w:t>
      </w:r>
      <w:hyperlink r:id="rId61" w:history="1">
        <w:r w:rsidRPr="00356B99">
          <w:rPr>
            <w:rStyle w:val="aa"/>
            <w:rFonts w:ascii="Times New Roman" w:hAnsi="Times New Roman" w:cs="Times New Roman"/>
            <w:color w:val="auto"/>
          </w:rPr>
          <w:t>http://www.tier.org.tw/comment/pec1010.aspx?GUID=86c4a348-e5f9-410e-9c71-b036699f4ead</w:t>
        </w:r>
      </w:hyperlink>
      <w:r w:rsidRPr="00356B99">
        <w:rPr>
          <w:rFonts w:ascii="Times New Roman" w:hAnsi="Times New Roman" w:cs="Times New Roman"/>
        </w:rPr>
        <w:t xml:space="preserve"> </w:t>
      </w:r>
    </w:p>
  </w:footnote>
  <w:footnote w:id="97">
    <w:p w:rsidR="00441968" w:rsidRPr="00356B99" w:rsidRDefault="00441968" w:rsidP="00E078C6">
      <w:pPr>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w:t>
      </w:r>
      <w:r w:rsidRPr="00356B99">
        <w:rPr>
          <w:rFonts w:ascii="Times New Roman" w:hAnsi="Times New Roman" w:cs="Times New Roman"/>
          <w:i/>
          <w:sz w:val="20"/>
          <w:szCs w:val="20"/>
        </w:rPr>
        <w:t>The Economist</w:t>
      </w:r>
      <w:r w:rsidRPr="00356B99">
        <w:rPr>
          <w:rFonts w:ascii="Times New Roman" w:hAnsi="Times New Roman" w:cs="Times New Roman"/>
          <w:sz w:val="20"/>
          <w:szCs w:val="20"/>
        </w:rPr>
        <w:t>, 2016. “India online.” March 5.</w:t>
      </w:r>
      <w:r w:rsidRPr="00356B99">
        <w:rPr>
          <w:rFonts w:ascii="Times New Roman" w:hAnsi="Times New Roman" w:cs="Times New Roman"/>
          <w:sz w:val="20"/>
          <w:szCs w:val="20"/>
          <w:u w:val="single"/>
        </w:rPr>
        <w:t xml:space="preserve"> </w:t>
      </w:r>
      <w:hyperlink r:id="rId62" w:history="1">
        <w:r w:rsidRPr="00356B99">
          <w:rPr>
            <w:rStyle w:val="aa"/>
            <w:rFonts w:ascii="Times New Roman" w:hAnsi="Times New Roman" w:cs="Times New Roman"/>
            <w:color w:val="auto"/>
            <w:sz w:val="20"/>
            <w:szCs w:val="20"/>
          </w:rPr>
          <w:t>http://www.economist.com/news/leaders/21693925-battle-indias-e-commerce-market-about-much-more-retailing-india-online</w:t>
        </w:r>
      </w:hyperlink>
      <w:r w:rsidRPr="00356B99">
        <w:rPr>
          <w:rFonts w:ascii="Times New Roman" w:hAnsi="Times New Roman" w:cs="Times New Roman"/>
          <w:sz w:val="20"/>
          <w:szCs w:val="20"/>
        </w:rPr>
        <w:t xml:space="preserve"> </w:t>
      </w:r>
    </w:p>
  </w:footnote>
  <w:footnote w:id="98">
    <w:p w:rsidR="00441968" w:rsidRPr="00356B99" w:rsidRDefault="00441968" w:rsidP="00E078C6">
      <w:pPr>
        <w:pStyle w:val="a7"/>
        <w:tabs>
          <w:tab w:val="left" w:pos="567"/>
        </w:tabs>
        <w:spacing w:beforeLines="50" w:before="180" w:afterLines="50" w:after="180"/>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許景泰，</w:t>
      </w:r>
      <w:r w:rsidRPr="00356B99">
        <w:rPr>
          <w:rFonts w:ascii="Times New Roman" w:hAnsi="Times New Roman" w:cs="Times New Roman"/>
        </w:rPr>
        <w:t>2016</w:t>
      </w:r>
      <w:r w:rsidRPr="00356B99">
        <w:rPr>
          <w:rFonts w:ascii="Times New Roman" w:hAnsi="Times New Roman" w:cs="Times New Roman"/>
        </w:rPr>
        <w:t>，〈誰，適合做跨境電商？〉，電子商務名家專欄，</w:t>
      </w:r>
      <w:r w:rsidRPr="00356B99">
        <w:rPr>
          <w:rFonts w:ascii="Times New Roman" w:hAnsi="Times New Roman" w:cs="Times New Roman"/>
        </w:rPr>
        <w:t>3</w:t>
      </w:r>
      <w:r w:rsidRPr="00356B99">
        <w:rPr>
          <w:rFonts w:ascii="Times New Roman" w:hAnsi="Times New Roman" w:cs="Times New Roman"/>
        </w:rPr>
        <w:t>月</w:t>
      </w:r>
      <w:r w:rsidRPr="00356B99">
        <w:rPr>
          <w:rFonts w:ascii="Times New Roman" w:hAnsi="Times New Roman" w:cs="Times New Roman"/>
        </w:rPr>
        <w:t>30</w:t>
      </w:r>
      <w:r w:rsidRPr="00356B99">
        <w:rPr>
          <w:rFonts w:ascii="Times New Roman" w:hAnsi="Times New Roman" w:cs="Times New Roman"/>
        </w:rPr>
        <w:t>日。</w:t>
      </w:r>
      <w:hyperlink r:id="rId63" w:history="1">
        <w:r w:rsidRPr="00356B99">
          <w:rPr>
            <w:rStyle w:val="aa"/>
            <w:rFonts w:ascii="Times New Roman" w:hAnsi="Times New Roman" w:cs="Times New Roman"/>
            <w:color w:val="auto"/>
          </w:rPr>
          <w:t>http://cii.nthu.edu.tw/index.php?option=com_wrapper&amp;view=wrapper&amp;Itemid=334</w:t>
        </w:r>
      </w:hyperlink>
      <w:r w:rsidRPr="00356B99">
        <w:rPr>
          <w:rFonts w:ascii="Times New Roman" w:hAnsi="Times New Roman" w:cs="Times New Roman"/>
        </w:rPr>
        <w:t xml:space="preserve"> </w:t>
      </w:r>
    </w:p>
  </w:footnote>
  <w:footnote w:id="99">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吳文彬，</w:t>
      </w:r>
      <w:r w:rsidRPr="00356B99">
        <w:rPr>
          <w:rFonts w:ascii="Times New Roman" w:hAnsi="Times New Roman" w:cs="Times New Roman"/>
        </w:rPr>
        <w:t>2016</w:t>
      </w:r>
      <w:r w:rsidRPr="00356B99">
        <w:rPr>
          <w:rFonts w:ascii="Times New Roman" w:hAnsi="Times New Roman" w:cs="Times New Roman"/>
        </w:rPr>
        <w:t>，〈馬來西亞電商</w:t>
      </w:r>
      <w:r w:rsidRPr="00356B99">
        <w:rPr>
          <w:rFonts w:ascii="Times New Roman" w:hAnsi="Times New Roman" w:cs="Times New Roman"/>
        </w:rPr>
        <w:t>3</w:t>
      </w:r>
      <w:r w:rsidRPr="00356B99">
        <w:rPr>
          <w:rFonts w:ascii="Times New Roman" w:hAnsi="Times New Roman" w:cs="Times New Roman"/>
        </w:rPr>
        <w:t>大震撼〉，電子商務名家專欄，</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4</w:t>
      </w:r>
      <w:r w:rsidRPr="00356B99">
        <w:rPr>
          <w:rFonts w:ascii="Times New Roman" w:hAnsi="Times New Roman" w:cs="Times New Roman"/>
        </w:rPr>
        <w:t>日。</w:t>
      </w:r>
      <w:hyperlink r:id="rId64" w:history="1">
        <w:r w:rsidRPr="00356B99">
          <w:rPr>
            <w:rStyle w:val="aa"/>
            <w:rFonts w:ascii="Times New Roman" w:hAnsi="Times New Roman" w:cs="Times New Roman"/>
            <w:color w:val="auto"/>
          </w:rPr>
          <w:t xml:space="preserve">http://info.taiwantrade.com/CH/bizsearchdetail/371821/I?keyword0=%E9%9B%BB%E5%AD%90%E5%95%86%E5%8B%99%E5%90%8D%E5%AE%B6%E5%B0%88%E6%AC%84 </w:t>
        </w:r>
      </w:hyperlink>
    </w:p>
  </w:footnote>
  <w:footnote w:id="100">
    <w:p w:rsidR="00441968" w:rsidRPr="00356B99" w:rsidRDefault="00441968" w:rsidP="00E078C6">
      <w:pPr>
        <w:pStyle w:val="a7"/>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吉隆坡臺灣貿易中心，</w:t>
      </w:r>
      <w:r w:rsidRPr="00356B99">
        <w:rPr>
          <w:rFonts w:ascii="Times New Roman" w:hAnsi="Times New Roman" w:cs="Times New Roman"/>
        </w:rPr>
        <w:t>2015</w:t>
      </w:r>
      <w:r w:rsidRPr="00356B99">
        <w:rPr>
          <w:rFonts w:ascii="Times New Roman" w:hAnsi="Times New Roman" w:cs="Times New Roman"/>
        </w:rPr>
        <w:t>，〈</w:t>
      </w:r>
      <w:r w:rsidRPr="00356B99">
        <w:rPr>
          <w:rFonts w:ascii="Times New Roman" w:hAnsi="Times New Roman" w:cs="Times New Roman"/>
        </w:rPr>
        <w:t>3</w:t>
      </w:r>
      <w:r w:rsidRPr="00356B99">
        <w:rPr>
          <w:rFonts w:ascii="Times New Roman" w:hAnsi="Times New Roman" w:cs="Times New Roman"/>
        </w:rPr>
        <w:t>年後產值破千億</w:t>
      </w:r>
      <w:r w:rsidRPr="00356B99">
        <w:rPr>
          <w:rFonts w:ascii="Times New Roman" w:hAnsi="Times New Roman" w:cs="Times New Roman"/>
        </w:rPr>
        <w:t xml:space="preserve"> </w:t>
      </w:r>
      <w:r w:rsidRPr="00356B99">
        <w:rPr>
          <w:rFonts w:ascii="Times New Roman" w:hAnsi="Times New Roman" w:cs="Times New Roman"/>
        </w:rPr>
        <w:t>東南亞電子商務崛起〉，</w:t>
      </w:r>
      <w:r w:rsidRPr="00356B99">
        <w:rPr>
          <w:rFonts w:ascii="Times New Roman" w:hAnsi="Times New Roman" w:cs="Times New Roman"/>
        </w:rPr>
        <w:t>4</w:t>
      </w:r>
      <w:r w:rsidRPr="00356B99">
        <w:rPr>
          <w:rFonts w:ascii="Times New Roman" w:hAnsi="Times New Roman" w:cs="Times New Roman"/>
        </w:rPr>
        <w:t>月</w:t>
      </w:r>
      <w:r w:rsidRPr="00356B99">
        <w:rPr>
          <w:rFonts w:ascii="Times New Roman" w:hAnsi="Times New Roman" w:cs="Times New Roman"/>
        </w:rPr>
        <w:t>28</w:t>
      </w:r>
      <w:r w:rsidRPr="00356B99">
        <w:rPr>
          <w:rFonts w:ascii="Times New Roman" w:hAnsi="Times New Roman" w:cs="Times New Roman"/>
        </w:rPr>
        <w:t>日。</w:t>
      </w:r>
      <w:hyperlink r:id="rId65" w:history="1">
        <w:r w:rsidRPr="00356B99">
          <w:rPr>
            <w:rStyle w:val="aa"/>
            <w:rFonts w:ascii="Times New Roman" w:hAnsi="Times New Roman" w:cs="Times New Roman"/>
            <w:color w:val="auto"/>
          </w:rPr>
          <w:t xml:space="preserve">http://info.taiwantrade.com/CH/bizsearchdetail/358241/I </w:t>
        </w:r>
      </w:hyperlink>
    </w:p>
  </w:footnote>
  <w:footnote w:id="101">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鉅亨網，</w:t>
      </w:r>
      <w:r w:rsidRPr="00356B99">
        <w:rPr>
          <w:rFonts w:ascii="Times New Roman" w:hAnsi="Times New Roman" w:cs="Times New Roman"/>
        </w:rPr>
        <w:t>2015</w:t>
      </w:r>
      <w:r w:rsidRPr="00356B99">
        <w:rPr>
          <w:rFonts w:ascii="Times New Roman" w:hAnsi="Times New Roman" w:cs="Times New Roman"/>
        </w:rPr>
        <w:t>，〈東南亞電子商務興起下的最大受惠者：第三方物流公司〉</w:t>
      </w:r>
      <w:r w:rsidRPr="00356B99">
        <w:rPr>
          <w:rFonts w:ascii="Times New Roman" w:hAnsi="Times New Roman" w:cs="Times New Roman"/>
        </w:rPr>
        <w:t>12</w:t>
      </w:r>
      <w:r w:rsidRPr="00356B99">
        <w:rPr>
          <w:rFonts w:ascii="Times New Roman" w:hAnsi="Times New Roman" w:cs="Times New Roman"/>
        </w:rPr>
        <w:t>月</w:t>
      </w:r>
      <w:r w:rsidRPr="00356B99">
        <w:rPr>
          <w:rFonts w:ascii="Times New Roman" w:hAnsi="Times New Roman" w:cs="Times New Roman"/>
        </w:rPr>
        <w:t>23</w:t>
      </w:r>
      <w:r w:rsidRPr="00356B99">
        <w:rPr>
          <w:rFonts w:ascii="Times New Roman" w:hAnsi="Times New Roman" w:cs="Times New Roman"/>
        </w:rPr>
        <w:t>日。</w:t>
      </w:r>
    </w:p>
  </w:footnote>
  <w:footnote w:id="102">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鉅亨網，</w:t>
      </w:r>
      <w:r w:rsidRPr="00356B99">
        <w:rPr>
          <w:rFonts w:ascii="Times New Roman" w:hAnsi="Times New Roman" w:cs="Times New Roman"/>
        </w:rPr>
        <w:t>2015</w:t>
      </w:r>
      <w:r w:rsidRPr="00356B99">
        <w:rPr>
          <w:rFonts w:ascii="Times New Roman" w:hAnsi="Times New Roman" w:cs="Times New Roman"/>
        </w:rPr>
        <w:t>，〈東南亞電子商務興起下的最大受惠者：第三方物流公司〉</w:t>
      </w:r>
      <w:r w:rsidRPr="00356B99">
        <w:rPr>
          <w:rFonts w:ascii="Times New Roman" w:hAnsi="Times New Roman" w:cs="Times New Roman"/>
        </w:rPr>
        <w:t>12</w:t>
      </w:r>
      <w:r w:rsidRPr="00356B99">
        <w:rPr>
          <w:rFonts w:ascii="Times New Roman" w:hAnsi="Times New Roman" w:cs="Times New Roman"/>
        </w:rPr>
        <w:t>月</w:t>
      </w:r>
      <w:r w:rsidRPr="00356B99">
        <w:rPr>
          <w:rFonts w:ascii="Times New Roman" w:hAnsi="Times New Roman" w:cs="Times New Roman"/>
        </w:rPr>
        <w:t>23</w:t>
      </w:r>
      <w:r w:rsidRPr="00356B99">
        <w:rPr>
          <w:rFonts w:ascii="Times New Roman" w:hAnsi="Times New Roman" w:cs="Times New Roman"/>
        </w:rPr>
        <w:t>日。</w:t>
      </w:r>
    </w:p>
  </w:footnote>
  <w:footnote w:id="103">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物流技術與戰略，</w:t>
      </w:r>
      <w:r w:rsidRPr="00356B99">
        <w:rPr>
          <w:rFonts w:ascii="Times New Roman" w:hAnsi="Times New Roman" w:cs="Times New Roman"/>
        </w:rPr>
        <w:t>2015</w:t>
      </w:r>
      <w:r w:rsidRPr="00356B99">
        <w:rPr>
          <w:rFonts w:ascii="Times New Roman" w:hAnsi="Times New Roman" w:cs="Times New Roman"/>
        </w:rPr>
        <w:t>，〈東南亞物流市場開始爆發，受益於電商崛起〉，</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4</w:t>
      </w:r>
      <w:r w:rsidRPr="00356B99">
        <w:rPr>
          <w:rFonts w:ascii="Times New Roman" w:hAnsi="Times New Roman" w:cs="Times New Roman"/>
        </w:rPr>
        <w:t>日。</w:t>
      </w:r>
      <w:hyperlink r:id="rId66" w:history="1">
        <w:r w:rsidRPr="00356B99">
          <w:rPr>
            <w:rStyle w:val="aa"/>
            <w:rFonts w:ascii="Times New Roman" w:hAnsi="Times New Roman" w:cs="Times New Roman"/>
            <w:color w:val="auto"/>
          </w:rPr>
          <w:t>http://www.logisticnet.com.tw/newsCaseRunDetail.asp?id=150</w:t>
        </w:r>
      </w:hyperlink>
      <w:r w:rsidRPr="00356B99">
        <w:rPr>
          <w:rFonts w:ascii="Times New Roman" w:hAnsi="Times New Roman" w:cs="Times New Roman"/>
        </w:rPr>
        <w:t xml:space="preserve"> </w:t>
      </w:r>
    </w:p>
  </w:footnote>
  <w:footnote w:id="104">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SmartM</w:t>
      </w:r>
      <w:r w:rsidRPr="00356B99">
        <w:rPr>
          <w:rFonts w:ascii="Times New Roman" w:hAnsi="Times New Roman" w:cs="Times New Roman"/>
        </w:rPr>
        <w:t>，</w:t>
      </w:r>
      <w:r w:rsidRPr="00356B99">
        <w:rPr>
          <w:rFonts w:ascii="Times New Roman" w:hAnsi="Times New Roman" w:cs="Times New Roman"/>
        </w:rPr>
        <w:t>2015</w:t>
      </w:r>
      <w:r w:rsidRPr="00356B99">
        <w:rPr>
          <w:rFonts w:ascii="Times New Roman" w:hAnsi="Times New Roman" w:cs="Times New Roman"/>
        </w:rPr>
        <w:t>，〈南亞電商系列報導：新加坡</w:t>
      </w:r>
      <w:r w:rsidRPr="00356B99">
        <w:rPr>
          <w:rFonts w:ascii="Times New Roman" w:hAnsi="Times New Roman" w:cs="Times New Roman"/>
        </w:rPr>
        <w:t>—</w:t>
      </w:r>
      <w:r w:rsidRPr="00356B99">
        <w:rPr>
          <w:rFonts w:ascii="Times New Roman" w:hAnsi="Times New Roman" w:cs="Times New Roman"/>
        </w:rPr>
        <w:t>為何不可忽視新加坡電商？他們超級愛買，支付系統更是東南亞最健全〉，</w:t>
      </w:r>
      <w:r w:rsidRPr="00356B99">
        <w:rPr>
          <w:rFonts w:ascii="Times New Roman" w:hAnsi="Times New Roman" w:cs="Times New Roman"/>
        </w:rPr>
        <w:t>8</w:t>
      </w:r>
      <w:r w:rsidRPr="00356B99">
        <w:rPr>
          <w:rFonts w:ascii="Times New Roman" w:hAnsi="Times New Roman" w:cs="Times New Roman"/>
        </w:rPr>
        <w:t>月</w:t>
      </w:r>
      <w:r w:rsidRPr="00356B99">
        <w:rPr>
          <w:rFonts w:ascii="Times New Roman" w:hAnsi="Times New Roman" w:cs="Times New Roman"/>
        </w:rPr>
        <w:t>18</w:t>
      </w:r>
      <w:r w:rsidRPr="00356B99">
        <w:rPr>
          <w:rFonts w:ascii="Times New Roman" w:hAnsi="Times New Roman" w:cs="Times New Roman"/>
        </w:rPr>
        <w:t>日。</w:t>
      </w:r>
    </w:p>
  </w:footnote>
  <w:footnote w:id="105">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工商時報，</w:t>
      </w:r>
      <w:r w:rsidRPr="00356B99">
        <w:rPr>
          <w:rFonts w:ascii="Times New Roman" w:hAnsi="Times New Roman" w:cs="Times New Roman"/>
        </w:rPr>
        <w:t>2015</w:t>
      </w:r>
      <w:r w:rsidRPr="00356B99">
        <w:rPr>
          <w:rFonts w:ascii="Times New Roman" w:hAnsi="Times New Roman" w:cs="Times New Roman"/>
        </w:rPr>
        <w:t>，〈英業達拓點</w:t>
      </w:r>
      <w:r w:rsidRPr="00356B99">
        <w:rPr>
          <w:rFonts w:ascii="Times New Roman" w:hAnsi="Times New Roman" w:cs="Times New Roman"/>
        </w:rPr>
        <w:t xml:space="preserve"> </w:t>
      </w:r>
      <w:r w:rsidRPr="00356B99">
        <w:rPr>
          <w:rFonts w:ascii="Times New Roman" w:hAnsi="Times New Roman" w:cs="Times New Roman"/>
        </w:rPr>
        <w:t>相中日本東南亞〉，</w:t>
      </w:r>
      <w:r w:rsidRPr="00356B99">
        <w:rPr>
          <w:rFonts w:ascii="Times New Roman" w:hAnsi="Times New Roman" w:cs="Times New Roman"/>
        </w:rPr>
        <w:t>3</w:t>
      </w:r>
      <w:r w:rsidRPr="00356B99">
        <w:rPr>
          <w:rFonts w:ascii="Times New Roman" w:hAnsi="Times New Roman" w:cs="Times New Roman"/>
        </w:rPr>
        <w:t>月</w:t>
      </w:r>
      <w:r w:rsidRPr="00356B99">
        <w:rPr>
          <w:rFonts w:ascii="Times New Roman" w:hAnsi="Times New Roman" w:cs="Times New Roman"/>
        </w:rPr>
        <w:t>31</w:t>
      </w:r>
      <w:r w:rsidRPr="00356B99">
        <w:rPr>
          <w:rFonts w:ascii="Times New Roman" w:hAnsi="Times New Roman" w:cs="Times New Roman"/>
        </w:rPr>
        <w:t>日。</w:t>
      </w:r>
    </w:p>
  </w:footnote>
  <w:footnote w:id="106">
    <w:p w:rsidR="00441968" w:rsidRPr="00356B99" w:rsidRDefault="00441968" w:rsidP="00E078C6">
      <w:pPr>
        <w:ind w:left="284" w:hangingChars="142" w:hanging="284"/>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Gartnet, 2016. “Gartner Says Public Cloud Services in India Forecast to Reach $1.26 Billion in 2016.” May 5. </w:t>
      </w:r>
      <w:r w:rsidRPr="00356B99">
        <w:rPr>
          <w:rFonts w:ascii="Times New Roman" w:hAnsi="Times New Roman" w:cs="Times New Roman"/>
          <w:sz w:val="20"/>
          <w:szCs w:val="20"/>
          <w:u w:val="single"/>
        </w:rPr>
        <w:t>http://www.gartner.com/newsroom/id/3308117</w:t>
      </w:r>
    </w:p>
  </w:footnote>
  <w:footnote w:id="107">
    <w:p w:rsidR="00441968" w:rsidRPr="00356B99" w:rsidRDefault="00441968" w:rsidP="00E078C6">
      <w:pPr>
        <w:ind w:left="284" w:hangingChars="142" w:hanging="284"/>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TechNews</w:t>
      </w:r>
      <w:r w:rsidRPr="00356B99">
        <w:rPr>
          <w:rFonts w:ascii="Times New Roman" w:hAnsi="Times New Roman" w:cs="Times New Roman"/>
          <w:sz w:val="20"/>
          <w:szCs w:val="20"/>
        </w:rPr>
        <w:t>，</w:t>
      </w:r>
      <w:r w:rsidRPr="00356B99">
        <w:rPr>
          <w:rFonts w:ascii="Times New Roman" w:hAnsi="Times New Roman" w:cs="Times New Roman"/>
          <w:sz w:val="20"/>
          <w:szCs w:val="20"/>
        </w:rPr>
        <w:t>2014</w:t>
      </w:r>
      <w:r w:rsidRPr="00356B99">
        <w:rPr>
          <w:rFonts w:ascii="Times New Roman" w:hAnsi="Times New Roman" w:cs="Times New Roman"/>
          <w:sz w:val="20"/>
          <w:szCs w:val="20"/>
        </w:rPr>
        <w:t>，〈印度是雲端處女地</w:t>
      </w:r>
      <w:r w:rsidRPr="00356B99">
        <w:rPr>
          <w:rFonts w:ascii="Times New Roman" w:hAnsi="Times New Roman" w:cs="Times New Roman"/>
          <w:sz w:val="20"/>
          <w:szCs w:val="20"/>
        </w:rPr>
        <w:t xml:space="preserve"> </w:t>
      </w:r>
      <w:r w:rsidRPr="00356B99">
        <w:rPr>
          <w:rFonts w:ascii="Times New Roman" w:hAnsi="Times New Roman" w:cs="Times New Roman"/>
          <w:sz w:val="20"/>
          <w:szCs w:val="20"/>
        </w:rPr>
        <w:t>微軟擬前進開設資料中心〉，</w:t>
      </w:r>
      <w:r w:rsidRPr="00356B99">
        <w:rPr>
          <w:rFonts w:ascii="Times New Roman" w:hAnsi="Times New Roman" w:cs="Times New Roman"/>
          <w:sz w:val="20"/>
          <w:szCs w:val="20"/>
        </w:rPr>
        <w:t>8</w:t>
      </w:r>
      <w:r w:rsidRPr="00356B99">
        <w:rPr>
          <w:rFonts w:ascii="Times New Roman" w:hAnsi="Times New Roman" w:cs="Times New Roman"/>
          <w:sz w:val="20"/>
          <w:szCs w:val="20"/>
        </w:rPr>
        <w:t>月</w:t>
      </w:r>
      <w:r w:rsidRPr="00356B99">
        <w:rPr>
          <w:rFonts w:ascii="Times New Roman" w:hAnsi="Times New Roman" w:cs="Times New Roman"/>
          <w:sz w:val="20"/>
          <w:szCs w:val="20"/>
        </w:rPr>
        <w:t>6</w:t>
      </w:r>
      <w:r w:rsidRPr="00356B99">
        <w:rPr>
          <w:rFonts w:ascii="Times New Roman" w:hAnsi="Times New Roman" w:cs="Times New Roman"/>
          <w:sz w:val="20"/>
          <w:szCs w:val="20"/>
        </w:rPr>
        <w:t>日。</w:t>
      </w:r>
      <w:r w:rsidRPr="00356B99">
        <w:rPr>
          <w:rFonts w:ascii="Times New Roman" w:hAnsi="Times New Roman" w:cs="Times New Roman"/>
          <w:sz w:val="20"/>
          <w:szCs w:val="20"/>
          <w:u w:val="single"/>
        </w:rPr>
        <w:t>http://technews.tw/</w:t>
      </w:r>
      <w:smartTag w:uri="urn:schemas-microsoft-com:office:smarttags" w:element="chsdate">
        <w:smartTagPr>
          <w:attr w:name="IsROCDate" w:val="False"/>
          <w:attr w:name="IsLunarDate" w:val="False"/>
          <w:attr w:name="Day" w:val="6"/>
          <w:attr w:name="Month" w:val="8"/>
          <w:attr w:name="Year" w:val="2014"/>
        </w:smartTagPr>
        <w:r w:rsidRPr="00356B99">
          <w:rPr>
            <w:rFonts w:ascii="Times New Roman" w:hAnsi="Times New Roman" w:cs="Times New Roman"/>
            <w:sz w:val="20"/>
            <w:szCs w:val="20"/>
            <w:u w:val="single"/>
          </w:rPr>
          <w:t>2014/08/06</w:t>
        </w:r>
      </w:smartTag>
      <w:r w:rsidRPr="00356B99">
        <w:rPr>
          <w:rFonts w:ascii="Times New Roman" w:hAnsi="Times New Roman" w:cs="Times New Roman"/>
          <w:sz w:val="20"/>
          <w:szCs w:val="20"/>
          <w:u w:val="single"/>
        </w:rPr>
        <w:t>/microsoft-expected-set-data-center-in-india/</w:t>
      </w:r>
    </w:p>
  </w:footnote>
  <w:footnote w:id="108">
    <w:p w:rsidR="00441968" w:rsidRPr="00356B99" w:rsidRDefault="00441968" w:rsidP="00E078C6">
      <w:pPr>
        <w:ind w:left="284" w:hangingChars="142" w:hanging="284"/>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w:t>
      </w:r>
      <w:r w:rsidRPr="00356B99">
        <w:rPr>
          <w:rFonts w:ascii="Times New Roman" w:hAnsi="Times New Roman" w:cs="Times New Roman"/>
          <w:sz w:val="20"/>
          <w:szCs w:val="20"/>
        </w:rPr>
        <w:t>經濟日報，</w:t>
      </w:r>
      <w:r w:rsidRPr="00356B99">
        <w:rPr>
          <w:rFonts w:ascii="Times New Roman" w:hAnsi="Times New Roman" w:cs="Times New Roman"/>
          <w:sz w:val="20"/>
          <w:szCs w:val="20"/>
        </w:rPr>
        <w:t>2016</w:t>
      </w:r>
      <w:r w:rsidRPr="00356B99">
        <w:rPr>
          <w:rFonts w:ascii="Times New Roman" w:hAnsi="Times New Roman" w:cs="Times New Roman"/>
          <w:sz w:val="20"/>
          <w:szCs w:val="20"/>
        </w:rPr>
        <w:t>，〈宏碁搶進印度雲服務〉</w:t>
      </w:r>
      <w:r w:rsidRPr="00356B99">
        <w:rPr>
          <w:rFonts w:ascii="Times New Roman" w:hAnsi="Times New Roman" w:cs="Times New Roman"/>
          <w:sz w:val="20"/>
          <w:szCs w:val="20"/>
        </w:rPr>
        <w:t>1</w:t>
      </w:r>
      <w:r w:rsidRPr="00356B99">
        <w:rPr>
          <w:rFonts w:ascii="Times New Roman" w:hAnsi="Times New Roman" w:cs="Times New Roman"/>
          <w:sz w:val="20"/>
          <w:szCs w:val="20"/>
        </w:rPr>
        <w:t>月</w:t>
      </w:r>
      <w:r w:rsidRPr="00356B99">
        <w:rPr>
          <w:rFonts w:ascii="Times New Roman" w:hAnsi="Times New Roman" w:cs="Times New Roman"/>
          <w:sz w:val="20"/>
          <w:szCs w:val="20"/>
        </w:rPr>
        <w:t>4</w:t>
      </w:r>
      <w:r w:rsidRPr="00356B99">
        <w:rPr>
          <w:rFonts w:ascii="Times New Roman" w:hAnsi="Times New Roman" w:cs="Times New Roman"/>
          <w:sz w:val="20"/>
          <w:szCs w:val="20"/>
        </w:rPr>
        <w:t>日。</w:t>
      </w:r>
      <w:r w:rsidRPr="00356B99">
        <w:rPr>
          <w:rFonts w:ascii="Times New Roman" w:hAnsi="Times New Roman" w:cs="Times New Roman"/>
          <w:sz w:val="20"/>
          <w:szCs w:val="20"/>
          <w:u w:val="single"/>
        </w:rPr>
        <w:t>http://udn.com/news/story/7253/1418282</w:t>
      </w:r>
      <w:r w:rsidRPr="00356B99">
        <w:rPr>
          <w:rFonts w:ascii="Times New Roman" w:hAnsi="Times New Roman" w:cs="Times New Roman"/>
          <w:sz w:val="20"/>
          <w:szCs w:val="20"/>
        </w:rPr>
        <w:t xml:space="preserve"> </w:t>
      </w:r>
    </w:p>
  </w:footnote>
  <w:footnote w:id="109">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自</w:t>
      </w:r>
      <w:r w:rsidRPr="00356B99">
        <w:rPr>
          <w:rFonts w:ascii="Times New Roman" w:hAnsi="Times New Roman" w:cs="Times New Roman"/>
        </w:rPr>
        <w:t>1999</w:t>
      </w:r>
      <w:r w:rsidRPr="00356B99">
        <w:rPr>
          <w:rFonts w:ascii="Times New Roman" w:hAnsi="Times New Roman" w:cs="Times New Roman"/>
        </w:rPr>
        <w:t>年</w:t>
      </w:r>
      <w:r w:rsidRPr="00356B99">
        <w:rPr>
          <w:rFonts w:ascii="Times New Roman" w:hAnsi="Times New Roman" w:cs="Times New Roman"/>
        </w:rPr>
        <w:t>12</w:t>
      </w:r>
      <w:r w:rsidRPr="00356B99">
        <w:rPr>
          <w:rFonts w:ascii="Times New Roman" w:hAnsi="Times New Roman" w:cs="Times New Roman"/>
        </w:rPr>
        <w:t>月成立資訊通信發展管理局</w:t>
      </w:r>
      <w:r w:rsidRPr="00356B99">
        <w:rPr>
          <w:rFonts w:ascii="Times New Roman" w:hAnsi="Times New Roman" w:cs="Times New Roman"/>
        </w:rPr>
        <w:t>(IDA)</w:t>
      </w:r>
      <w:r w:rsidRPr="00356B99">
        <w:rPr>
          <w:rFonts w:ascii="Times New Roman" w:hAnsi="Times New Roman" w:cs="Times New Roman"/>
        </w:rPr>
        <w:t>，為該國政府首席資訊領導機構，隸屬於通訊及新聞部，執行與規劃電子化政府，促進企業創新與提升國家競爭力。</w:t>
      </w:r>
    </w:p>
  </w:footnote>
  <w:footnote w:id="110">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自</w:t>
      </w:r>
      <w:r w:rsidRPr="00356B99">
        <w:rPr>
          <w:rFonts w:ascii="Times New Roman" w:hAnsi="Times New Roman" w:cs="Times New Roman"/>
        </w:rPr>
        <w:t>1990</w:t>
      </w:r>
      <w:r w:rsidRPr="00356B99">
        <w:rPr>
          <w:rFonts w:ascii="Times New Roman" w:hAnsi="Times New Roman" w:cs="Times New Roman"/>
        </w:rPr>
        <w:t>年代開始發展網路科技，於</w:t>
      </w:r>
      <w:r w:rsidRPr="00356B99">
        <w:rPr>
          <w:rFonts w:ascii="Times New Roman" w:hAnsi="Times New Roman" w:cs="Times New Roman"/>
        </w:rPr>
        <w:t>1992</w:t>
      </w:r>
      <w:r w:rsidRPr="00356B99">
        <w:rPr>
          <w:rFonts w:ascii="Times New Roman" w:hAnsi="Times New Roman" w:cs="Times New Roman"/>
        </w:rPr>
        <w:t>年成立國家資訊委員會後，陸續成立電子化政府局與電子交易發展局</w:t>
      </w:r>
      <w:r w:rsidRPr="00356B99">
        <w:rPr>
          <w:rFonts w:ascii="Times New Roman" w:hAnsi="Times New Roman" w:cs="Times New Roman"/>
        </w:rPr>
        <w:t>(ETDA)</w:t>
      </w:r>
      <w:r w:rsidRPr="00356B99">
        <w:rPr>
          <w:rFonts w:ascii="Times New Roman" w:hAnsi="Times New Roman" w:cs="Times New Roman"/>
        </w:rPr>
        <w:t>等機關。</w:t>
      </w:r>
    </w:p>
  </w:footnote>
  <w:footnote w:id="111">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於</w:t>
      </w:r>
      <w:r w:rsidRPr="00356B99">
        <w:rPr>
          <w:rFonts w:ascii="Times New Roman" w:hAnsi="Times New Roman" w:cs="Times New Roman"/>
        </w:rPr>
        <w:t>2012</w:t>
      </w:r>
      <w:r w:rsidRPr="00356B99">
        <w:rPr>
          <w:rFonts w:ascii="Times New Roman" w:hAnsi="Times New Roman" w:cs="Times New Roman"/>
        </w:rPr>
        <w:t>年</w:t>
      </w:r>
      <w:r w:rsidRPr="00356B99">
        <w:rPr>
          <w:rFonts w:ascii="Times New Roman" w:hAnsi="Times New Roman" w:cs="Times New Roman"/>
        </w:rPr>
        <w:t>6</w:t>
      </w:r>
      <w:r w:rsidRPr="00356B99">
        <w:rPr>
          <w:rFonts w:ascii="Times New Roman" w:hAnsi="Times New Roman" w:cs="Times New Roman"/>
        </w:rPr>
        <w:t>月成立整合政府計畫</w:t>
      </w:r>
      <w:r w:rsidRPr="00356B99">
        <w:rPr>
          <w:rFonts w:ascii="Times New Roman" w:hAnsi="Times New Roman" w:cs="Times New Roman"/>
        </w:rPr>
        <w:t>(iGovPhil Project)</w:t>
      </w:r>
      <w:r w:rsidRPr="00356B99">
        <w:rPr>
          <w:rFonts w:ascii="Times New Roman" w:hAnsi="Times New Roman" w:cs="Times New Roman"/>
        </w:rPr>
        <w:t>，作為</w:t>
      </w:r>
      <w:r w:rsidRPr="00356B99">
        <w:rPr>
          <w:rFonts w:ascii="Times New Roman" w:hAnsi="Times New Roman" w:cs="Times New Roman"/>
        </w:rPr>
        <w:t>2013</w:t>
      </w:r>
      <w:r w:rsidRPr="00356B99">
        <w:rPr>
          <w:rFonts w:ascii="Times New Roman" w:hAnsi="Times New Roman" w:cs="Times New Roman"/>
        </w:rPr>
        <w:t>年至</w:t>
      </w:r>
      <w:r w:rsidRPr="00356B99">
        <w:rPr>
          <w:rFonts w:ascii="Times New Roman" w:hAnsi="Times New Roman" w:cs="Times New Roman"/>
        </w:rPr>
        <w:t>2016</w:t>
      </w:r>
      <w:r w:rsidRPr="00356B99">
        <w:rPr>
          <w:rFonts w:ascii="Times New Roman" w:hAnsi="Times New Roman" w:cs="Times New Roman"/>
        </w:rPr>
        <w:t>年電子化政府總體計畫之執行計畫。</w:t>
      </w:r>
    </w:p>
  </w:footnote>
  <w:footnote w:id="11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喜陽能源科技有限公司，〈可再生能源達到印度能源結構的</w:t>
      </w:r>
      <w:r w:rsidRPr="00356B99">
        <w:rPr>
          <w:rFonts w:ascii="Times New Roman" w:hAnsi="Times New Roman" w:cs="Times New Roman"/>
        </w:rPr>
        <w:t>5.7</w:t>
      </w:r>
      <w:r w:rsidRPr="00356B99">
        <w:rPr>
          <w:rFonts w:ascii="Times New Roman" w:hAnsi="Times New Roman" w:cs="Times New Roman"/>
        </w:rPr>
        <w:t>％〉，</w:t>
      </w:r>
      <w:r w:rsidRPr="00356B99">
        <w:rPr>
          <w:rFonts w:ascii="Times New Roman" w:hAnsi="Times New Roman" w:cs="Times New Roman"/>
        </w:rPr>
        <w:t>2016/5/9</w:t>
      </w:r>
      <w:r w:rsidRPr="00356B99">
        <w:rPr>
          <w:rFonts w:ascii="Times New Roman" w:hAnsi="Times New Roman" w:cs="Times New Roman"/>
        </w:rPr>
        <w:t>：</w:t>
      </w:r>
      <w:hyperlink r:id="rId67" w:history="1">
        <w:r w:rsidRPr="00356B99">
          <w:rPr>
            <w:rStyle w:val="aa"/>
            <w:rFonts w:ascii="Times New Roman" w:hAnsi="Times New Roman" w:cs="Times New Roman"/>
            <w:color w:val="auto"/>
          </w:rPr>
          <w:t>http://www.i-likesun.com/news.php?store=energy&amp;no=no&amp;id=1470&amp;sub=PV+News&amp;sub1=%E5%A4%AA%E9%99%BD%E8%83%BD&amp;sub2=%E5%8F%AF%E5%86%8D%E7%94%9F%E8%83%BD%E6%BA%90%E9%81%94%E5%88%B0%E5%8D%B0%E5%BA%A6%E8%83%BD%E6%BA%90%E7%B5%90%E6%A7%8B%E7%9A%845.7%EF%BC%85</w:t>
        </w:r>
      </w:hyperlink>
    </w:p>
  </w:footnote>
  <w:footnote w:id="11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喜陽能源科技有限公司，〈東南亞太陽能前景看好帶動泰國大型電廠建設潮〉，</w:t>
      </w:r>
      <w:r w:rsidRPr="00356B99">
        <w:rPr>
          <w:rFonts w:ascii="Times New Roman" w:hAnsi="Times New Roman" w:cs="Times New Roman"/>
        </w:rPr>
        <w:t>2015/10/21</w:t>
      </w:r>
      <w:r w:rsidRPr="00356B99">
        <w:rPr>
          <w:rFonts w:ascii="Times New Roman" w:hAnsi="Times New Roman" w:cs="Times New Roman"/>
        </w:rPr>
        <w:t>：</w:t>
      </w:r>
      <w:hyperlink r:id="rId68" w:history="1">
        <w:r w:rsidRPr="00356B99">
          <w:rPr>
            <w:rStyle w:val="aa"/>
            <w:rFonts w:ascii="Times New Roman" w:hAnsi="Times New Roman" w:cs="Times New Roman"/>
            <w:color w:val="auto"/>
          </w:rPr>
          <w:t>http://www.i-likesun.com/news.php?store=energy&amp;no=no&amp;id=1013&amp;sub=PV%20News&amp;sub1=%E5%A4%AA%E9%99%BD%E8%83%BD&amp;sub2=%E6%9D%B1%E5%8D%97%E4%BA%9E%E5%A4%AA%E9%99%BD%E8%83%BD%E5%89%8D%E6%99%AF%E7%9C%8B%E5%A5%BD%E5%B8%B6%E5%8B%95%E6%B3%B0%E5%9C%8B%E5%A4%A7%E5%9E%8B%E9%9B%BB%E5%BB%A0%E5%BB%BA%E8%A8%AD%E6%BD%AE</w:t>
        </w:r>
      </w:hyperlink>
    </w:p>
  </w:footnote>
  <w:footnote w:id="11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綠能趨勢網，〈拚太陽能！泰國年底前發電量將超越東南亞各國總和〉，</w:t>
      </w:r>
      <w:r w:rsidRPr="00356B99">
        <w:rPr>
          <w:rFonts w:ascii="Times New Roman" w:hAnsi="Times New Roman" w:cs="Times New Roman"/>
        </w:rPr>
        <w:t>2015/7/16</w:t>
      </w:r>
      <w:r w:rsidRPr="00356B99">
        <w:rPr>
          <w:rFonts w:ascii="Times New Roman" w:hAnsi="Times New Roman" w:cs="Times New Roman"/>
        </w:rPr>
        <w:t>：</w:t>
      </w:r>
      <w:hyperlink r:id="rId69" w:history="1">
        <w:r w:rsidRPr="00356B99">
          <w:rPr>
            <w:rStyle w:val="aa"/>
            <w:rFonts w:ascii="Times New Roman" w:hAnsi="Times New Roman" w:cs="Times New Roman"/>
            <w:color w:val="auto"/>
          </w:rPr>
          <w:t>http://pv.energytrend.com.tw/news/20150716-11682.html</w:t>
        </w:r>
      </w:hyperlink>
    </w:p>
  </w:footnote>
  <w:footnote w:id="115">
    <w:p w:rsidR="00441968" w:rsidRPr="00356B99" w:rsidRDefault="00441968" w:rsidP="00E078C6">
      <w:pPr>
        <w:pStyle w:val="a7"/>
        <w:rPr>
          <w:rFonts w:ascii="Times New Roman" w:hAnsi="Times New Roman" w:cs="Times New Roman"/>
          <w:b/>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臺灣經貿網，〈新加坡軍營及學校將有機會使用太陽能〉，</w:t>
      </w:r>
      <w:r w:rsidRPr="00356B99">
        <w:rPr>
          <w:rFonts w:ascii="Times New Roman" w:hAnsi="Times New Roman" w:cs="Times New Roman"/>
        </w:rPr>
        <w:t>2014/9/1</w:t>
      </w:r>
      <w:r w:rsidRPr="00356B99">
        <w:rPr>
          <w:rFonts w:ascii="Times New Roman" w:hAnsi="Times New Roman" w:cs="Times New Roman"/>
        </w:rPr>
        <w:t>：</w:t>
      </w:r>
      <w:hyperlink r:id="rId70" w:history="1">
        <w:r w:rsidRPr="00356B99">
          <w:rPr>
            <w:rStyle w:val="aa"/>
            <w:rFonts w:ascii="Times New Roman" w:hAnsi="Times New Roman" w:cs="Times New Roman"/>
            <w:color w:val="auto"/>
          </w:rPr>
          <w:t>http://info.taiwantrade.com/CH/bizsearchdetail/7606521/C?keyword0</w:t>
        </w:r>
      </w:hyperlink>
      <w:r w:rsidRPr="00356B99">
        <w:rPr>
          <w:rFonts w:ascii="Times New Roman" w:hAnsi="Times New Roman" w:cs="Times New Roman"/>
        </w:rPr>
        <w:t>=</w:t>
      </w:r>
    </w:p>
  </w:footnote>
  <w:footnote w:id="116">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綠能趨勢網，〈東南亞太陽能市場</w:t>
      </w:r>
      <w:r w:rsidRPr="00356B99">
        <w:rPr>
          <w:rFonts w:ascii="Times New Roman" w:hAnsi="Times New Roman" w:cs="Times New Roman"/>
        </w:rPr>
        <w:t xml:space="preserve"> </w:t>
      </w:r>
      <w:r w:rsidRPr="00356B99">
        <w:rPr>
          <w:rFonts w:ascii="Times New Roman" w:hAnsi="Times New Roman" w:cs="Times New Roman"/>
        </w:rPr>
        <w:t>泰國及菲律賓商機大〉，</w:t>
      </w:r>
      <w:r w:rsidRPr="00356B99">
        <w:rPr>
          <w:rFonts w:ascii="Times New Roman" w:hAnsi="Times New Roman" w:cs="Times New Roman"/>
        </w:rPr>
        <w:t>2014/3/10</w:t>
      </w:r>
      <w:r w:rsidRPr="00356B99">
        <w:rPr>
          <w:rFonts w:ascii="Times New Roman" w:hAnsi="Times New Roman" w:cs="Times New Roman"/>
        </w:rPr>
        <w:t>：</w:t>
      </w:r>
      <w:hyperlink r:id="rId71" w:history="1">
        <w:r w:rsidRPr="00356B99">
          <w:rPr>
            <w:rStyle w:val="aa"/>
            <w:rFonts w:ascii="Times New Roman" w:hAnsi="Times New Roman" w:cs="Times New Roman"/>
            <w:color w:val="auto"/>
          </w:rPr>
          <w:t>http://pv.energytrend.com.tw/news/20140310-7983.html</w:t>
        </w:r>
      </w:hyperlink>
    </w:p>
  </w:footnote>
  <w:footnote w:id="11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鉅亨網，〈不讓中美晶專美</w:t>
      </w:r>
      <w:r w:rsidRPr="00356B99">
        <w:rPr>
          <w:rFonts w:ascii="Times New Roman" w:hAnsi="Times New Roman" w:cs="Times New Roman"/>
        </w:rPr>
        <w:t xml:space="preserve"> </w:t>
      </w:r>
      <w:r w:rsidRPr="00356B99">
        <w:rPr>
          <w:rFonts w:ascii="Times New Roman" w:hAnsi="Times New Roman" w:cs="Times New Roman"/>
        </w:rPr>
        <w:t>五邦能源投資菲律賓</w:t>
      </w:r>
      <w:r w:rsidRPr="00356B99">
        <w:rPr>
          <w:rFonts w:ascii="Times New Roman" w:hAnsi="Times New Roman" w:cs="Times New Roman"/>
        </w:rPr>
        <w:t>30MW</w:t>
      </w:r>
      <w:r w:rsidRPr="00356B99">
        <w:rPr>
          <w:rFonts w:ascii="Times New Roman" w:hAnsi="Times New Roman" w:cs="Times New Roman"/>
        </w:rPr>
        <w:t>電廠</w:t>
      </w:r>
      <w:r w:rsidRPr="00356B99">
        <w:rPr>
          <w:rFonts w:ascii="Times New Roman" w:hAnsi="Times New Roman" w:cs="Times New Roman"/>
        </w:rPr>
        <w:t xml:space="preserve"> 5</w:t>
      </w:r>
      <w:r w:rsidRPr="00356B99">
        <w:rPr>
          <w:rFonts w:ascii="Times New Roman" w:hAnsi="Times New Roman" w:cs="Times New Roman"/>
        </w:rPr>
        <w:t>年回收〉，</w:t>
      </w:r>
      <w:r w:rsidRPr="00356B99">
        <w:rPr>
          <w:rFonts w:ascii="Times New Roman" w:hAnsi="Times New Roman" w:cs="Times New Roman"/>
        </w:rPr>
        <w:t>2015/7/14</w:t>
      </w:r>
      <w:r w:rsidRPr="00356B99">
        <w:rPr>
          <w:rFonts w:ascii="Times New Roman" w:hAnsi="Times New Roman" w:cs="Times New Roman"/>
        </w:rPr>
        <w:t>：</w:t>
      </w:r>
      <w:hyperlink r:id="rId72" w:history="1">
        <w:r w:rsidRPr="00356B99">
          <w:rPr>
            <w:rStyle w:val="aa"/>
            <w:rFonts w:ascii="Times New Roman" w:hAnsi="Times New Roman" w:cs="Times New Roman"/>
            <w:color w:val="auto"/>
          </w:rPr>
          <w:t>https://tw.stock.yahoo.com/news_content/url/d/a/20150714/%E4%B8%8D%E8%AE%93%E4%B8%AD%E7%BE%8E%E6%99%B6%E5%B0%88%E7%BE%8E-%E4%BA%94%E9%82%A6%E8%83%BD%E6%BA%90%E6%8A%95%E8%B3%87%E8%8F%B2%E5%BE%8B%E8%B3%9330mw%E9%9B%BB%E5%BB%A0-5%E5%B9%B4%E5%9B%9E%E6%94%B6-091024258.html</w:t>
        </w:r>
      </w:hyperlink>
    </w:p>
  </w:footnote>
  <w:footnote w:id="11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臺灣經貿網，〈馬來西亞名列全球太陽能產業第</w:t>
      </w:r>
      <w:r w:rsidRPr="00356B99">
        <w:rPr>
          <w:rFonts w:ascii="Times New Roman" w:hAnsi="Times New Roman" w:cs="Times New Roman"/>
        </w:rPr>
        <w:t>3</w:t>
      </w:r>
      <w:r w:rsidRPr="00356B99">
        <w:rPr>
          <w:rFonts w:ascii="Times New Roman" w:hAnsi="Times New Roman" w:cs="Times New Roman"/>
        </w:rPr>
        <w:t>位〉，</w:t>
      </w:r>
      <w:r w:rsidRPr="00356B99">
        <w:rPr>
          <w:rFonts w:ascii="Times New Roman" w:hAnsi="Times New Roman" w:cs="Times New Roman"/>
        </w:rPr>
        <w:t>2014/12/15</w:t>
      </w:r>
      <w:r w:rsidRPr="00356B99">
        <w:rPr>
          <w:rFonts w:ascii="Times New Roman" w:hAnsi="Times New Roman" w:cs="Times New Roman"/>
        </w:rPr>
        <w:t>：</w:t>
      </w:r>
      <w:hyperlink r:id="rId73" w:history="1">
        <w:r w:rsidRPr="00356B99">
          <w:rPr>
            <w:rStyle w:val="aa"/>
            <w:rFonts w:ascii="Times New Roman" w:hAnsi="Times New Roman" w:cs="Times New Roman"/>
            <w:color w:val="auto"/>
          </w:rPr>
          <w:t>http://info.taiwantrade.com/CH/bizsearchdetail/7731318/C?keyword0</w:t>
        </w:r>
      </w:hyperlink>
      <w:r w:rsidRPr="00356B99">
        <w:rPr>
          <w:rFonts w:ascii="Times New Roman" w:hAnsi="Times New Roman" w:cs="Times New Roman"/>
        </w:rPr>
        <w:t>=</w:t>
      </w:r>
    </w:p>
  </w:footnote>
  <w:footnote w:id="119">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綠能趨勢網，〈越南：至</w:t>
      </w:r>
      <w:r w:rsidRPr="00356B99">
        <w:rPr>
          <w:rFonts w:ascii="Times New Roman" w:hAnsi="Times New Roman" w:cs="Times New Roman"/>
        </w:rPr>
        <w:t>2030</w:t>
      </w:r>
      <w:r w:rsidRPr="00356B99">
        <w:rPr>
          <w:rFonts w:ascii="Times New Roman" w:hAnsi="Times New Roman" w:cs="Times New Roman"/>
        </w:rPr>
        <w:t>年太陽能發電量占可再生能源發電的</w:t>
      </w:r>
      <w:r w:rsidRPr="00356B99">
        <w:rPr>
          <w:rFonts w:ascii="Times New Roman" w:hAnsi="Times New Roman" w:cs="Times New Roman"/>
        </w:rPr>
        <w:t>20</w:t>
      </w:r>
      <w:r w:rsidRPr="00356B99">
        <w:rPr>
          <w:rFonts w:ascii="Times New Roman" w:hAnsi="Times New Roman" w:cs="Times New Roman"/>
        </w:rPr>
        <w:t>％〉，</w:t>
      </w:r>
      <w:r w:rsidRPr="00356B99">
        <w:rPr>
          <w:rFonts w:ascii="Times New Roman" w:hAnsi="Times New Roman" w:cs="Times New Roman"/>
        </w:rPr>
        <w:t>2015/9/11</w:t>
      </w:r>
      <w:r w:rsidRPr="00356B99">
        <w:rPr>
          <w:rFonts w:ascii="Times New Roman" w:hAnsi="Times New Roman" w:cs="Times New Roman"/>
        </w:rPr>
        <w:t>：</w:t>
      </w:r>
      <w:hyperlink r:id="rId74" w:history="1">
        <w:r w:rsidRPr="00356B99">
          <w:rPr>
            <w:rStyle w:val="aa"/>
            <w:rFonts w:ascii="Times New Roman" w:hAnsi="Times New Roman" w:cs="Times New Roman"/>
            <w:color w:val="auto"/>
          </w:rPr>
          <w:t>http://pv.energytrend.com.tw/news/20150911-12097.html</w:t>
        </w:r>
      </w:hyperlink>
    </w:p>
  </w:footnote>
  <w:footnote w:id="12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LEDinside</w:t>
      </w:r>
      <w:r w:rsidRPr="00356B99">
        <w:rPr>
          <w:rFonts w:ascii="Times New Roman" w:hAnsi="Times New Roman" w:cs="Times New Roman"/>
        </w:rPr>
        <w:t>，〈</w:t>
      </w:r>
      <w:r w:rsidRPr="00356B99">
        <w:rPr>
          <w:rFonts w:ascii="Times New Roman" w:hAnsi="Times New Roman" w:cs="Times New Roman"/>
        </w:rPr>
        <w:t>2016</w:t>
      </w:r>
      <w:r w:rsidRPr="00356B99">
        <w:rPr>
          <w:rFonts w:ascii="Times New Roman" w:hAnsi="Times New Roman" w:cs="Times New Roman"/>
        </w:rPr>
        <w:t>東南亞</w:t>
      </w:r>
      <w:r w:rsidRPr="00356B99">
        <w:rPr>
          <w:rFonts w:ascii="Times New Roman" w:hAnsi="Times New Roman" w:cs="Times New Roman"/>
        </w:rPr>
        <w:t>LED</w:t>
      </w:r>
      <w:r w:rsidRPr="00356B99">
        <w:rPr>
          <w:rFonts w:ascii="Times New Roman" w:hAnsi="Times New Roman" w:cs="Times New Roman"/>
        </w:rPr>
        <w:t>照明市場規模及趨勢分析〉，</w:t>
      </w:r>
      <w:r w:rsidRPr="00356B99">
        <w:rPr>
          <w:rFonts w:ascii="Times New Roman" w:hAnsi="Times New Roman" w:cs="Times New Roman"/>
        </w:rPr>
        <w:t>2016/4/12</w:t>
      </w:r>
      <w:r w:rsidRPr="00356B99">
        <w:rPr>
          <w:rFonts w:ascii="Times New Roman" w:hAnsi="Times New Roman" w:cs="Times New Roman"/>
        </w:rPr>
        <w:t>：</w:t>
      </w:r>
      <w:hyperlink r:id="rId75" w:history="1">
        <w:r w:rsidRPr="00356B99">
          <w:rPr>
            <w:rStyle w:val="aa"/>
            <w:rFonts w:ascii="Times New Roman" w:hAnsi="Times New Roman" w:cs="Times New Roman"/>
            <w:color w:val="auto"/>
          </w:rPr>
          <w:t>http://www.ledinside.com.tw/research/20160412-32372.html</w:t>
        </w:r>
      </w:hyperlink>
    </w:p>
  </w:footnote>
  <w:footnote w:id="12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臺灣經貿網，〈馬來西亞與臺灣綠色產業具合作潛力〉，</w:t>
      </w:r>
      <w:r w:rsidRPr="00356B99">
        <w:rPr>
          <w:rFonts w:ascii="Times New Roman" w:hAnsi="Times New Roman" w:cs="Times New Roman"/>
        </w:rPr>
        <w:t>2013/10/9</w:t>
      </w:r>
      <w:r w:rsidRPr="00356B99">
        <w:rPr>
          <w:rFonts w:ascii="Times New Roman" w:hAnsi="Times New Roman" w:cs="Times New Roman"/>
        </w:rPr>
        <w:t>：</w:t>
      </w:r>
      <w:hyperlink r:id="rId76" w:history="1">
        <w:r w:rsidRPr="00356B99">
          <w:rPr>
            <w:rStyle w:val="aa"/>
            <w:rFonts w:ascii="Times New Roman" w:hAnsi="Times New Roman" w:cs="Times New Roman"/>
            <w:color w:val="auto"/>
          </w:rPr>
          <w:t>http://info.taiwantrade.com/CH/bizsearchdetail/7279201/C?keyword0</w:t>
        </w:r>
      </w:hyperlink>
      <w:r w:rsidRPr="00356B99">
        <w:rPr>
          <w:rFonts w:ascii="Times New Roman" w:hAnsi="Times New Roman" w:cs="Times New Roman"/>
        </w:rPr>
        <w:t>=</w:t>
      </w:r>
    </w:p>
  </w:footnote>
  <w:footnote w:id="12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聯合晚報，〈印度拚照明</w:t>
      </w:r>
      <w:r w:rsidRPr="00356B99">
        <w:rPr>
          <w:rFonts w:ascii="Times New Roman" w:hAnsi="Times New Roman" w:cs="Times New Roman"/>
        </w:rPr>
        <w:t xml:space="preserve"> </w:t>
      </w:r>
      <w:r w:rsidRPr="00356B99">
        <w:rPr>
          <w:rFonts w:ascii="Times New Roman" w:hAnsi="Times New Roman" w:cs="Times New Roman"/>
        </w:rPr>
        <w:t>臺廠搶商機〉，</w:t>
      </w:r>
      <w:r w:rsidRPr="00356B99">
        <w:rPr>
          <w:rFonts w:ascii="Times New Roman" w:hAnsi="Times New Roman" w:cs="Times New Roman"/>
        </w:rPr>
        <w:t>2016/7/15</w:t>
      </w:r>
      <w:r w:rsidRPr="00356B99">
        <w:rPr>
          <w:rFonts w:ascii="Times New Roman" w:hAnsi="Times New Roman" w:cs="Times New Roman"/>
        </w:rPr>
        <w:t>：</w:t>
      </w:r>
      <w:hyperlink r:id="rId77" w:history="1">
        <w:r w:rsidRPr="00356B99">
          <w:rPr>
            <w:rStyle w:val="aa"/>
            <w:rFonts w:ascii="Times New Roman" w:hAnsi="Times New Roman" w:cs="Times New Roman"/>
            <w:color w:val="auto"/>
          </w:rPr>
          <w:t>http://udn.com/news/story/7240/1830828-%E5%8D%B0%E5%BA%A6%E6%8B%9A%E7%85%A7%E6%98%8E-%E5%8F%B0%E5%BB%A0%E6%90%B6%E5%95%86%E6%A9%9F</w:t>
        </w:r>
      </w:hyperlink>
    </w:p>
  </w:footnote>
  <w:footnote w:id="12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王婷，〈印度照明市場產品、渠道及進入策略分析〉，</w:t>
      </w:r>
      <w:r w:rsidRPr="00356B99">
        <w:rPr>
          <w:rFonts w:ascii="Times New Roman" w:hAnsi="Times New Roman" w:cs="Times New Roman"/>
        </w:rPr>
        <w:t>LEDinside</w:t>
      </w:r>
      <w:r w:rsidRPr="00356B99">
        <w:rPr>
          <w:rFonts w:ascii="Times New Roman" w:hAnsi="Times New Roman" w:cs="Times New Roman"/>
        </w:rPr>
        <w:t>，</w:t>
      </w:r>
      <w:r w:rsidRPr="00356B99">
        <w:rPr>
          <w:rFonts w:ascii="Times New Roman" w:hAnsi="Times New Roman" w:cs="Times New Roman"/>
        </w:rPr>
        <w:t>2016</w:t>
      </w:r>
      <w:r w:rsidRPr="00356B99">
        <w:rPr>
          <w:rFonts w:ascii="Times New Roman" w:hAnsi="Times New Roman" w:cs="Times New Roman"/>
        </w:rPr>
        <w:t>年</w:t>
      </w:r>
      <w:r w:rsidRPr="00356B99">
        <w:rPr>
          <w:rFonts w:ascii="Times New Roman" w:hAnsi="Times New Roman" w:cs="Times New Roman"/>
        </w:rPr>
        <w:t>8</w:t>
      </w:r>
      <w:r w:rsidRPr="00356B99">
        <w:rPr>
          <w:rFonts w:ascii="Times New Roman" w:hAnsi="Times New Roman" w:cs="Times New Roman"/>
        </w:rPr>
        <w:t>月</w:t>
      </w:r>
      <w:r w:rsidRPr="00356B99">
        <w:rPr>
          <w:rFonts w:ascii="Times New Roman" w:hAnsi="Times New Roman" w:cs="Times New Roman"/>
        </w:rPr>
        <w:t>14</w:t>
      </w:r>
      <w:r w:rsidRPr="00356B99">
        <w:rPr>
          <w:rFonts w:ascii="Times New Roman" w:hAnsi="Times New Roman" w:cs="Times New Roman"/>
        </w:rPr>
        <w:t>日：</w:t>
      </w:r>
      <w:hyperlink r:id="rId78" w:history="1">
        <w:r w:rsidRPr="00356B99">
          <w:rPr>
            <w:rStyle w:val="aa"/>
            <w:rFonts w:ascii="Times New Roman" w:hAnsi="Times New Roman" w:cs="Times New Roman"/>
            <w:color w:val="auto"/>
          </w:rPr>
          <w:t>http://www.ledinside.com.tw/research/20160804-32888.html</w:t>
        </w:r>
      </w:hyperlink>
    </w:p>
  </w:footnote>
  <w:footnote w:id="12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車輛研究測試中心，〈小型節能平價車駛向東南亞市場〉，</w:t>
      </w:r>
      <w:r w:rsidRPr="00356B99">
        <w:rPr>
          <w:rFonts w:ascii="Times New Roman" w:hAnsi="Times New Roman" w:cs="Times New Roman"/>
        </w:rPr>
        <w:t>2013</w:t>
      </w:r>
      <w:r w:rsidRPr="00356B99">
        <w:rPr>
          <w:rFonts w:ascii="Times New Roman" w:hAnsi="Times New Roman" w:cs="Times New Roman"/>
        </w:rPr>
        <w:t>：</w:t>
      </w:r>
      <w:hyperlink r:id="rId79" w:history="1">
        <w:r w:rsidRPr="00356B99">
          <w:rPr>
            <w:rStyle w:val="aa"/>
            <w:rFonts w:ascii="Times New Roman" w:hAnsi="Times New Roman" w:cs="Times New Roman"/>
            <w:color w:val="auto"/>
          </w:rPr>
          <w:t>https://www.artc.org.tw/chinese/03_service/03_02detail.aspx?pid=2380</w:t>
        </w:r>
      </w:hyperlink>
    </w:p>
  </w:footnote>
  <w:footnote w:id="125">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臺灣經貿網，〈馬來西亞盼至</w:t>
      </w:r>
      <w:r w:rsidRPr="00356B99">
        <w:rPr>
          <w:rFonts w:ascii="Times New Roman" w:hAnsi="Times New Roman" w:cs="Times New Roman"/>
        </w:rPr>
        <w:t>2020</w:t>
      </w:r>
      <w:r w:rsidRPr="00356B99">
        <w:rPr>
          <w:rFonts w:ascii="Times New Roman" w:hAnsi="Times New Roman" w:cs="Times New Roman"/>
        </w:rPr>
        <w:t>年，綠色科技商機可達</w:t>
      </w:r>
      <w:r w:rsidRPr="00356B99">
        <w:rPr>
          <w:rFonts w:ascii="Times New Roman" w:hAnsi="Times New Roman" w:cs="Times New Roman"/>
        </w:rPr>
        <w:t>224</w:t>
      </w:r>
      <w:r w:rsidRPr="00356B99">
        <w:rPr>
          <w:rFonts w:ascii="Times New Roman" w:hAnsi="Times New Roman" w:cs="Times New Roman"/>
        </w:rPr>
        <w:t>億馬幣，</w:t>
      </w:r>
      <w:r w:rsidRPr="00356B99">
        <w:rPr>
          <w:rFonts w:ascii="Times New Roman" w:hAnsi="Times New Roman" w:cs="Times New Roman"/>
        </w:rPr>
        <w:t>2030</w:t>
      </w:r>
      <w:r w:rsidRPr="00356B99">
        <w:rPr>
          <w:rFonts w:ascii="Times New Roman" w:hAnsi="Times New Roman" w:cs="Times New Roman"/>
        </w:rPr>
        <w:t>年再提升至</w:t>
      </w:r>
      <w:r w:rsidRPr="00356B99">
        <w:rPr>
          <w:rFonts w:ascii="Times New Roman" w:hAnsi="Times New Roman" w:cs="Times New Roman"/>
        </w:rPr>
        <w:t>600</w:t>
      </w:r>
      <w:r w:rsidRPr="00356B99">
        <w:rPr>
          <w:rFonts w:ascii="Times New Roman" w:hAnsi="Times New Roman" w:cs="Times New Roman"/>
        </w:rPr>
        <w:t>億馬幣〉，</w:t>
      </w:r>
      <w:r w:rsidRPr="00356B99">
        <w:rPr>
          <w:rFonts w:ascii="Times New Roman" w:hAnsi="Times New Roman" w:cs="Times New Roman"/>
        </w:rPr>
        <w:t>2015/2/26</w:t>
      </w:r>
      <w:r w:rsidRPr="00356B99">
        <w:rPr>
          <w:rFonts w:ascii="Times New Roman" w:hAnsi="Times New Roman" w:cs="Times New Roman"/>
        </w:rPr>
        <w:t>：</w:t>
      </w:r>
      <w:hyperlink r:id="rId80" w:history="1">
        <w:r w:rsidRPr="00356B99">
          <w:rPr>
            <w:rStyle w:val="aa"/>
            <w:rFonts w:ascii="Times New Roman" w:hAnsi="Times New Roman" w:cs="Times New Roman"/>
            <w:color w:val="auto"/>
          </w:rPr>
          <w:t>http://info.taiwantrade.com/CH/bizsearchdetail/7812189/C?keyword0</w:t>
        </w:r>
      </w:hyperlink>
      <w:r w:rsidRPr="00356B99">
        <w:rPr>
          <w:rFonts w:ascii="Times New Roman" w:hAnsi="Times New Roman" w:cs="Times New Roman"/>
        </w:rPr>
        <w:t>=</w:t>
      </w:r>
    </w:p>
  </w:footnote>
  <w:footnote w:id="126">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綠能趨勢網，〈北汽與</w:t>
      </w:r>
      <w:r w:rsidRPr="00356B99">
        <w:rPr>
          <w:rFonts w:ascii="Times New Roman" w:hAnsi="Times New Roman" w:cs="Times New Roman"/>
        </w:rPr>
        <w:t>Amber Dual</w:t>
      </w:r>
      <w:r w:rsidRPr="00356B99">
        <w:rPr>
          <w:rFonts w:ascii="Times New Roman" w:hAnsi="Times New Roman" w:cs="Times New Roman"/>
        </w:rPr>
        <w:t>合資逾</w:t>
      </w:r>
      <w:r w:rsidRPr="00356B99">
        <w:rPr>
          <w:rFonts w:ascii="Times New Roman" w:hAnsi="Times New Roman" w:cs="Times New Roman"/>
        </w:rPr>
        <w:t>2</w:t>
      </w:r>
      <w:r w:rsidRPr="00356B99">
        <w:rPr>
          <w:rFonts w:ascii="Times New Roman" w:hAnsi="Times New Roman" w:cs="Times New Roman"/>
        </w:rPr>
        <w:t>億人民幣</w:t>
      </w:r>
      <w:r w:rsidRPr="00356B99">
        <w:rPr>
          <w:rFonts w:ascii="Times New Roman" w:hAnsi="Times New Roman" w:cs="Times New Roman"/>
        </w:rPr>
        <w:t xml:space="preserve"> </w:t>
      </w:r>
      <w:r w:rsidRPr="00356B99">
        <w:rPr>
          <w:rFonts w:ascii="Times New Roman" w:hAnsi="Times New Roman" w:cs="Times New Roman"/>
        </w:rPr>
        <w:t>建馬來西亞電動車工廠〉，</w:t>
      </w:r>
      <w:r w:rsidRPr="00356B99">
        <w:rPr>
          <w:rFonts w:ascii="Times New Roman" w:hAnsi="Times New Roman" w:cs="Times New Roman"/>
        </w:rPr>
        <w:t>2015/5/21</w:t>
      </w:r>
      <w:r w:rsidRPr="00356B99">
        <w:rPr>
          <w:rFonts w:ascii="Times New Roman" w:hAnsi="Times New Roman" w:cs="Times New Roman"/>
        </w:rPr>
        <w:t>：</w:t>
      </w:r>
      <w:hyperlink r:id="rId81" w:history="1">
        <w:r w:rsidRPr="00356B99">
          <w:rPr>
            <w:rStyle w:val="aa"/>
            <w:rFonts w:ascii="Times New Roman" w:hAnsi="Times New Roman" w:cs="Times New Roman"/>
            <w:color w:val="auto"/>
          </w:rPr>
          <w:t>http://www.energytrend.com.tw/news/20150521-11330.html</w:t>
        </w:r>
      </w:hyperlink>
    </w:p>
  </w:footnote>
  <w:footnote w:id="12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經濟部工業局，</w:t>
      </w:r>
      <w:r w:rsidRPr="00356B99">
        <w:rPr>
          <w:rFonts w:ascii="Times New Roman" w:hAnsi="Times New Roman" w:cs="Times New Roman"/>
        </w:rPr>
        <w:t>2016</w:t>
      </w:r>
      <w:r w:rsidRPr="00356B99">
        <w:rPr>
          <w:rFonts w:ascii="Times New Roman" w:hAnsi="Times New Roman" w:cs="Times New Roman"/>
        </w:rPr>
        <w:t>，《石化廠整廠輸出方案》。</w:t>
      </w:r>
    </w:p>
  </w:footnote>
  <w:footnote w:id="128">
    <w:p w:rsidR="00441968" w:rsidRPr="00356B99" w:rsidRDefault="00441968" w:rsidP="00E078C6">
      <w:pPr>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蕭亞漩，印度石化產業發展現況</w:t>
      </w:r>
      <w:r>
        <w:rPr>
          <w:rFonts w:ascii="Times New Roman" w:hAnsi="Times New Roman" w:cs="Times New Roman" w:hint="eastAsia"/>
          <w:sz w:val="20"/>
          <w:szCs w:val="20"/>
        </w:rPr>
        <w:t>（</w:t>
      </w:r>
      <w:r w:rsidRPr="00356B99">
        <w:rPr>
          <w:rFonts w:ascii="Times New Roman" w:hAnsi="Times New Roman" w:cs="Times New Roman"/>
          <w:sz w:val="20"/>
          <w:szCs w:val="20"/>
        </w:rPr>
        <w:t>上</w:t>
      </w:r>
      <w:r>
        <w:rPr>
          <w:rFonts w:ascii="Times New Roman" w:hAnsi="Times New Roman" w:cs="Times New Roman" w:hint="eastAsia"/>
          <w:sz w:val="20"/>
          <w:szCs w:val="20"/>
        </w:rPr>
        <w:t>）</w:t>
      </w:r>
      <w:r w:rsidRPr="00356B99">
        <w:rPr>
          <w:rFonts w:ascii="Times New Roman" w:hAnsi="Times New Roman" w:cs="Times New Roman"/>
          <w:sz w:val="20"/>
          <w:szCs w:val="20"/>
        </w:rPr>
        <w:t>，</w:t>
      </w:r>
      <w:r w:rsidRPr="00356B99">
        <w:rPr>
          <w:rFonts w:ascii="Times New Roman" w:hAnsi="Times New Roman" w:cs="Times New Roman"/>
          <w:b/>
          <w:sz w:val="20"/>
          <w:szCs w:val="20"/>
        </w:rPr>
        <w:t>工研院</w:t>
      </w:r>
      <w:r w:rsidRPr="00356B99">
        <w:rPr>
          <w:rFonts w:ascii="Times New Roman" w:hAnsi="Times New Roman" w:cs="Times New Roman"/>
          <w:b/>
          <w:sz w:val="20"/>
          <w:szCs w:val="20"/>
        </w:rPr>
        <w:t>IEK</w:t>
      </w:r>
      <w:r w:rsidRPr="00356B99">
        <w:rPr>
          <w:rFonts w:ascii="Times New Roman" w:hAnsi="Times New Roman" w:cs="Times New Roman"/>
          <w:sz w:val="20"/>
          <w:szCs w:val="20"/>
        </w:rPr>
        <w:t>，</w:t>
      </w:r>
      <w:r w:rsidRPr="00356B99">
        <w:rPr>
          <w:rFonts w:ascii="Times New Roman" w:hAnsi="Times New Roman" w:cs="Times New Roman"/>
          <w:sz w:val="20"/>
          <w:szCs w:val="20"/>
        </w:rPr>
        <w:t>2015</w:t>
      </w:r>
      <w:r w:rsidRPr="00356B99">
        <w:rPr>
          <w:rFonts w:ascii="Times New Roman" w:hAnsi="Times New Roman" w:cs="Times New Roman"/>
          <w:sz w:val="20"/>
          <w:szCs w:val="20"/>
        </w:rPr>
        <w:t>年</w:t>
      </w:r>
      <w:r w:rsidRPr="00356B99">
        <w:rPr>
          <w:rFonts w:ascii="Times New Roman" w:hAnsi="Times New Roman" w:cs="Times New Roman"/>
          <w:sz w:val="20"/>
          <w:szCs w:val="20"/>
        </w:rPr>
        <w:t>10</w:t>
      </w:r>
      <w:r w:rsidRPr="00356B99">
        <w:rPr>
          <w:rFonts w:ascii="Times New Roman" w:hAnsi="Times New Roman" w:cs="Times New Roman"/>
          <w:sz w:val="20"/>
          <w:szCs w:val="20"/>
        </w:rPr>
        <w:t>月</w:t>
      </w:r>
      <w:r w:rsidRPr="00356B99">
        <w:rPr>
          <w:rFonts w:ascii="Times New Roman" w:hAnsi="Times New Roman" w:cs="Times New Roman"/>
          <w:sz w:val="20"/>
          <w:szCs w:val="20"/>
        </w:rPr>
        <w:t>14</w:t>
      </w:r>
      <w:r w:rsidRPr="00356B99">
        <w:rPr>
          <w:rFonts w:ascii="Times New Roman" w:hAnsi="Times New Roman" w:cs="Times New Roman"/>
          <w:sz w:val="20"/>
          <w:szCs w:val="20"/>
        </w:rPr>
        <w:t>日，</w:t>
      </w:r>
      <w:r w:rsidRPr="00356B99">
        <w:rPr>
          <w:rFonts w:ascii="Times New Roman" w:hAnsi="Times New Roman" w:cs="Times New Roman"/>
          <w:sz w:val="20"/>
          <w:szCs w:val="20"/>
        </w:rPr>
        <w:t>&lt;http://www2.itis.org.tw/netreport/NetReport_Detail.aspx?rpno=28868166&gt;</w:t>
      </w:r>
    </w:p>
  </w:footnote>
  <w:footnote w:id="129">
    <w:p w:rsidR="00441968" w:rsidRPr="00356B99" w:rsidRDefault="00441968" w:rsidP="00E078C6">
      <w:pPr>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w:t>
      </w:r>
      <w:r w:rsidRPr="00356B99">
        <w:rPr>
          <w:rFonts w:ascii="Times New Roman" w:hAnsi="Times New Roman" w:cs="Times New Roman"/>
          <w:sz w:val="20"/>
          <w:szCs w:val="20"/>
        </w:rPr>
        <w:t>「印度信賴工業公司</w:t>
      </w:r>
      <w:r>
        <w:rPr>
          <w:rFonts w:ascii="Times New Roman" w:hAnsi="Times New Roman" w:cs="Times New Roman" w:hint="eastAsia"/>
          <w:sz w:val="20"/>
          <w:szCs w:val="20"/>
        </w:rPr>
        <w:t>（</w:t>
      </w:r>
      <w:r>
        <w:rPr>
          <w:rFonts w:ascii="Times New Roman" w:hAnsi="Times New Roman" w:cs="Times New Roman"/>
          <w:sz w:val="20"/>
          <w:szCs w:val="20"/>
        </w:rPr>
        <w:t>RPL</w:t>
      </w:r>
      <w:r>
        <w:rPr>
          <w:rFonts w:ascii="Times New Roman" w:hAnsi="Times New Roman" w:cs="Times New Roman" w:hint="eastAsia"/>
          <w:sz w:val="20"/>
          <w:szCs w:val="20"/>
        </w:rPr>
        <w:t>）</w:t>
      </w:r>
      <w:r w:rsidRPr="00356B99">
        <w:rPr>
          <w:rFonts w:ascii="Times New Roman" w:hAnsi="Times New Roman" w:cs="Times New Roman"/>
          <w:sz w:val="20"/>
          <w:szCs w:val="20"/>
        </w:rPr>
        <w:t xml:space="preserve"> </w:t>
      </w:r>
      <w:r w:rsidRPr="00356B99">
        <w:rPr>
          <w:rFonts w:ascii="Times New Roman" w:hAnsi="Times New Roman" w:cs="Times New Roman"/>
          <w:sz w:val="20"/>
          <w:szCs w:val="20"/>
        </w:rPr>
        <w:t>」，</w:t>
      </w:r>
      <w:r w:rsidRPr="00356B99">
        <w:rPr>
          <w:rFonts w:ascii="Times New Roman" w:hAnsi="Times New Roman" w:cs="Times New Roman"/>
          <w:i/>
          <w:sz w:val="20"/>
          <w:szCs w:val="20"/>
        </w:rPr>
        <w:t>MoneyDJ</w:t>
      </w:r>
      <w:r w:rsidRPr="00356B99">
        <w:rPr>
          <w:rFonts w:ascii="Times New Roman" w:hAnsi="Times New Roman" w:cs="Times New Roman"/>
          <w:i/>
          <w:sz w:val="20"/>
          <w:szCs w:val="20"/>
        </w:rPr>
        <w:t>理財網</w:t>
      </w:r>
      <w:r w:rsidRPr="00356B99">
        <w:rPr>
          <w:rFonts w:ascii="Times New Roman" w:hAnsi="Times New Roman" w:cs="Times New Roman"/>
          <w:sz w:val="20"/>
          <w:szCs w:val="20"/>
        </w:rPr>
        <w:t>，</w:t>
      </w:r>
      <w:r w:rsidRPr="00356B99">
        <w:rPr>
          <w:rFonts w:ascii="Times New Roman" w:hAnsi="Times New Roman" w:cs="Times New Roman"/>
          <w:sz w:val="20"/>
          <w:szCs w:val="20"/>
        </w:rPr>
        <w:t>&lt;http://www.moneydj.com/KMDJ/Wiki/wikiViewer.aspx?keyid=c</w:t>
      </w:r>
      <w:smartTag w:uri="urn:schemas-microsoft-com:office:smarttags" w:element="chmetcnv">
        <w:smartTagPr>
          <w:attr w:name="TCSC" w:val="0"/>
          <w:attr w:name="NumberType" w:val="1"/>
          <w:attr w:name="Negative" w:val="False"/>
          <w:attr w:name="HasSpace" w:val="False"/>
          <w:attr w:name="SourceValue" w:val="732368"/>
          <w:attr w:name="UnitName" w:val="C"/>
        </w:smartTagPr>
        <w:r w:rsidRPr="00356B99">
          <w:rPr>
            <w:rFonts w:ascii="Times New Roman" w:hAnsi="Times New Roman" w:cs="Times New Roman"/>
            <w:sz w:val="20"/>
            <w:szCs w:val="20"/>
          </w:rPr>
          <w:t>732368c</w:t>
        </w:r>
      </w:smartTag>
      <w:smartTag w:uri="urn:schemas-microsoft-com:office:smarttags" w:element="chmetcnv">
        <w:smartTagPr>
          <w:attr w:name="TCSC" w:val="0"/>
          <w:attr w:name="NumberType" w:val="1"/>
          <w:attr w:name="Negative" w:val="True"/>
          <w:attr w:name="HasSpace" w:val="False"/>
          <w:attr w:name="SourceValue" w:val="991"/>
          <w:attr w:name="UnitName" w:val="C"/>
        </w:smartTagPr>
        <w:r w:rsidRPr="00356B99">
          <w:rPr>
            <w:rFonts w:ascii="Times New Roman" w:hAnsi="Times New Roman" w:cs="Times New Roman"/>
            <w:sz w:val="20"/>
            <w:szCs w:val="20"/>
          </w:rPr>
          <w:t>-991c</w:t>
        </w:r>
      </w:smartTag>
      <w:smartTag w:uri="urn:schemas-microsoft-com:office:smarttags" w:element="chmetcnv">
        <w:smartTagPr>
          <w:attr w:name="TCSC" w:val="0"/>
          <w:attr w:name="NumberType" w:val="1"/>
          <w:attr w:name="Negative" w:val="True"/>
          <w:attr w:name="HasSpace" w:val="False"/>
          <w:attr w:name="SourceValue" w:val="46"/>
          <w:attr w:name="UnitName" w:val="F"/>
        </w:smartTagPr>
        <w:r w:rsidRPr="00356B99">
          <w:rPr>
            <w:rFonts w:ascii="Times New Roman" w:hAnsi="Times New Roman" w:cs="Times New Roman"/>
            <w:sz w:val="20"/>
            <w:szCs w:val="20"/>
          </w:rPr>
          <w:t>-46f</w:t>
        </w:r>
      </w:smartTag>
      <w:r w:rsidRPr="00356B99">
        <w:rPr>
          <w:rFonts w:ascii="Times New Roman" w:hAnsi="Times New Roman" w:cs="Times New Roman"/>
          <w:sz w:val="20"/>
          <w:szCs w:val="20"/>
        </w:rPr>
        <w:t>3-be05</w:t>
      </w:r>
      <w:smartTag w:uri="urn:schemas-microsoft-com:office:smarttags" w:element="chmetcnv">
        <w:smartTagPr>
          <w:attr w:name="TCSC" w:val="0"/>
          <w:attr w:name="NumberType" w:val="1"/>
          <w:attr w:name="Negative" w:val="True"/>
          <w:attr w:name="HasSpace" w:val="False"/>
          <w:attr w:name="SourceValue" w:val="4"/>
          <w:attr w:name="UnitName" w:val="F"/>
        </w:smartTagPr>
        <w:r w:rsidRPr="00356B99">
          <w:rPr>
            <w:rFonts w:ascii="Times New Roman" w:hAnsi="Times New Roman" w:cs="Times New Roman"/>
            <w:sz w:val="20"/>
            <w:szCs w:val="20"/>
          </w:rPr>
          <w:t>-4f</w:t>
        </w:r>
      </w:smartTag>
      <w:smartTag w:uri="urn:schemas-microsoft-com:office:smarttags" w:element="chmetcnv">
        <w:smartTagPr>
          <w:attr w:name="TCSC" w:val="0"/>
          <w:attr w:name="NumberType" w:val="1"/>
          <w:attr w:name="Negative" w:val="False"/>
          <w:attr w:name="HasSpace" w:val="False"/>
          <w:attr w:name="SourceValue" w:val="6"/>
          <w:attr w:name="UnitName" w:val="C"/>
        </w:smartTagPr>
        <w:r w:rsidRPr="00356B99">
          <w:rPr>
            <w:rFonts w:ascii="Times New Roman" w:hAnsi="Times New Roman" w:cs="Times New Roman"/>
            <w:sz w:val="20"/>
            <w:szCs w:val="20"/>
          </w:rPr>
          <w:t>6c</w:t>
        </w:r>
      </w:smartTag>
      <w:r w:rsidRPr="00356B99">
        <w:rPr>
          <w:rFonts w:ascii="Times New Roman" w:hAnsi="Times New Roman" w:cs="Times New Roman"/>
          <w:sz w:val="20"/>
          <w:szCs w:val="20"/>
        </w:rPr>
        <w:t>a</w:t>
      </w:r>
      <w:smartTag w:uri="urn:schemas-microsoft-com:office:smarttags" w:element="chmetcnv">
        <w:smartTagPr>
          <w:attr w:name="TCSC" w:val="0"/>
          <w:attr w:name="NumberType" w:val="1"/>
          <w:attr w:name="Negative" w:val="False"/>
          <w:attr w:name="HasSpace" w:val="False"/>
          <w:attr w:name="SourceValue" w:val="69"/>
          <w:attr w:name="UnitName" w:val="C"/>
        </w:smartTagPr>
        <w:r w:rsidRPr="00356B99">
          <w:rPr>
            <w:rFonts w:ascii="Times New Roman" w:hAnsi="Times New Roman" w:cs="Times New Roman"/>
            <w:sz w:val="20"/>
            <w:szCs w:val="20"/>
          </w:rPr>
          <w:t>069c</w:t>
        </w:r>
      </w:smartTag>
      <w:r w:rsidRPr="00356B99">
        <w:rPr>
          <w:rFonts w:ascii="Times New Roman" w:hAnsi="Times New Roman" w:cs="Times New Roman"/>
          <w:sz w:val="20"/>
          <w:szCs w:val="20"/>
        </w:rPr>
        <w:t>678&gt;</w:t>
      </w:r>
      <w:r w:rsidRPr="00356B99">
        <w:rPr>
          <w:rFonts w:ascii="Times New Roman" w:hAnsi="Times New Roman" w:cs="Times New Roman"/>
          <w:sz w:val="20"/>
          <w:szCs w:val="20"/>
        </w:rPr>
        <w:t>。</w:t>
      </w:r>
    </w:p>
  </w:footnote>
  <w:footnote w:id="13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蕭亞漩，印度石化產業發展現況</w:t>
      </w:r>
      <w:r>
        <w:rPr>
          <w:rFonts w:ascii="Times New Roman" w:hAnsi="Times New Roman" w:cs="Times New Roman" w:hint="eastAsia"/>
        </w:rPr>
        <w:t>（</w:t>
      </w:r>
      <w:r w:rsidRPr="00356B99">
        <w:rPr>
          <w:rFonts w:ascii="Times New Roman" w:hAnsi="Times New Roman" w:cs="Times New Roman"/>
        </w:rPr>
        <w:t>下</w:t>
      </w:r>
      <w:r>
        <w:rPr>
          <w:rFonts w:ascii="Times New Roman" w:hAnsi="Times New Roman" w:cs="Times New Roman" w:hint="eastAsia"/>
        </w:rPr>
        <w:t>）</w:t>
      </w:r>
      <w:r w:rsidRPr="00356B99">
        <w:rPr>
          <w:rFonts w:ascii="Times New Roman" w:hAnsi="Times New Roman" w:cs="Times New Roman"/>
        </w:rPr>
        <w:t>，</w:t>
      </w:r>
      <w:r w:rsidRPr="00356B99">
        <w:rPr>
          <w:rFonts w:ascii="Times New Roman" w:hAnsi="Times New Roman" w:cs="Times New Roman"/>
          <w:b/>
        </w:rPr>
        <w:t>工研院</w:t>
      </w:r>
      <w:r w:rsidRPr="00356B99">
        <w:rPr>
          <w:rFonts w:ascii="Times New Roman" w:hAnsi="Times New Roman" w:cs="Times New Roman"/>
          <w:b/>
        </w:rPr>
        <w:t>IEK</w:t>
      </w:r>
      <w:r w:rsidRPr="00356B99">
        <w:rPr>
          <w:rFonts w:ascii="Times New Roman" w:hAnsi="Times New Roman" w:cs="Times New Roman"/>
        </w:rPr>
        <w:t>，</w:t>
      </w:r>
      <w:r w:rsidRPr="00356B99">
        <w:rPr>
          <w:rFonts w:ascii="Times New Roman" w:hAnsi="Times New Roman" w:cs="Times New Roman"/>
        </w:rPr>
        <w:t>2015</w:t>
      </w:r>
      <w:r w:rsidRPr="00356B99">
        <w:rPr>
          <w:rFonts w:ascii="Times New Roman" w:hAnsi="Times New Roman" w:cs="Times New Roman"/>
        </w:rPr>
        <w:t>年</w:t>
      </w:r>
      <w:r w:rsidRPr="00356B99">
        <w:rPr>
          <w:rFonts w:ascii="Times New Roman" w:hAnsi="Times New Roman" w:cs="Times New Roman"/>
        </w:rPr>
        <w:t>10</w:t>
      </w:r>
      <w:r w:rsidRPr="00356B99">
        <w:rPr>
          <w:rFonts w:ascii="Times New Roman" w:hAnsi="Times New Roman" w:cs="Times New Roman"/>
        </w:rPr>
        <w:t>月</w:t>
      </w:r>
      <w:r w:rsidRPr="00356B99">
        <w:rPr>
          <w:rFonts w:ascii="Times New Roman" w:hAnsi="Times New Roman" w:cs="Times New Roman"/>
        </w:rPr>
        <w:t>15</w:t>
      </w:r>
      <w:r w:rsidRPr="00356B99">
        <w:rPr>
          <w:rFonts w:ascii="Times New Roman" w:hAnsi="Times New Roman" w:cs="Times New Roman"/>
        </w:rPr>
        <w:t>日，</w:t>
      </w:r>
      <w:r w:rsidRPr="00356B99">
        <w:rPr>
          <w:rFonts w:ascii="Times New Roman" w:hAnsi="Times New Roman" w:cs="Times New Roman"/>
        </w:rPr>
        <w:t>&lt; http://www2.itis.org.tw/netReport/NetReport_Detail.aspx?rpno=701876721&gt;</w:t>
      </w:r>
    </w:p>
  </w:footnote>
  <w:footnote w:id="13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工程會，</w:t>
      </w:r>
      <w:r w:rsidRPr="00356B99">
        <w:rPr>
          <w:rFonts w:ascii="Times New Roman" w:hAnsi="Times New Roman" w:cs="Times New Roman"/>
        </w:rPr>
        <w:t>2016</w:t>
      </w:r>
      <w:r w:rsidRPr="00356B99">
        <w:rPr>
          <w:rFonts w:ascii="Times New Roman" w:hAnsi="Times New Roman" w:cs="Times New Roman"/>
        </w:rPr>
        <w:t>，〈工程產業全球化推動方案〉。</w:t>
      </w:r>
    </w:p>
  </w:footnote>
  <w:footnote w:id="13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“HEALTHCARE” Singapore Economic Development Board (EDB). </w:t>
      </w:r>
      <w:hyperlink r:id="rId82" w:history="1">
        <w:r w:rsidRPr="00356B99">
          <w:rPr>
            <w:rStyle w:val="aa"/>
            <w:rFonts w:ascii="Times New Roman" w:hAnsi="Times New Roman" w:cs="Times New Roman"/>
            <w:color w:val="auto"/>
          </w:rPr>
          <w:t>https://www.edb.gov.sg/content/edb/en/industries/industries/healthcare.html</w:t>
        </w:r>
      </w:hyperlink>
      <w:r w:rsidRPr="00356B99">
        <w:rPr>
          <w:rFonts w:ascii="Times New Roman" w:hAnsi="Times New Roman" w:cs="Times New Roman"/>
        </w:rPr>
        <w:t xml:space="preserve"> </w:t>
      </w:r>
    </w:p>
  </w:footnote>
  <w:footnote w:id="133">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新加坡經濟發展局，</w:t>
      </w:r>
      <w:r w:rsidRPr="00356B99">
        <w:rPr>
          <w:rFonts w:ascii="Times New Roman" w:hAnsi="Times New Roman" w:cs="Times New Roman"/>
        </w:rPr>
        <w:t>2016</w:t>
      </w:r>
      <w:r w:rsidRPr="00356B99">
        <w:rPr>
          <w:rFonts w:ascii="Times New Roman" w:hAnsi="Times New Roman" w:cs="Times New Roman"/>
        </w:rPr>
        <w:t>，〈投資新加坡</w:t>
      </w:r>
      <w:r w:rsidRPr="00356B99">
        <w:rPr>
          <w:rFonts w:ascii="Times New Roman" w:hAnsi="Times New Roman" w:cs="Times New Roman"/>
        </w:rPr>
        <w:t>-2016</w:t>
      </w:r>
      <w:r w:rsidRPr="00356B99">
        <w:rPr>
          <w:rFonts w:ascii="Times New Roman" w:hAnsi="Times New Roman" w:cs="Times New Roman"/>
        </w:rPr>
        <w:t>年</w:t>
      </w:r>
      <w:r w:rsidRPr="00356B99">
        <w:rPr>
          <w:rFonts w:ascii="Times New Roman" w:hAnsi="Times New Roman" w:cs="Times New Roman"/>
        </w:rPr>
        <w:t>4</w:t>
      </w:r>
      <w:r w:rsidRPr="00356B99">
        <w:rPr>
          <w:rFonts w:ascii="Times New Roman" w:hAnsi="Times New Roman" w:cs="Times New Roman"/>
        </w:rPr>
        <w:t>月至</w:t>
      </w:r>
      <w:r w:rsidRPr="00356B99">
        <w:rPr>
          <w:rFonts w:ascii="Times New Roman" w:hAnsi="Times New Roman" w:cs="Times New Roman"/>
        </w:rPr>
        <w:t>6</w:t>
      </w:r>
      <w:r w:rsidRPr="00356B99">
        <w:rPr>
          <w:rFonts w:ascii="Times New Roman" w:hAnsi="Times New Roman" w:cs="Times New Roman"/>
        </w:rPr>
        <w:t>月〉。</w:t>
      </w:r>
    </w:p>
  </w:footnote>
  <w:footnote w:id="13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電電時代，</w:t>
      </w:r>
      <w:r w:rsidRPr="00356B99">
        <w:rPr>
          <w:rFonts w:ascii="Times New Roman" w:hAnsi="Times New Roman" w:cs="Times New Roman"/>
        </w:rPr>
        <w:t>2014</w:t>
      </w:r>
      <w:r w:rsidRPr="00356B99">
        <w:rPr>
          <w:rFonts w:ascii="Times New Roman" w:hAnsi="Times New Roman" w:cs="Times New Roman"/>
        </w:rPr>
        <w:t>，《掌握智慧醫療四大趨勢》，</w:t>
      </w:r>
      <w:r w:rsidRPr="00356B99">
        <w:rPr>
          <w:rFonts w:ascii="Times New Roman" w:hAnsi="Times New Roman" w:cs="Times New Roman"/>
        </w:rPr>
        <w:t>2</w:t>
      </w:r>
      <w:r w:rsidRPr="00356B99">
        <w:rPr>
          <w:rFonts w:ascii="Times New Roman" w:hAnsi="Times New Roman" w:cs="Times New Roman"/>
        </w:rPr>
        <w:t>月</w:t>
      </w:r>
      <w:r w:rsidRPr="00356B99">
        <w:rPr>
          <w:rFonts w:ascii="Times New Roman" w:hAnsi="Times New Roman" w:cs="Times New Roman"/>
        </w:rPr>
        <w:t>19</w:t>
      </w:r>
      <w:r w:rsidRPr="00356B99">
        <w:rPr>
          <w:rFonts w:ascii="Times New Roman" w:hAnsi="Times New Roman" w:cs="Times New Roman"/>
        </w:rPr>
        <w:t>日。</w:t>
      </w:r>
    </w:p>
  </w:footnote>
  <w:footnote w:id="135">
    <w:p w:rsidR="00441968" w:rsidRPr="00356B99" w:rsidRDefault="00441968" w:rsidP="00E078C6">
      <w:pPr>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駐清奈辦事處，</w:t>
      </w:r>
      <w:r w:rsidRPr="00356B99">
        <w:rPr>
          <w:rFonts w:ascii="Times New Roman" w:hAnsi="Times New Roman" w:cs="Times New Roman"/>
          <w:sz w:val="20"/>
          <w:szCs w:val="20"/>
        </w:rPr>
        <w:t>2014</w:t>
      </w:r>
      <w:r w:rsidRPr="00356B99">
        <w:rPr>
          <w:rFonts w:ascii="Times New Roman" w:hAnsi="Times New Roman" w:cs="Times New Roman"/>
          <w:sz w:val="20"/>
          <w:szCs w:val="20"/>
        </w:rPr>
        <w:t>，《政策作多激勵印度醫療市場潛力無限》，經貿透視雙周刊，</w:t>
      </w:r>
      <w:r w:rsidRPr="00356B99">
        <w:rPr>
          <w:rFonts w:ascii="Times New Roman" w:hAnsi="Times New Roman" w:cs="Times New Roman"/>
          <w:sz w:val="20"/>
          <w:szCs w:val="20"/>
        </w:rPr>
        <w:t>7</w:t>
      </w:r>
      <w:r w:rsidRPr="00356B99">
        <w:rPr>
          <w:rFonts w:ascii="Times New Roman" w:hAnsi="Times New Roman" w:cs="Times New Roman"/>
          <w:sz w:val="20"/>
          <w:szCs w:val="20"/>
        </w:rPr>
        <w:t>月</w:t>
      </w:r>
      <w:r w:rsidRPr="00356B99">
        <w:rPr>
          <w:rFonts w:ascii="Times New Roman" w:hAnsi="Times New Roman" w:cs="Times New Roman"/>
          <w:sz w:val="20"/>
          <w:szCs w:val="20"/>
        </w:rPr>
        <w:t>9</w:t>
      </w:r>
      <w:r w:rsidRPr="00356B99">
        <w:rPr>
          <w:rFonts w:ascii="Times New Roman" w:hAnsi="Times New Roman" w:cs="Times New Roman"/>
          <w:sz w:val="20"/>
          <w:szCs w:val="20"/>
        </w:rPr>
        <w:t>日。</w:t>
      </w:r>
    </w:p>
  </w:footnote>
  <w:footnote w:id="136">
    <w:p w:rsidR="00441968" w:rsidRPr="00356B99" w:rsidRDefault="00441968" w:rsidP="00E078C6">
      <w:pPr>
        <w:rPr>
          <w:rFonts w:ascii="Times New Roman" w:hAnsi="Times New Roman" w:cs="Times New Roman"/>
          <w:sz w:val="20"/>
          <w:szCs w:val="20"/>
        </w:rPr>
      </w:pPr>
      <w:r w:rsidRPr="00356B99">
        <w:rPr>
          <w:rStyle w:val="a9"/>
          <w:rFonts w:ascii="Times New Roman" w:hAnsi="Times New Roman" w:cs="Times New Roman"/>
          <w:sz w:val="20"/>
          <w:szCs w:val="20"/>
        </w:rPr>
        <w:footnoteRef/>
      </w:r>
      <w:r w:rsidRPr="00356B99">
        <w:rPr>
          <w:rFonts w:ascii="Times New Roman" w:hAnsi="Times New Roman" w:cs="Times New Roman"/>
          <w:sz w:val="20"/>
          <w:szCs w:val="20"/>
        </w:rPr>
        <w:t xml:space="preserve"> </w:t>
      </w:r>
      <w:r w:rsidRPr="00356B99">
        <w:rPr>
          <w:rFonts w:ascii="Times New Roman" w:hAnsi="Times New Roman" w:cs="Times New Roman"/>
          <w:sz w:val="20"/>
          <w:szCs w:val="20"/>
        </w:rPr>
        <w:t>「印度醫器產業</w:t>
      </w:r>
      <w:r w:rsidRPr="00356B99">
        <w:rPr>
          <w:rFonts w:ascii="Times New Roman" w:hAnsi="Times New Roman" w:cs="Times New Roman"/>
          <w:sz w:val="20"/>
          <w:szCs w:val="20"/>
        </w:rPr>
        <w:t xml:space="preserve"> </w:t>
      </w:r>
      <w:r w:rsidRPr="00356B99">
        <w:rPr>
          <w:rFonts w:ascii="Times New Roman" w:hAnsi="Times New Roman" w:cs="Times New Roman"/>
          <w:sz w:val="20"/>
          <w:szCs w:val="20"/>
        </w:rPr>
        <w:t>猶如旭日跳升」，</w:t>
      </w:r>
      <w:r w:rsidRPr="00356B99">
        <w:rPr>
          <w:rFonts w:ascii="Times New Roman" w:hAnsi="Times New Roman" w:cs="Times New Roman"/>
          <w:b/>
          <w:sz w:val="20"/>
          <w:szCs w:val="20"/>
        </w:rPr>
        <w:t>貿協全球資訊網</w:t>
      </w:r>
      <w:r w:rsidRPr="00356B99">
        <w:rPr>
          <w:rFonts w:ascii="Times New Roman" w:hAnsi="Times New Roman" w:cs="Times New Roman"/>
          <w:sz w:val="20"/>
          <w:szCs w:val="20"/>
        </w:rPr>
        <w:t>，</w:t>
      </w:r>
      <w:r w:rsidRPr="00356B99">
        <w:rPr>
          <w:rFonts w:ascii="Times New Roman" w:hAnsi="Times New Roman" w:cs="Times New Roman"/>
          <w:sz w:val="20"/>
          <w:szCs w:val="20"/>
        </w:rPr>
        <w:t>2014</w:t>
      </w:r>
      <w:r w:rsidRPr="00356B99">
        <w:rPr>
          <w:rFonts w:ascii="Times New Roman" w:hAnsi="Times New Roman" w:cs="Times New Roman"/>
          <w:sz w:val="20"/>
          <w:szCs w:val="20"/>
        </w:rPr>
        <w:t>年</w:t>
      </w:r>
      <w:r w:rsidRPr="00356B99">
        <w:rPr>
          <w:rFonts w:ascii="Times New Roman" w:hAnsi="Times New Roman" w:cs="Times New Roman"/>
          <w:sz w:val="20"/>
          <w:szCs w:val="20"/>
        </w:rPr>
        <w:t>1</w:t>
      </w:r>
      <w:r w:rsidRPr="00356B99">
        <w:rPr>
          <w:rFonts w:ascii="Times New Roman" w:hAnsi="Times New Roman" w:cs="Times New Roman"/>
          <w:sz w:val="20"/>
          <w:szCs w:val="20"/>
        </w:rPr>
        <w:t>月</w:t>
      </w:r>
      <w:r w:rsidRPr="00356B99">
        <w:rPr>
          <w:rFonts w:ascii="Times New Roman" w:hAnsi="Times New Roman" w:cs="Times New Roman"/>
          <w:sz w:val="20"/>
          <w:szCs w:val="20"/>
        </w:rPr>
        <w:t>27</w:t>
      </w:r>
      <w:r w:rsidRPr="00356B99">
        <w:rPr>
          <w:rFonts w:ascii="Times New Roman" w:hAnsi="Times New Roman" w:cs="Times New Roman"/>
          <w:sz w:val="20"/>
          <w:szCs w:val="20"/>
        </w:rPr>
        <w:t>日，</w:t>
      </w:r>
      <w:r w:rsidRPr="00356B99">
        <w:rPr>
          <w:rFonts w:ascii="Times New Roman" w:hAnsi="Times New Roman" w:cs="Times New Roman"/>
          <w:sz w:val="20"/>
          <w:szCs w:val="20"/>
        </w:rPr>
        <w:t xml:space="preserve"> &lt;http://www.taitraesource.com/page03.asp?mag_id=64280&gt;</w:t>
      </w:r>
    </w:p>
  </w:footnote>
  <w:footnote w:id="137">
    <w:p w:rsidR="00441968" w:rsidRPr="00356B99" w:rsidRDefault="00441968" w:rsidP="00E078C6">
      <w:pPr>
        <w:pStyle w:val="a7"/>
        <w:rPr>
          <w:rFonts w:ascii="Times New Roman" w:hAnsi="Times New Roman" w:cs="Times New Roman"/>
          <w:sz w:val="22"/>
          <w:szCs w:val="22"/>
        </w:rPr>
      </w:pPr>
      <w:r w:rsidRPr="00356B99">
        <w:rPr>
          <w:rStyle w:val="a9"/>
          <w:rFonts w:ascii="Times New Roman" w:hAnsi="Times New Roman" w:cs="Times New Roman"/>
          <w:sz w:val="22"/>
          <w:szCs w:val="22"/>
        </w:rPr>
        <w:footnoteRef/>
      </w:r>
      <w:r w:rsidRPr="00356B99">
        <w:rPr>
          <w:rFonts w:ascii="Times New Roman" w:hAnsi="Times New Roman" w:cs="Times New Roman"/>
          <w:sz w:val="22"/>
          <w:szCs w:val="22"/>
        </w:rPr>
        <w:t xml:space="preserve"> </w:t>
      </w:r>
      <w:r w:rsidRPr="00356B99">
        <w:rPr>
          <w:rFonts w:ascii="Times New Roman" w:hAnsi="Times New Roman" w:cs="Times New Roman"/>
          <w:sz w:val="22"/>
          <w:szCs w:val="22"/>
        </w:rPr>
        <w:t>聯合新聞網，</w:t>
      </w:r>
      <w:r w:rsidRPr="00356B99">
        <w:rPr>
          <w:rFonts w:ascii="Times New Roman" w:hAnsi="Times New Roman" w:cs="Times New Roman"/>
          <w:sz w:val="22"/>
          <w:szCs w:val="22"/>
        </w:rPr>
        <w:t>2016</w:t>
      </w:r>
      <w:r w:rsidRPr="00356B99">
        <w:rPr>
          <w:rFonts w:ascii="Times New Roman" w:hAnsi="Times New Roman" w:cs="Times New Roman"/>
          <w:sz w:val="22"/>
          <w:szCs w:val="22"/>
        </w:rPr>
        <w:t>年，〈財經觀點／男性美妝市場</w:t>
      </w:r>
      <w:r w:rsidRPr="00356B99">
        <w:rPr>
          <w:rFonts w:ascii="Times New Roman" w:hAnsi="Times New Roman" w:cs="Times New Roman"/>
          <w:sz w:val="22"/>
          <w:szCs w:val="22"/>
        </w:rPr>
        <w:t xml:space="preserve"> </w:t>
      </w:r>
      <w:r w:rsidRPr="00356B99">
        <w:rPr>
          <w:rFonts w:ascii="Times New Roman" w:hAnsi="Times New Roman" w:cs="Times New Roman"/>
          <w:sz w:val="22"/>
          <w:szCs w:val="22"/>
        </w:rPr>
        <w:t>泰有潛力〉，</w:t>
      </w:r>
      <w:r w:rsidRPr="00356B99">
        <w:rPr>
          <w:rFonts w:ascii="Times New Roman" w:hAnsi="Times New Roman" w:cs="Times New Roman"/>
          <w:sz w:val="22"/>
          <w:szCs w:val="22"/>
        </w:rPr>
        <w:t>7</w:t>
      </w:r>
      <w:r w:rsidRPr="00356B99">
        <w:rPr>
          <w:rFonts w:ascii="Times New Roman" w:hAnsi="Times New Roman" w:cs="Times New Roman"/>
          <w:sz w:val="22"/>
          <w:szCs w:val="22"/>
        </w:rPr>
        <w:t>月</w:t>
      </w:r>
      <w:r w:rsidRPr="00356B99">
        <w:rPr>
          <w:rFonts w:ascii="Times New Roman" w:hAnsi="Times New Roman" w:cs="Times New Roman"/>
          <w:sz w:val="22"/>
          <w:szCs w:val="22"/>
        </w:rPr>
        <w:t>20</w:t>
      </w:r>
      <w:r w:rsidRPr="00356B99">
        <w:rPr>
          <w:rFonts w:ascii="Times New Roman" w:hAnsi="Times New Roman" w:cs="Times New Roman"/>
          <w:sz w:val="22"/>
          <w:szCs w:val="22"/>
        </w:rPr>
        <w:t>日。</w:t>
      </w:r>
      <w:hyperlink r:id="rId83" w:history="1">
        <w:r w:rsidRPr="00356B99">
          <w:rPr>
            <w:rStyle w:val="aa"/>
            <w:rFonts w:ascii="Times New Roman" w:hAnsi="Times New Roman" w:cs="Times New Roman"/>
            <w:color w:val="auto"/>
            <w:sz w:val="22"/>
            <w:szCs w:val="22"/>
          </w:rPr>
          <w:t>http://udn.com/news/story/7241/1839502</w:t>
        </w:r>
      </w:hyperlink>
      <w:r w:rsidRPr="00356B99">
        <w:rPr>
          <w:rFonts w:ascii="Times New Roman" w:hAnsi="Times New Roman" w:cs="Times New Roman"/>
          <w:sz w:val="22"/>
          <w:szCs w:val="22"/>
        </w:rPr>
        <w:t xml:space="preserve"> </w:t>
      </w:r>
    </w:p>
  </w:footnote>
  <w:footnote w:id="13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陳逸潔，</w:t>
      </w:r>
      <w:r w:rsidRPr="00356B99">
        <w:rPr>
          <w:rFonts w:ascii="Times New Roman" w:hAnsi="Times New Roman" w:cs="Times New Roman"/>
        </w:rPr>
        <w:t>2014</w:t>
      </w:r>
      <w:r w:rsidRPr="00356B99">
        <w:rPr>
          <w:rFonts w:ascii="Times New Roman" w:hAnsi="Times New Roman" w:cs="Times New Roman"/>
        </w:rPr>
        <w:t>。臺東協農產貿易與農業合作之現況與可能面向。全球臺商</w:t>
      </w:r>
      <w:r w:rsidRPr="00356B99">
        <w:rPr>
          <w:rFonts w:ascii="Times New Roman" w:hAnsi="Times New Roman" w:cs="Times New Roman"/>
        </w:rPr>
        <w:t>e</w:t>
      </w:r>
      <w:r w:rsidRPr="00356B99">
        <w:rPr>
          <w:rFonts w:ascii="Times New Roman" w:hAnsi="Times New Roman" w:cs="Times New Roman"/>
        </w:rPr>
        <w:t>焦點電子報。</w:t>
      </w:r>
    </w:p>
  </w:footnote>
  <w:footnote w:id="139">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同註</w:t>
      </w:r>
      <w:r w:rsidRPr="00356B99">
        <w:rPr>
          <w:rFonts w:ascii="Times New Roman" w:hAnsi="Times New Roman" w:cs="Times New Roman"/>
        </w:rPr>
        <w:t>5</w:t>
      </w:r>
      <w:r w:rsidRPr="00356B99">
        <w:rPr>
          <w:rFonts w:ascii="Times New Roman" w:hAnsi="Times New Roman" w:cs="Times New Roman"/>
        </w:rPr>
        <w:t>。</w:t>
      </w:r>
    </w:p>
  </w:footnote>
  <w:footnote w:id="14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楊玉婷，</w:t>
      </w:r>
      <w:r w:rsidRPr="00356B99">
        <w:rPr>
          <w:rFonts w:ascii="Times New Roman" w:hAnsi="Times New Roman" w:cs="Times New Roman"/>
        </w:rPr>
        <w:t>2012</w:t>
      </w:r>
      <w:r w:rsidRPr="00356B99">
        <w:rPr>
          <w:rFonts w:ascii="Times New Roman" w:hAnsi="Times New Roman" w:cs="Times New Roman"/>
        </w:rPr>
        <w:t>年</w:t>
      </w:r>
      <w:r w:rsidRPr="00356B99">
        <w:rPr>
          <w:rFonts w:ascii="Times New Roman" w:hAnsi="Times New Roman" w:cs="Times New Roman"/>
        </w:rPr>
        <w:t>3</w:t>
      </w:r>
      <w:r w:rsidRPr="00356B99">
        <w:rPr>
          <w:rFonts w:ascii="Times New Roman" w:hAnsi="Times New Roman" w:cs="Times New Roman"/>
        </w:rPr>
        <w:t>月。「泰國農業發展現況與相關政策探析」。臺灣經濟研究月刊。</w:t>
      </w:r>
    </w:p>
  </w:footnote>
  <w:footnote w:id="14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東協秘書處</w:t>
      </w:r>
      <w:r w:rsidRPr="00356B99">
        <w:rPr>
          <w:rFonts w:ascii="Times New Roman" w:hAnsi="Times New Roman" w:cs="Times New Roman"/>
        </w:rPr>
        <w:t xml:space="preserve">,2015. </w:t>
      </w:r>
      <w:r w:rsidRPr="00356B99">
        <w:rPr>
          <w:rFonts w:ascii="Times New Roman" w:hAnsi="Times New Roman" w:cs="Times New Roman"/>
          <w:i/>
        </w:rPr>
        <w:t>ASEAN Economic Community Chartbook</w:t>
      </w:r>
      <w:r w:rsidRPr="00356B99">
        <w:rPr>
          <w:rFonts w:ascii="Times New Roman" w:hAnsi="Times New Roman" w:cs="Times New Roman"/>
        </w:rPr>
        <w:t>.</w:t>
      </w:r>
    </w:p>
  </w:footnote>
  <w:footnote w:id="142">
    <w:p w:rsidR="00441968" w:rsidRPr="002A55FB" w:rsidRDefault="00441968">
      <w:pPr>
        <w:pStyle w:val="a7"/>
        <w:rPr>
          <w:color w:val="FF0000"/>
        </w:rPr>
      </w:pPr>
      <w:r w:rsidRPr="00B821F4">
        <w:rPr>
          <w:rStyle w:val="a9"/>
          <w:color w:val="000000" w:themeColor="text1"/>
        </w:rPr>
        <w:footnoteRef/>
      </w:r>
      <w:r w:rsidRPr="00B821F4">
        <w:rPr>
          <w:color w:val="000000" w:themeColor="text1"/>
        </w:rPr>
        <w:t xml:space="preserve"> </w:t>
      </w:r>
      <w:r w:rsidRPr="00B821F4">
        <w:rPr>
          <w:rFonts w:hint="eastAsia"/>
          <w:color w:val="000000" w:themeColor="text1"/>
        </w:rPr>
        <w:t>李詩慧</w:t>
      </w:r>
      <w:r w:rsidRPr="00B821F4">
        <w:rPr>
          <w:color w:val="000000" w:themeColor="text1"/>
        </w:rPr>
        <w:t>，</w:t>
      </w:r>
      <w:r w:rsidRPr="00B821F4">
        <w:rPr>
          <w:rFonts w:hint="eastAsia"/>
          <w:color w:val="000000" w:themeColor="text1"/>
        </w:rPr>
        <w:t>2015</w:t>
      </w:r>
      <w:r w:rsidRPr="00B821F4">
        <w:rPr>
          <w:rFonts w:hint="eastAsia"/>
          <w:color w:val="000000" w:themeColor="text1"/>
        </w:rPr>
        <w:t>，</w:t>
      </w:r>
      <w:r w:rsidRPr="00B821F4">
        <w:rPr>
          <w:rFonts w:asciiTheme="minorEastAsia" w:hAnsiTheme="minorEastAsia" w:hint="eastAsia"/>
          <w:color w:val="000000" w:themeColor="text1"/>
        </w:rPr>
        <w:t xml:space="preserve">〈夏立言識人不清 </w:t>
      </w:r>
      <w:r w:rsidR="00E524DA">
        <w:rPr>
          <w:rFonts w:asciiTheme="minorEastAsia" w:hAnsiTheme="minorEastAsia" w:hint="eastAsia"/>
          <w:color w:val="000000" w:themeColor="text1"/>
        </w:rPr>
        <w:t>臺</w:t>
      </w:r>
      <w:r w:rsidRPr="00B821F4">
        <w:rPr>
          <w:rFonts w:asciiTheme="minorEastAsia" w:hAnsiTheme="minorEastAsia" w:hint="eastAsia"/>
          <w:color w:val="000000" w:themeColor="text1"/>
        </w:rPr>
        <w:t>商遭</w:t>
      </w:r>
      <w:r w:rsidR="00E524DA">
        <w:rPr>
          <w:rFonts w:asciiTheme="minorEastAsia" w:hAnsiTheme="minorEastAsia" w:hint="eastAsia"/>
          <w:color w:val="000000" w:themeColor="text1"/>
        </w:rPr>
        <w:t>臺</w:t>
      </w:r>
      <w:r w:rsidRPr="00B821F4">
        <w:rPr>
          <w:rFonts w:asciiTheme="minorEastAsia" w:hAnsiTheme="minorEastAsia" w:hint="eastAsia"/>
          <w:color w:val="000000" w:themeColor="text1"/>
        </w:rPr>
        <w:t>旺工業區坑殺〉，《壹週刊》，2月25日。</w:t>
      </w:r>
      <w:hyperlink r:id="rId84" w:history="1">
        <w:r w:rsidRPr="005715E3">
          <w:rPr>
            <w:rStyle w:val="aa"/>
            <w:rFonts w:asciiTheme="minorEastAsia" w:hAnsiTheme="minorEastAsia"/>
          </w:rPr>
          <w:t>http://www.nextmag.com.tw/breaking-news/news/20150225/15260745</w:t>
        </w:r>
      </w:hyperlink>
      <w:r>
        <w:rPr>
          <w:rFonts w:asciiTheme="minorEastAsia" w:hAnsiTheme="minorEastAsia" w:hint="eastAsia"/>
          <w:color w:val="FF0000"/>
        </w:rPr>
        <w:t xml:space="preserve"> </w:t>
      </w:r>
    </w:p>
  </w:footnote>
  <w:footnote w:id="143">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臺經觀點，</w:t>
      </w:r>
      <w:r w:rsidRPr="00356B99">
        <w:rPr>
          <w:rFonts w:ascii="Times New Roman" w:hAnsi="Times New Roman" w:cs="Times New Roman"/>
        </w:rPr>
        <w:t>2016</w:t>
      </w:r>
      <w:r w:rsidRPr="00356B99">
        <w:rPr>
          <w:rFonts w:ascii="Times New Roman" w:hAnsi="Times New Roman" w:cs="Times New Roman"/>
        </w:rPr>
        <w:t>，〈新南向政策應結合產業發展思維〉，</w:t>
      </w:r>
      <w:r w:rsidRPr="00356B99">
        <w:rPr>
          <w:rFonts w:ascii="Times New Roman" w:hAnsi="Times New Roman" w:cs="Times New Roman"/>
        </w:rPr>
        <w:t>5</w:t>
      </w:r>
      <w:r w:rsidRPr="00356B99">
        <w:rPr>
          <w:rFonts w:ascii="Times New Roman" w:hAnsi="Times New Roman" w:cs="Times New Roman"/>
        </w:rPr>
        <w:t>月</w:t>
      </w:r>
      <w:r w:rsidRPr="00356B99">
        <w:rPr>
          <w:rFonts w:ascii="Times New Roman" w:hAnsi="Times New Roman" w:cs="Times New Roman"/>
        </w:rPr>
        <w:t>6</w:t>
      </w:r>
      <w:r w:rsidRPr="00356B99">
        <w:rPr>
          <w:rFonts w:ascii="Times New Roman" w:hAnsi="Times New Roman" w:cs="Times New Roman"/>
        </w:rPr>
        <w:t>日。</w:t>
      </w:r>
      <w:hyperlink r:id="rId85" w:history="1">
        <w:r w:rsidRPr="00356B99">
          <w:rPr>
            <w:rStyle w:val="aa"/>
            <w:rFonts w:ascii="Times New Roman" w:hAnsi="Times New Roman" w:cs="Times New Roman"/>
            <w:color w:val="auto"/>
          </w:rPr>
          <w:t>http://www.tier.org.tw/comment/pec1010.aspx?GUID=e537295a-e0ec-4ae1-8240-6a0a4271f1d3</w:t>
        </w:r>
      </w:hyperlink>
      <w:r w:rsidRPr="00356B99">
        <w:rPr>
          <w:rFonts w:ascii="Times New Roman" w:hAnsi="Times New Roman" w:cs="Times New Roman"/>
        </w:rPr>
        <w:t xml:space="preserve"> </w:t>
      </w:r>
    </w:p>
  </w:footnote>
  <w:footnote w:id="144">
    <w:p w:rsidR="00441968" w:rsidRPr="00356B99" w:rsidRDefault="00441968" w:rsidP="00E078C6">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臺經時事關注，</w:t>
      </w:r>
      <w:r w:rsidRPr="00356B99">
        <w:rPr>
          <w:rFonts w:ascii="Times New Roman" w:hAnsi="Times New Roman" w:cs="Times New Roman"/>
        </w:rPr>
        <w:t>2016</w:t>
      </w:r>
      <w:r w:rsidRPr="00356B99">
        <w:rPr>
          <w:rFonts w:ascii="Times New Roman" w:hAnsi="Times New Roman" w:cs="Times New Roman"/>
        </w:rPr>
        <w:t>，〈拓展印度市場要著重在地化及系統整合〉，</w:t>
      </w:r>
      <w:r w:rsidRPr="00356B99">
        <w:rPr>
          <w:rFonts w:ascii="Times New Roman" w:hAnsi="Times New Roman" w:cs="Times New Roman"/>
        </w:rPr>
        <w:t>7</w:t>
      </w:r>
      <w:r w:rsidRPr="00356B99">
        <w:rPr>
          <w:rFonts w:ascii="Times New Roman" w:hAnsi="Times New Roman" w:cs="Times New Roman"/>
        </w:rPr>
        <w:t>月</w:t>
      </w:r>
      <w:r w:rsidRPr="00356B99">
        <w:rPr>
          <w:rFonts w:ascii="Times New Roman" w:hAnsi="Times New Roman" w:cs="Times New Roman"/>
        </w:rPr>
        <w:t>4</w:t>
      </w:r>
      <w:r w:rsidRPr="00356B99">
        <w:rPr>
          <w:rFonts w:ascii="Times New Roman" w:hAnsi="Times New Roman" w:cs="Times New Roman"/>
        </w:rPr>
        <w:t>日。</w:t>
      </w:r>
      <w:hyperlink r:id="rId86" w:history="1">
        <w:r w:rsidRPr="00356B99">
          <w:rPr>
            <w:rStyle w:val="aa"/>
            <w:rFonts w:ascii="Times New Roman" w:hAnsi="Times New Roman" w:cs="Times New Roman"/>
            <w:color w:val="auto"/>
          </w:rPr>
          <w:t>http://www.tier.org.tw/comment/pec5010.aspx?GUID=a8236e18-03fa-4a30-85f2-d3d021b2dd40</w:t>
        </w:r>
      </w:hyperlink>
      <w:r w:rsidRPr="00356B99">
        <w:rPr>
          <w:rFonts w:ascii="Times New Roman" w:hAnsi="Times New Roman" w:cs="Times New Roman"/>
        </w:rPr>
        <w:t xml:space="preserve"> </w:t>
      </w:r>
    </w:p>
  </w:footnote>
  <w:footnote w:id="145">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自由時報，</w:t>
      </w:r>
      <w:r w:rsidRPr="00356B99">
        <w:rPr>
          <w:rFonts w:ascii="Times New Roman" w:hAnsi="Times New Roman" w:cs="Times New Roman"/>
        </w:rPr>
        <w:t>2016</w:t>
      </w:r>
      <w:r w:rsidRPr="00356B99">
        <w:rPr>
          <w:rFonts w:ascii="Times New Roman" w:hAnsi="Times New Roman" w:cs="Times New Roman"/>
        </w:rPr>
        <w:t>年，〈臺灣</w:t>
      </w:r>
      <w:r w:rsidRPr="00356B99">
        <w:rPr>
          <w:rFonts w:ascii="Times New Roman" w:hAnsi="Times New Roman" w:cs="Times New Roman"/>
        </w:rPr>
        <w:t>ETC</w:t>
      </w:r>
      <w:r w:rsidRPr="00356B99">
        <w:rPr>
          <w:rFonts w:ascii="Times New Roman" w:hAnsi="Times New Roman" w:cs="Times New Roman"/>
        </w:rPr>
        <w:t>獲國際道路協會頒發全球道路成就獎〉，</w:t>
      </w:r>
      <w:r w:rsidRPr="00356B99">
        <w:rPr>
          <w:rFonts w:ascii="Times New Roman" w:hAnsi="Times New Roman" w:cs="Times New Roman"/>
        </w:rPr>
        <w:t>10</w:t>
      </w:r>
      <w:r w:rsidRPr="00356B99">
        <w:rPr>
          <w:rFonts w:ascii="Times New Roman" w:hAnsi="Times New Roman" w:cs="Times New Roman"/>
        </w:rPr>
        <w:t>月</w:t>
      </w:r>
      <w:r w:rsidRPr="00356B99">
        <w:rPr>
          <w:rFonts w:ascii="Times New Roman" w:hAnsi="Times New Roman" w:cs="Times New Roman"/>
        </w:rPr>
        <w:t>19</w:t>
      </w:r>
      <w:r w:rsidRPr="00356B99">
        <w:rPr>
          <w:rFonts w:ascii="Times New Roman" w:hAnsi="Times New Roman" w:cs="Times New Roman"/>
        </w:rPr>
        <w:t>日。</w:t>
      </w:r>
      <w:hyperlink r:id="rId87" w:history="1">
        <w:r w:rsidRPr="00356B99">
          <w:rPr>
            <w:rStyle w:val="aa"/>
            <w:rFonts w:ascii="Times New Roman" w:hAnsi="Times New Roman" w:cs="Times New Roman"/>
            <w:color w:val="auto"/>
          </w:rPr>
          <w:t>http://news.ltn.com.tw/news/life/breakingnews/1860805</w:t>
        </w:r>
      </w:hyperlink>
      <w:r w:rsidRPr="00356B99">
        <w:rPr>
          <w:rFonts w:ascii="Times New Roman" w:hAnsi="Times New Roman" w:cs="Times New Roman"/>
        </w:rPr>
        <w:t xml:space="preserve"> </w:t>
      </w:r>
    </w:p>
  </w:footnote>
  <w:footnote w:id="146">
    <w:p w:rsidR="00441968" w:rsidRPr="00356B99" w:rsidRDefault="00441968" w:rsidP="00705D5A">
      <w:pPr>
        <w:pStyle w:val="a7"/>
        <w:tabs>
          <w:tab w:val="left" w:pos="567"/>
        </w:tabs>
        <w:spacing w:beforeLines="50" w:before="180" w:afterLines="50" w:after="180"/>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陳宏欣，〈跨境電商全球概況〉，電子商務名家專欄，</w:t>
      </w:r>
      <w:hyperlink r:id="rId88" w:history="1">
        <w:r w:rsidRPr="00356B99">
          <w:rPr>
            <w:rStyle w:val="aa"/>
            <w:rFonts w:ascii="Times New Roman" w:hAnsi="Times New Roman" w:cs="Times New Roman"/>
            <w:color w:val="auto"/>
          </w:rPr>
          <w:t>http://cii.nthu.edu.tw/index.php?option=com_wrapper&amp;view=wrapper&amp;Itemid=334</w:t>
        </w:r>
      </w:hyperlink>
    </w:p>
  </w:footnote>
  <w:footnote w:id="14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何明豐，臺經院座談會發言。</w:t>
      </w:r>
    </w:p>
  </w:footnote>
  <w:footnote w:id="14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馬尼克，臺經院座談會發言。</w:t>
      </w:r>
    </w:p>
  </w:footnote>
  <w:footnote w:id="149">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李宜桓，臺經院座談會發言。</w:t>
      </w:r>
    </w:p>
  </w:footnote>
  <w:footnote w:id="15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張煜霖，臺經院座談會發言。</w:t>
      </w:r>
    </w:p>
  </w:footnote>
  <w:footnote w:id="151">
    <w:p w:rsidR="00441968" w:rsidRPr="00356B99" w:rsidRDefault="00441968" w:rsidP="00A93DC1">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新加坡物流與電商通盤考量從行銷到接單出貨的流程，包括：（</w:t>
      </w:r>
      <w:r w:rsidRPr="00356B99">
        <w:rPr>
          <w:rFonts w:ascii="Times New Roman" w:hAnsi="Times New Roman" w:cs="Times New Roman"/>
        </w:rPr>
        <w:t>1</w:t>
      </w:r>
      <w:r w:rsidRPr="00356B99">
        <w:rPr>
          <w:rFonts w:ascii="Times New Roman" w:hAnsi="Times New Roman" w:cs="Times New Roman"/>
        </w:rPr>
        <w:t>）</w:t>
      </w:r>
      <w:r w:rsidRPr="00356B99">
        <w:rPr>
          <w:rFonts w:ascii="Times New Roman" w:hAnsi="Times New Roman" w:cs="Times New Roman"/>
        </w:rPr>
        <w:t xml:space="preserve"> </w:t>
      </w:r>
      <w:r w:rsidRPr="00356B99">
        <w:rPr>
          <w:rFonts w:ascii="Times New Roman" w:hAnsi="Times New Roman" w:cs="Times New Roman"/>
        </w:rPr>
        <w:t>跨通路的商品庫存透明化。（</w:t>
      </w:r>
      <w:r w:rsidRPr="00356B99">
        <w:rPr>
          <w:rFonts w:ascii="Times New Roman" w:hAnsi="Times New Roman" w:cs="Times New Roman"/>
        </w:rPr>
        <w:t>2</w:t>
      </w:r>
      <w:r w:rsidRPr="00356B99">
        <w:rPr>
          <w:rFonts w:ascii="Times New Roman" w:hAnsi="Times New Roman" w:cs="Times New Roman"/>
        </w:rPr>
        <w:t>）</w:t>
      </w:r>
      <w:r w:rsidRPr="00356B99">
        <w:rPr>
          <w:rFonts w:ascii="Times New Roman" w:hAnsi="Times New Roman" w:cs="Times New Roman"/>
        </w:rPr>
        <w:t xml:space="preserve"> </w:t>
      </w:r>
      <w:r w:rsidRPr="00356B99">
        <w:rPr>
          <w:rFonts w:ascii="Times New Roman" w:hAnsi="Times New Roman" w:cs="Times New Roman"/>
        </w:rPr>
        <w:t>消費者體驗包含在各環節：從產品、服務設計到包裝、運送、交付（</w:t>
      </w:r>
      <w:r w:rsidRPr="00356B99">
        <w:rPr>
          <w:rFonts w:ascii="Times New Roman" w:hAnsi="Times New Roman" w:cs="Times New Roman"/>
        </w:rPr>
        <w:t>3</w:t>
      </w:r>
      <w:r w:rsidRPr="00356B99">
        <w:rPr>
          <w:rFonts w:ascii="Times New Roman" w:hAnsi="Times New Roman" w:cs="Times New Roman"/>
        </w:rPr>
        <w:t>）線上與線下分析的整合。（</w:t>
      </w:r>
      <w:r w:rsidRPr="00356B99">
        <w:rPr>
          <w:rFonts w:ascii="Times New Roman" w:hAnsi="Times New Roman" w:cs="Times New Roman"/>
        </w:rPr>
        <w:t>4</w:t>
      </w:r>
      <w:r w:rsidRPr="00356B99">
        <w:rPr>
          <w:rFonts w:ascii="Times New Roman" w:hAnsi="Times New Roman" w:cs="Times New Roman"/>
        </w:rPr>
        <w:t>）社群媒體與其他通路的合作並用。（</w:t>
      </w:r>
      <w:r w:rsidRPr="00356B99">
        <w:rPr>
          <w:rFonts w:ascii="Times New Roman" w:hAnsi="Times New Roman" w:cs="Times New Roman"/>
        </w:rPr>
        <w:t>5</w:t>
      </w:r>
      <w:r w:rsidRPr="00356B99">
        <w:rPr>
          <w:rFonts w:ascii="Times New Roman" w:hAnsi="Times New Roman" w:cs="Times New Roman"/>
        </w:rPr>
        <w:t>）協同購物車和可更動的接單出貨流程（</w:t>
      </w:r>
      <w:r w:rsidRPr="00356B99">
        <w:rPr>
          <w:rFonts w:ascii="Times New Roman" w:hAnsi="Times New Roman" w:cs="Times New Roman"/>
        </w:rPr>
        <w:t>Collaborative shopping carts and variable ful</w:t>
      </w:r>
      <w:r w:rsidRPr="00356B99">
        <w:rPr>
          <w:rFonts w:ascii="Times New Roman" w:eastAsia="MS Mincho" w:hAnsi="Times New Roman" w:cs="Times New Roman"/>
        </w:rPr>
        <w:t>ﬁ</w:t>
      </w:r>
      <w:r w:rsidRPr="00356B99">
        <w:rPr>
          <w:rFonts w:ascii="Times New Roman" w:hAnsi="Times New Roman" w:cs="Times New Roman"/>
        </w:rPr>
        <w:t>llment</w:t>
      </w:r>
      <w:r w:rsidRPr="00356B99">
        <w:rPr>
          <w:rFonts w:ascii="Times New Roman" w:hAnsi="Times New Roman" w:cs="Times New Roman"/>
        </w:rPr>
        <w:t>）。（</w:t>
      </w:r>
      <w:r w:rsidRPr="00356B99">
        <w:rPr>
          <w:rFonts w:ascii="Times New Roman" w:hAnsi="Times New Roman" w:cs="Times New Roman"/>
        </w:rPr>
        <w:t>6</w:t>
      </w:r>
      <w:r w:rsidRPr="00356B99">
        <w:rPr>
          <w:rFonts w:ascii="Times New Roman" w:hAnsi="Times New Roman" w:cs="Times New Roman"/>
        </w:rPr>
        <w:t>）橫跨線上與線下通路的顧客忠誠計畫（</w:t>
      </w:r>
      <w:r w:rsidRPr="00356B99">
        <w:rPr>
          <w:rFonts w:ascii="Times New Roman" w:hAnsi="Times New Roman" w:cs="Times New Roman"/>
        </w:rPr>
        <w:t>Loyalty programs</w:t>
      </w:r>
      <w:r w:rsidRPr="00356B99">
        <w:rPr>
          <w:rFonts w:ascii="Times New Roman" w:hAnsi="Times New Roman" w:cs="Times New Roman"/>
        </w:rPr>
        <w:t>）。（</w:t>
      </w:r>
      <w:r w:rsidRPr="00356B99">
        <w:rPr>
          <w:rFonts w:ascii="Times New Roman" w:hAnsi="Times New Roman" w:cs="Times New Roman"/>
        </w:rPr>
        <w:t>7</w:t>
      </w:r>
      <w:r w:rsidRPr="00356B99">
        <w:rPr>
          <w:rFonts w:ascii="Times New Roman" w:hAnsi="Times New Roman" w:cs="Times New Roman"/>
        </w:rPr>
        <w:t>）利於回覆的網站設計與方便跨裝置的內容傳遞。（</w:t>
      </w:r>
      <w:r w:rsidRPr="00356B99">
        <w:rPr>
          <w:rFonts w:ascii="Times New Roman" w:hAnsi="Times New Roman" w:cs="Times New Roman"/>
        </w:rPr>
        <w:t>8</w:t>
      </w:r>
      <w:r w:rsidRPr="00356B99">
        <w:rPr>
          <w:rFonts w:ascii="Times New Roman" w:hAnsi="Times New Roman" w:cs="Times New Roman"/>
        </w:rPr>
        <w:t>）儲藏備貨的提取與歸還。</w:t>
      </w:r>
      <w:r w:rsidRPr="00356B99">
        <w:rPr>
          <w:rFonts w:ascii="Times New Roman" w:hAnsi="Times New Roman" w:cs="Times New Roman"/>
        </w:rPr>
        <w:t>SmartM</w:t>
      </w:r>
      <w:r w:rsidRPr="00356B99">
        <w:rPr>
          <w:rFonts w:ascii="Times New Roman" w:hAnsi="Times New Roman" w:cs="Times New Roman"/>
        </w:rPr>
        <w:t>，</w:t>
      </w:r>
      <w:r w:rsidRPr="00356B99">
        <w:rPr>
          <w:rFonts w:ascii="Times New Roman" w:hAnsi="Times New Roman" w:cs="Times New Roman"/>
        </w:rPr>
        <w:t>2015</w:t>
      </w:r>
      <w:r w:rsidRPr="00356B99">
        <w:rPr>
          <w:rFonts w:ascii="Times New Roman" w:hAnsi="Times New Roman" w:cs="Times New Roman"/>
        </w:rPr>
        <w:t>，〈南亞電商系列報導：新加坡</w:t>
      </w:r>
      <w:r w:rsidRPr="00356B99">
        <w:rPr>
          <w:rFonts w:ascii="Times New Roman" w:hAnsi="Times New Roman" w:cs="Times New Roman"/>
        </w:rPr>
        <w:t>—</w:t>
      </w:r>
      <w:r w:rsidRPr="00356B99">
        <w:rPr>
          <w:rFonts w:ascii="Times New Roman" w:hAnsi="Times New Roman" w:cs="Times New Roman"/>
        </w:rPr>
        <w:t>為何不可忽視新加坡電商？他們超級愛買，支付系統更是東南亞最健全〉，</w:t>
      </w:r>
      <w:r w:rsidRPr="00356B99">
        <w:rPr>
          <w:rFonts w:ascii="Times New Roman" w:hAnsi="Times New Roman" w:cs="Times New Roman"/>
        </w:rPr>
        <w:t>8</w:t>
      </w:r>
      <w:r w:rsidRPr="00356B99">
        <w:rPr>
          <w:rFonts w:ascii="Times New Roman" w:hAnsi="Times New Roman" w:cs="Times New Roman"/>
        </w:rPr>
        <w:t>月</w:t>
      </w:r>
      <w:r w:rsidRPr="00356B99">
        <w:rPr>
          <w:rFonts w:ascii="Times New Roman" w:hAnsi="Times New Roman" w:cs="Times New Roman"/>
        </w:rPr>
        <w:t>18</w:t>
      </w:r>
      <w:r w:rsidRPr="00356B99">
        <w:rPr>
          <w:rFonts w:ascii="Times New Roman" w:hAnsi="Times New Roman" w:cs="Times New Roman"/>
        </w:rPr>
        <w:t>日。</w:t>
      </w:r>
    </w:p>
  </w:footnote>
  <w:footnote w:id="152">
    <w:p w:rsidR="00441968" w:rsidRPr="00356B99" w:rsidRDefault="00441968" w:rsidP="00770E4D">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蕭俊，臺經院座談會發言。</w:t>
      </w:r>
    </w:p>
  </w:footnote>
  <w:footnote w:id="153">
    <w:p w:rsidR="00441968" w:rsidRPr="00356B99" w:rsidRDefault="00441968" w:rsidP="00770E4D">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張煜霖，臺經院座談會發言。</w:t>
      </w:r>
    </w:p>
  </w:footnote>
  <w:footnote w:id="15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世界銀行每年發布全球經商環境報告，針對全球</w:t>
      </w:r>
      <w:r w:rsidRPr="00356B99">
        <w:rPr>
          <w:rFonts w:ascii="Times New Roman" w:hAnsi="Times New Roman" w:cs="Times New Roman"/>
        </w:rPr>
        <w:t>189</w:t>
      </w:r>
      <w:r w:rsidRPr="00356B99">
        <w:rPr>
          <w:rFonts w:ascii="Times New Roman" w:hAnsi="Times New Roman" w:cs="Times New Roman"/>
        </w:rPr>
        <w:t>個受評比國家之十大項目予以評分，計算各國經商便利度，並進行世界各國排名，分數越高名次越佳，代表經商環境越便利。此十大項目為</w:t>
      </w:r>
      <w:r w:rsidRPr="00356B99">
        <w:rPr>
          <w:rFonts w:ascii="Times New Roman" w:hAnsi="Times New Roman" w:cs="Times New Roman"/>
        </w:rPr>
        <w:t>:</w:t>
      </w:r>
      <w:r w:rsidRPr="00356B99">
        <w:rPr>
          <w:rFonts w:ascii="Times New Roman" w:hAnsi="Times New Roman" w:cs="Times New Roman"/>
        </w:rPr>
        <w:t>開辦企業、申請建築許可、電力取得、財產登記、貸款取得、少數股東保護、繳納稅款、跨境貿易、執行契約及破產處理。世界銀行「</w:t>
      </w:r>
      <w:r w:rsidRPr="00356B99">
        <w:rPr>
          <w:rFonts w:ascii="Times New Roman" w:hAnsi="Times New Roman" w:cs="Times New Roman"/>
        </w:rPr>
        <w:t>2016</w:t>
      </w:r>
      <w:r w:rsidRPr="00356B99">
        <w:rPr>
          <w:rFonts w:ascii="Times New Roman" w:hAnsi="Times New Roman" w:cs="Times New Roman"/>
        </w:rPr>
        <w:t>年經商環境報告」。</w:t>
      </w:r>
    </w:p>
  </w:footnote>
  <w:footnote w:id="155">
    <w:p w:rsidR="00441968" w:rsidRPr="00356B99" w:rsidRDefault="00441968" w:rsidP="00D869BC">
      <w:pPr>
        <w:pStyle w:val="a7"/>
        <w:tabs>
          <w:tab w:val="left" w:pos="567"/>
        </w:tabs>
        <w:ind w:left="284" w:hangingChars="142" w:hanging="284"/>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所謂中堅企業，係指具有一定經營規模、在特定領域具有技術獨特性及關鍵性、具高度國際市場競爭力，並且以國內為主要經營或生產基地的企業。</w:t>
      </w:r>
    </w:p>
  </w:footnote>
  <w:footnote w:id="156">
    <w:p w:rsidR="00441968" w:rsidRPr="00356B99" w:rsidRDefault="00441968" w:rsidP="00E025B9">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世界銀行「</w:t>
      </w:r>
      <w:r w:rsidRPr="00356B99">
        <w:rPr>
          <w:rFonts w:ascii="Times New Roman" w:hAnsi="Times New Roman" w:cs="Times New Roman"/>
        </w:rPr>
        <w:t>2016</w:t>
      </w:r>
      <w:r w:rsidRPr="00356B99">
        <w:rPr>
          <w:rFonts w:ascii="Times New Roman" w:hAnsi="Times New Roman" w:cs="Times New Roman"/>
        </w:rPr>
        <w:t>年經商環境報告」。</w:t>
      </w:r>
    </w:p>
  </w:footnote>
  <w:footnote w:id="157">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彭作奎、謝佑立。</w:t>
      </w:r>
      <w:r w:rsidRPr="00356B99">
        <w:rPr>
          <w:rFonts w:ascii="Times New Roman" w:hAnsi="Times New Roman" w:cs="Times New Roman"/>
        </w:rPr>
        <w:t>2008</w:t>
      </w:r>
      <w:r w:rsidRPr="00356B99">
        <w:rPr>
          <w:rFonts w:ascii="Times New Roman" w:hAnsi="Times New Roman" w:cs="Times New Roman"/>
        </w:rPr>
        <w:t>。「臺灣農業結構之變化與農業政策之重點」。臺灣農學會報</w:t>
      </w:r>
      <w:r w:rsidRPr="00356B99">
        <w:rPr>
          <w:rFonts w:ascii="Times New Roman" w:hAnsi="Times New Roman" w:cs="Times New Roman"/>
        </w:rPr>
        <w:t>9(6)</w:t>
      </w:r>
      <w:r w:rsidRPr="00356B99">
        <w:rPr>
          <w:rFonts w:ascii="Times New Roman" w:hAnsi="Times New Roman" w:cs="Times New Roman"/>
        </w:rPr>
        <w:t>，第</w:t>
      </w:r>
      <w:r w:rsidRPr="00356B99">
        <w:rPr>
          <w:rFonts w:ascii="Times New Roman" w:hAnsi="Times New Roman" w:cs="Times New Roman"/>
        </w:rPr>
        <w:t>604</w:t>
      </w:r>
      <w:r w:rsidRPr="00356B99">
        <w:rPr>
          <w:rFonts w:ascii="Times New Roman" w:hAnsi="Times New Roman" w:cs="Times New Roman"/>
        </w:rPr>
        <w:t>至</w:t>
      </w:r>
      <w:r w:rsidRPr="00356B99">
        <w:rPr>
          <w:rFonts w:ascii="Times New Roman" w:hAnsi="Times New Roman" w:cs="Times New Roman"/>
        </w:rPr>
        <w:t xml:space="preserve">614   </w:t>
      </w:r>
      <w:r w:rsidRPr="00356B99">
        <w:rPr>
          <w:rFonts w:ascii="Times New Roman" w:hAnsi="Times New Roman" w:cs="Times New Roman"/>
        </w:rPr>
        <w:t>頁。</w:t>
      </w:r>
    </w:p>
  </w:footnote>
  <w:footnote w:id="15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臺灣農業發展的困境與機遇，美麗島電子報。</w:t>
      </w:r>
    </w:p>
  </w:footnote>
  <w:footnote w:id="159">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陳保基，</w:t>
      </w:r>
      <w:r w:rsidRPr="00356B99">
        <w:rPr>
          <w:rFonts w:ascii="Times New Roman" w:hAnsi="Times New Roman" w:cs="Times New Roman"/>
        </w:rPr>
        <w:t>2016</w:t>
      </w:r>
      <w:r w:rsidRPr="00356B99">
        <w:rPr>
          <w:rFonts w:ascii="Times New Roman" w:hAnsi="Times New Roman" w:cs="Times New Roman"/>
        </w:rPr>
        <w:t>年</w:t>
      </w:r>
      <w:r w:rsidRPr="00356B99">
        <w:rPr>
          <w:rFonts w:ascii="Times New Roman" w:hAnsi="Times New Roman" w:cs="Times New Roman"/>
        </w:rPr>
        <w:t>3</w:t>
      </w:r>
      <w:r w:rsidRPr="00356B99">
        <w:rPr>
          <w:rFonts w:ascii="Times New Roman" w:hAnsi="Times New Roman" w:cs="Times New Roman"/>
        </w:rPr>
        <w:t>月</w:t>
      </w:r>
      <w:r w:rsidRPr="00356B99">
        <w:rPr>
          <w:rFonts w:ascii="Times New Roman" w:hAnsi="Times New Roman" w:cs="Times New Roman"/>
        </w:rPr>
        <w:t>7</w:t>
      </w:r>
      <w:r w:rsidRPr="00356B99">
        <w:rPr>
          <w:rFonts w:ascii="Times New Roman" w:hAnsi="Times New Roman" w:cs="Times New Roman"/>
        </w:rPr>
        <w:t>日。「新世代農業</w:t>
      </w:r>
      <w:r w:rsidRPr="00356B99">
        <w:rPr>
          <w:rFonts w:ascii="Times New Roman" w:hAnsi="Times New Roman" w:cs="Times New Roman"/>
        </w:rPr>
        <w:t xml:space="preserve"> </w:t>
      </w:r>
      <w:r w:rsidRPr="00356B99">
        <w:rPr>
          <w:rFonts w:ascii="Times New Roman" w:hAnsi="Times New Roman" w:cs="Times New Roman"/>
        </w:rPr>
        <w:t>拚生物經濟」。中國時報。</w:t>
      </w:r>
    </w:p>
  </w:footnote>
  <w:footnote w:id="160">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打造新農業</w:t>
      </w:r>
      <w:r w:rsidRPr="00356B99">
        <w:rPr>
          <w:rFonts w:ascii="Times New Roman" w:hAnsi="Times New Roman" w:cs="Times New Roman"/>
        </w:rPr>
        <w:t xml:space="preserve"> </w:t>
      </w:r>
      <w:r w:rsidRPr="00356B99">
        <w:rPr>
          <w:rFonts w:ascii="Times New Roman" w:hAnsi="Times New Roman" w:cs="Times New Roman"/>
        </w:rPr>
        <w:t>將成立國家級行銷公司，自由時報。</w:t>
      </w:r>
    </w:p>
  </w:footnote>
  <w:footnote w:id="161">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小英揮軍！農業「臺灣隊」南向大進擊，中國時報。</w:t>
      </w:r>
    </w:p>
  </w:footnote>
  <w:footnote w:id="162">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蔡總統「客廳會」第二天</w:t>
      </w:r>
      <w:r w:rsidRPr="00356B99">
        <w:rPr>
          <w:rFonts w:ascii="Times New Roman" w:hAnsi="Times New Roman" w:cs="Times New Roman"/>
        </w:rPr>
        <w:t xml:space="preserve"> </w:t>
      </w:r>
      <w:r w:rsidRPr="00356B99">
        <w:rPr>
          <w:rFonts w:ascii="Times New Roman" w:hAnsi="Times New Roman" w:cs="Times New Roman"/>
        </w:rPr>
        <w:t>新農業策略</w:t>
      </w:r>
      <w:r w:rsidRPr="00356B99">
        <w:rPr>
          <w:rFonts w:ascii="Times New Roman" w:hAnsi="Times New Roman" w:cs="Times New Roman"/>
        </w:rPr>
        <w:t xml:space="preserve"> </w:t>
      </w:r>
      <w:r w:rsidRPr="00356B99">
        <w:rPr>
          <w:rFonts w:ascii="Times New Roman" w:hAnsi="Times New Roman" w:cs="Times New Roman"/>
        </w:rPr>
        <w:t>設農產公司助外銷，中國時報。</w:t>
      </w:r>
    </w:p>
  </w:footnote>
  <w:footnote w:id="163">
    <w:p w:rsidR="00441968" w:rsidRPr="00356B99" w:rsidRDefault="00441968" w:rsidP="00E77DD6">
      <w:pPr>
        <w:pStyle w:val="a7"/>
        <w:rPr>
          <w:rFonts w:ascii="Times New Roman" w:eastAsiaTheme="majorEastAsia" w:hAnsi="Times New Roman" w:cs="Times New Roman"/>
        </w:rPr>
      </w:pPr>
      <w:r w:rsidRPr="00356B99">
        <w:rPr>
          <w:rStyle w:val="a9"/>
          <w:rFonts w:ascii="Times New Roman" w:eastAsiaTheme="majorEastAsia" w:hAnsi="Times New Roman" w:cs="Times New Roman"/>
        </w:rPr>
        <w:footnoteRef/>
      </w:r>
      <w:r w:rsidRPr="00356B99">
        <w:rPr>
          <w:rFonts w:ascii="Times New Roman" w:eastAsiaTheme="majorEastAsia" w:hAnsi="Times New Roman" w:cs="Times New Roman"/>
        </w:rPr>
        <w:t xml:space="preserve"> </w:t>
      </w:r>
      <w:r w:rsidRPr="00356B99">
        <w:rPr>
          <w:rFonts w:ascii="Times New Roman" w:eastAsiaTheme="majorEastAsia" w:hAnsi="Times New Roman" w:cs="Times New Roman"/>
        </w:rPr>
        <w:t>簡宏佳，臺經院座談資料。</w:t>
      </w:r>
    </w:p>
  </w:footnote>
  <w:footnote w:id="164">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sz w:val="22"/>
          <w:szCs w:val="22"/>
        </w:rPr>
        <w:t>日本瑞穗綜合研究所，〈圖解聚焦東協〉，</w:t>
      </w:r>
      <w:r w:rsidRPr="00356B99">
        <w:rPr>
          <w:rFonts w:ascii="Times New Roman" w:hAnsi="Times New Roman" w:cs="Times New Roman"/>
          <w:sz w:val="22"/>
          <w:szCs w:val="22"/>
        </w:rPr>
        <w:t>2016</w:t>
      </w:r>
      <w:r w:rsidRPr="00356B99">
        <w:rPr>
          <w:rFonts w:ascii="Times New Roman" w:hAnsi="Times New Roman" w:cs="Times New Roman"/>
          <w:sz w:val="22"/>
          <w:szCs w:val="22"/>
        </w:rPr>
        <w:t>年</w:t>
      </w:r>
      <w:r w:rsidRPr="00356B99">
        <w:rPr>
          <w:rFonts w:ascii="Times New Roman" w:hAnsi="Times New Roman" w:cs="Times New Roman"/>
          <w:sz w:val="22"/>
          <w:szCs w:val="22"/>
        </w:rPr>
        <w:t>5</w:t>
      </w:r>
      <w:r w:rsidRPr="00356B99">
        <w:rPr>
          <w:rFonts w:ascii="Times New Roman" w:hAnsi="Times New Roman" w:cs="Times New Roman"/>
          <w:sz w:val="22"/>
          <w:szCs w:val="22"/>
        </w:rPr>
        <w:t>月</w:t>
      </w:r>
      <w:r w:rsidRPr="00356B99">
        <w:rPr>
          <w:rFonts w:ascii="Times New Roman" w:hAnsi="Times New Roman" w:cs="Times New Roman"/>
          <w:sz w:val="22"/>
          <w:szCs w:val="22"/>
        </w:rPr>
        <w:t>28</w:t>
      </w:r>
      <w:r w:rsidRPr="00356B99">
        <w:rPr>
          <w:rFonts w:ascii="Times New Roman" w:hAnsi="Times New Roman" w:cs="Times New Roman"/>
          <w:sz w:val="22"/>
          <w:szCs w:val="22"/>
        </w:rPr>
        <w:t>日。</w:t>
      </w:r>
    </w:p>
  </w:footnote>
  <w:footnote w:id="165">
    <w:p w:rsidR="00441968" w:rsidRPr="00356B99" w:rsidRDefault="00441968" w:rsidP="00E078C6">
      <w:pPr>
        <w:pStyle w:val="a7"/>
        <w:rPr>
          <w:rFonts w:ascii="Times New Roman" w:hAnsi="Times New Roman" w:cs="Times New Roman"/>
          <w:sz w:val="22"/>
          <w:szCs w:val="22"/>
        </w:rPr>
      </w:pPr>
      <w:r w:rsidRPr="00356B99">
        <w:rPr>
          <w:rStyle w:val="a9"/>
          <w:rFonts w:ascii="Times New Roman" w:hAnsi="Times New Roman" w:cs="Times New Roman"/>
          <w:sz w:val="22"/>
          <w:szCs w:val="22"/>
        </w:rPr>
        <w:footnoteRef/>
      </w:r>
      <w:r w:rsidRPr="00356B99">
        <w:rPr>
          <w:rFonts w:ascii="Times New Roman" w:hAnsi="Times New Roman" w:cs="Times New Roman"/>
          <w:sz w:val="22"/>
          <w:szCs w:val="22"/>
        </w:rPr>
        <w:t xml:space="preserve"> </w:t>
      </w:r>
      <w:r w:rsidRPr="00356B99">
        <w:rPr>
          <w:rFonts w:ascii="Times New Roman" w:hAnsi="Times New Roman" w:cs="Times New Roman"/>
          <w:sz w:val="22"/>
          <w:szCs w:val="22"/>
        </w:rPr>
        <w:t>企業戰略，</w:t>
      </w:r>
      <w:r w:rsidRPr="00356B99">
        <w:rPr>
          <w:rFonts w:ascii="Times New Roman" w:hAnsi="Times New Roman" w:cs="Times New Roman"/>
          <w:sz w:val="22"/>
          <w:szCs w:val="22"/>
        </w:rPr>
        <w:t>2014</w:t>
      </w:r>
      <w:r w:rsidRPr="00356B99">
        <w:rPr>
          <w:rFonts w:ascii="Times New Roman" w:hAnsi="Times New Roman" w:cs="Times New Roman"/>
          <w:sz w:val="22"/>
          <w:szCs w:val="22"/>
        </w:rPr>
        <w:t>，〈戰略製勝：韓國家電業如何征服東南亞市場？〉，</w:t>
      </w:r>
      <w:r w:rsidRPr="00356B99">
        <w:rPr>
          <w:rFonts w:ascii="Times New Roman" w:hAnsi="Times New Roman" w:cs="Times New Roman"/>
          <w:sz w:val="22"/>
          <w:szCs w:val="22"/>
        </w:rPr>
        <w:t>11</w:t>
      </w:r>
      <w:r w:rsidRPr="00356B99">
        <w:rPr>
          <w:rFonts w:ascii="Times New Roman" w:hAnsi="Times New Roman" w:cs="Times New Roman"/>
          <w:sz w:val="22"/>
          <w:szCs w:val="22"/>
        </w:rPr>
        <w:t>月</w:t>
      </w:r>
      <w:r w:rsidRPr="00356B99">
        <w:rPr>
          <w:rFonts w:ascii="Times New Roman" w:hAnsi="Times New Roman" w:cs="Times New Roman"/>
          <w:sz w:val="22"/>
          <w:szCs w:val="22"/>
        </w:rPr>
        <w:t>27</w:t>
      </w:r>
      <w:r w:rsidRPr="00356B99">
        <w:rPr>
          <w:rFonts w:ascii="Times New Roman" w:hAnsi="Times New Roman" w:cs="Times New Roman"/>
          <w:sz w:val="22"/>
          <w:szCs w:val="22"/>
        </w:rPr>
        <w:t>日。</w:t>
      </w:r>
      <w:hyperlink r:id="rId89" w:history="1">
        <w:r w:rsidRPr="00356B99">
          <w:rPr>
            <w:rStyle w:val="aa"/>
            <w:rFonts w:ascii="Times New Roman" w:hAnsi="Times New Roman" w:cs="Times New Roman"/>
            <w:color w:val="auto"/>
            <w:sz w:val="22"/>
            <w:szCs w:val="22"/>
          </w:rPr>
          <w:t>http://www.soul-tw.net/index/article/id/21656?&amp;page=1</w:t>
        </w:r>
      </w:hyperlink>
      <w:r w:rsidRPr="00356B99">
        <w:rPr>
          <w:rFonts w:ascii="Times New Roman" w:hAnsi="Times New Roman" w:cs="Times New Roman"/>
          <w:sz w:val="22"/>
          <w:szCs w:val="22"/>
        </w:rPr>
        <w:t xml:space="preserve"> </w:t>
      </w:r>
      <w:r w:rsidRPr="00356B99">
        <w:rPr>
          <w:rFonts w:ascii="Times New Roman" w:hAnsi="Times New Roman" w:cs="Times New Roman"/>
          <w:sz w:val="22"/>
          <w:szCs w:val="22"/>
        </w:rPr>
        <w:t>查詢日期；</w:t>
      </w:r>
      <w:r w:rsidRPr="00356B99">
        <w:rPr>
          <w:rFonts w:ascii="Times New Roman" w:hAnsi="Times New Roman" w:cs="Times New Roman"/>
          <w:sz w:val="22"/>
          <w:szCs w:val="22"/>
        </w:rPr>
        <w:t>2016/7/4</w:t>
      </w:r>
      <w:r w:rsidRPr="00356B99">
        <w:rPr>
          <w:rFonts w:ascii="Times New Roman" w:hAnsi="Times New Roman" w:cs="Times New Roman"/>
          <w:sz w:val="22"/>
          <w:szCs w:val="22"/>
        </w:rPr>
        <w:t>。</w:t>
      </w:r>
    </w:p>
  </w:footnote>
  <w:footnote w:id="166">
    <w:p w:rsidR="00441968" w:rsidRPr="00356B99" w:rsidRDefault="00441968" w:rsidP="00E078C6">
      <w:pPr>
        <w:pStyle w:val="a7"/>
        <w:rPr>
          <w:rFonts w:ascii="Times New Roman" w:hAnsi="Times New Roman" w:cs="Times New Roman"/>
          <w:sz w:val="22"/>
          <w:szCs w:val="22"/>
        </w:rPr>
      </w:pPr>
      <w:r w:rsidRPr="00356B99">
        <w:rPr>
          <w:rStyle w:val="a9"/>
          <w:rFonts w:ascii="Times New Roman" w:hAnsi="Times New Roman" w:cs="Times New Roman"/>
          <w:sz w:val="22"/>
          <w:szCs w:val="22"/>
        </w:rPr>
        <w:footnoteRef/>
      </w:r>
      <w:r w:rsidRPr="00356B99">
        <w:rPr>
          <w:rFonts w:ascii="Times New Roman" w:hAnsi="Times New Roman" w:cs="Times New Roman"/>
          <w:sz w:val="22"/>
          <w:szCs w:val="22"/>
        </w:rPr>
        <w:t xml:space="preserve"> </w:t>
      </w:r>
      <w:r w:rsidRPr="00356B99">
        <w:rPr>
          <w:rFonts w:ascii="Times New Roman" w:hAnsi="Times New Roman" w:cs="Times New Roman"/>
          <w:sz w:val="22"/>
          <w:szCs w:val="22"/>
        </w:rPr>
        <w:t>宋效峰，</w:t>
      </w:r>
      <w:r w:rsidRPr="00356B99">
        <w:rPr>
          <w:rFonts w:ascii="Times New Roman" w:hAnsi="Times New Roman" w:cs="Times New Roman"/>
          <w:sz w:val="22"/>
          <w:szCs w:val="22"/>
        </w:rPr>
        <w:t>2013</w:t>
      </w:r>
      <w:r w:rsidRPr="00356B99">
        <w:rPr>
          <w:rFonts w:ascii="Times New Roman" w:hAnsi="Times New Roman" w:cs="Times New Roman"/>
          <w:sz w:val="22"/>
          <w:szCs w:val="22"/>
        </w:rPr>
        <w:t>，〈中等強國視角下的韓國東南亞外交〉，《東南亞南亞研究》，</w:t>
      </w:r>
      <w:r w:rsidRPr="00356B99">
        <w:rPr>
          <w:rFonts w:ascii="Times New Roman" w:hAnsi="Times New Roman" w:cs="Times New Roman"/>
          <w:sz w:val="22"/>
          <w:szCs w:val="22"/>
        </w:rPr>
        <w:t xml:space="preserve">2013 </w:t>
      </w:r>
      <w:r w:rsidRPr="00356B99">
        <w:rPr>
          <w:rFonts w:ascii="Times New Roman" w:hAnsi="Times New Roman" w:cs="Times New Roman"/>
          <w:sz w:val="22"/>
          <w:szCs w:val="22"/>
        </w:rPr>
        <w:t>（</w:t>
      </w:r>
      <w:r w:rsidRPr="00356B99">
        <w:rPr>
          <w:rFonts w:ascii="Times New Roman" w:hAnsi="Times New Roman" w:cs="Times New Roman"/>
          <w:sz w:val="22"/>
          <w:szCs w:val="22"/>
        </w:rPr>
        <w:t>2</w:t>
      </w:r>
      <w:r w:rsidRPr="00356B99">
        <w:rPr>
          <w:rFonts w:ascii="Times New Roman" w:hAnsi="Times New Roman" w:cs="Times New Roman"/>
          <w:sz w:val="22"/>
          <w:szCs w:val="22"/>
        </w:rPr>
        <w:t>）。</w:t>
      </w:r>
      <w:hyperlink r:id="rId90" w:history="1">
        <w:r w:rsidRPr="00356B99">
          <w:rPr>
            <w:rStyle w:val="aa"/>
            <w:rFonts w:ascii="Times New Roman" w:hAnsi="Times New Roman" w:cs="Times New Roman"/>
            <w:color w:val="auto"/>
            <w:sz w:val="22"/>
            <w:szCs w:val="22"/>
          </w:rPr>
          <w:t>http://www.faobserver.com/NewsInfo.aspx?id=9269</w:t>
        </w:r>
      </w:hyperlink>
      <w:r w:rsidRPr="00356B99">
        <w:rPr>
          <w:rFonts w:ascii="Times New Roman" w:hAnsi="Times New Roman" w:cs="Times New Roman"/>
          <w:sz w:val="22"/>
          <w:szCs w:val="22"/>
        </w:rPr>
        <w:t xml:space="preserve"> </w:t>
      </w:r>
    </w:p>
  </w:footnote>
  <w:footnote w:id="167">
    <w:p w:rsidR="00441968" w:rsidRPr="00356B99" w:rsidRDefault="00441968" w:rsidP="00E078C6">
      <w:pPr>
        <w:pStyle w:val="a7"/>
        <w:rPr>
          <w:rFonts w:ascii="Times New Roman" w:hAnsi="Times New Roman" w:cs="Times New Roman"/>
          <w:sz w:val="22"/>
          <w:szCs w:val="22"/>
        </w:rPr>
      </w:pPr>
      <w:r w:rsidRPr="00356B99">
        <w:rPr>
          <w:rStyle w:val="a9"/>
          <w:rFonts w:ascii="Times New Roman" w:hAnsi="Times New Roman" w:cs="Times New Roman"/>
          <w:sz w:val="22"/>
          <w:szCs w:val="22"/>
        </w:rPr>
        <w:footnoteRef/>
      </w:r>
      <w:r w:rsidRPr="00356B99">
        <w:rPr>
          <w:rFonts w:ascii="Times New Roman" w:hAnsi="Times New Roman" w:cs="Times New Roman"/>
          <w:sz w:val="22"/>
          <w:szCs w:val="22"/>
        </w:rPr>
        <w:t xml:space="preserve"> </w:t>
      </w:r>
      <w:r w:rsidRPr="00356B99">
        <w:rPr>
          <w:rFonts w:ascii="Times New Roman" w:hAnsi="Times New Roman" w:cs="Times New Roman"/>
          <w:sz w:val="22"/>
          <w:szCs w:val="22"/>
        </w:rPr>
        <w:t>李拯宇、干玉蘭，〈韓國走向「全球外交」〉，《瞭望新聞週刊》，</w:t>
      </w:r>
      <w:r w:rsidRPr="00356B99">
        <w:rPr>
          <w:rFonts w:ascii="Times New Roman" w:hAnsi="Times New Roman" w:cs="Times New Roman"/>
          <w:sz w:val="22"/>
          <w:szCs w:val="22"/>
        </w:rPr>
        <w:t>2008</w:t>
      </w:r>
      <w:r w:rsidRPr="00356B99">
        <w:rPr>
          <w:rFonts w:ascii="Times New Roman" w:hAnsi="Times New Roman" w:cs="Times New Roman"/>
          <w:sz w:val="22"/>
          <w:szCs w:val="22"/>
        </w:rPr>
        <w:t>年第</w:t>
      </w:r>
      <w:r w:rsidRPr="00356B99">
        <w:rPr>
          <w:rFonts w:ascii="Times New Roman" w:hAnsi="Times New Roman" w:cs="Times New Roman"/>
          <w:sz w:val="22"/>
          <w:szCs w:val="22"/>
        </w:rPr>
        <w:t>9</w:t>
      </w:r>
      <w:r w:rsidRPr="00356B99">
        <w:rPr>
          <w:rFonts w:ascii="Times New Roman" w:hAnsi="Times New Roman" w:cs="Times New Roman"/>
          <w:sz w:val="22"/>
          <w:szCs w:val="22"/>
        </w:rPr>
        <w:t>期。</w:t>
      </w:r>
      <w:hyperlink r:id="rId91" w:history="1">
        <w:r w:rsidRPr="00356B99">
          <w:rPr>
            <w:rStyle w:val="aa"/>
            <w:rFonts w:ascii="Times New Roman" w:hAnsi="Times New Roman" w:cs="Times New Roman"/>
            <w:color w:val="auto"/>
            <w:sz w:val="22"/>
            <w:szCs w:val="22"/>
          </w:rPr>
          <w:t>http://lw.xinhuanet.com/htm/content_2801.htm</w:t>
        </w:r>
      </w:hyperlink>
      <w:r w:rsidRPr="00356B99">
        <w:rPr>
          <w:rFonts w:ascii="Times New Roman" w:hAnsi="Times New Roman" w:cs="Times New Roman"/>
          <w:sz w:val="22"/>
          <w:szCs w:val="22"/>
        </w:rPr>
        <w:t xml:space="preserve"> </w:t>
      </w:r>
    </w:p>
  </w:footnote>
  <w:footnote w:id="168">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〈關於</w:t>
      </w:r>
      <w:r w:rsidRPr="00356B99">
        <w:rPr>
          <w:rFonts w:ascii="Times New Roman" w:hAnsi="Times New Roman" w:cs="Times New Roman"/>
        </w:rPr>
        <w:t>TPP</w:t>
      </w:r>
      <w:r w:rsidRPr="00356B99">
        <w:rPr>
          <w:rFonts w:ascii="Times New Roman" w:hAnsi="Times New Roman" w:cs="Times New Roman"/>
        </w:rPr>
        <w:t>和</w:t>
      </w:r>
      <w:r w:rsidRPr="00356B99">
        <w:rPr>
          <w:rFonts w:ascii="Times New Roman" w:hAnsi="Times New Roman" w:cs="Times New Roman"/>
        </w:rPr>
        <w:t>RCEP</w:t>
      </w:r>
      <w:r w:rsidRPr="00356B99">
        <w:rPr>
          <w:rFonts w:ascii="Times New Roman" w:hAnsi="Times New Roman" w:cs="Times New Roman"/>
        </w:rPr>
        <w:t>，你應該知道的</w:t>
      </w:r>
      <w:r w:rsidRPr="00356B99">
        <w:rPr>
          <w:rFonts w:ascii="Times New Roman" w:hAnsi="Times New Roman" w:cs="Times New Roman"/>
        </w:rPr>
        <w:t>13</w:t>
      </w:r>
      <w:r w:rsidRPr="00356B99">
        <w:rPr>
          <w:rFonts w:ascii="Times New Roman" w:hAnsi="Times New Roman" w:cs="Times New Roman"/>
        </w:rPr>
        <w:t>件事〉，</w:t>
      </w:r>
      <w:r w:rsidRPr="00356B99">
        <w:rPr>
          <w:rFonts w:ascii="Times New Roman" w:hAnsi="Times New Roman" w:cs="Times New Roman"/>
        </w:rPr>
        <w:t>2015.10.6</w:t>
      </w:r>
      <w:r w:rsidRPr="00356B99">
        <w:rPr>
          <w:rFonts w:ascii="Times New Roman" w:hAnsi="Times New Roman" w:cs="Times New Roman"/>
        </w:rPr>
        <w:t>，天下雜誌：</w:t>
      </w:r>
      <w:r w:rsidRPr="00356B99">
        <w:rPr>
          <w:rFonts w:ascii="Times New Roman" w:hAnsi="Times New Roman" w:cs="Times New Roman"/>
        </w:rPr>
        <w:t>http://www.cw.com.tw/article/article.action?id=5071372</w:t>
      </w:r>
    </w:p>
  </w:footnote>
  <w:footnote w:id="169">
    <w:p w:rsidR="00441968" w:rsidRPr="00356B99" w:rsidRDefault="00441968" w:rsidP="00E078C6">
      <w:pPr>
        <w:pStyle w:val="a7"/>
        <w:rPr>
          <w:rFonts w:ascii="Times New Roman" w:hAnsi="Times New Roman" w:cs="Times New Roman"/>
        </w:rPr>
      </w:pPr>
      <w:r w:rsidRPr="00356B99">
        <w:rPr>
          <w:rStyle w:val="a9"/>
          <w:rFonts w:ascii="Times New Roman" w:hAnsi="Times New Roman" w:cs="Times New Roman"/>
        </w:rPr>
        <w:footnoteRef/>
      </w:r>
      <w:r w:rsidRPr="00356B99">
        <w:rPr>
          <w:rFonts w:ascii="Times New Roman" w:hAnsi="Times New Roman" w:cs="Times New Roman"/>
        </w:rPr>
        <w:t xml:space="preserve"> </w:t>
      </w:r>
      <w:r w:rsidRPr="00356B99">
        <w:rPr>
          <w:rFonts w:ascii="Times New Roman" w:hAnsi="Times New Roman" w:cs="Times New Roman"/>
        </w:rPr>
        <w:t>東協企業諮詢委員會是東協正式的民間組織，跟世界上的主要國家如美、英、俄、歐盟等大國都有設立雙邊組織，如：</w:t>
      </w:r>
      <w:r w:rsidRPr="00356B99">
        <w:rPr>
          <w:rFonts w:ascii="Times New Roman" w:hAnsi="Times New Roman" w:cs="Times New Roman"/>
        </w:rPr>
        <w:t>US-ASEAN Business Council, UK-ASEAN Business Council, Canada ASEAN Business Council, EU-ASEAN Business Council, Russia–ASEAN Business Council</w:t>
      </w:r>
      <w:r w:rsidRPr="00356B99">
        <w:rPr>
          <w:rFonts w:ascii="Times New Roman" w:hAnsi="Times New Roman" w:cs="Times New Roman"/>
        </w:rPr>
        <w:t>。主要任務是提供企業界之間的資訊交流和商機宣傳，推動雙邊貿易與投資。</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1968" w:rsidRPr="009E2A12" w:rsidRDefault="00441968" w:rsidP="009E2A12">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B7E32"/>
    <w:multiLevelType w:val="hybridMultilevel"/>
    <w:tmpl w:val="23B2EE7C"/>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3310F07"/>
    <w:multiLevelType w:val="hybridMultilevel"/>
    <w:tmpl w:val="774C25CA"/>
    <w:lvl w:ilvl="0" w:tplc="0409000F">
      <w:start w:val="1"/>
      <w:numFmt w:val="decimal"/>
      <w:lvlText w:val="%1."/>
      <w:lvlJc w:val="left"/>
      <w:pPr>
        <w:ind w:left="96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34510F4"/>
    <w:multiLevelType w:val="hybridMultilevel"/>
    <w:tmpl w:val="699CE538"/>
    <w:lvl w:ilvl="0" w:tplc="B686A568">
      <w:start w:val="1"/>
      <w:numFmt w:val="ideographLegalTraditional"/>
      <w:lvlText w:val="%1、"/>
      <w:lvlJc w:val="left"/>
      <w:pPr>
        <w:ind w:left="1190" w:hanging="480"/>
      </w:pPr>
      <w:rPr>
        <w:b/>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3" w15:restartNumberingAfterBreak="0">
    <w:nsid w:val="040A2925"/>
    <w:multiLevelType w:val="hybridMultilevel"/>
    <w:tmpl w:val="2F448896"/>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04D62555"/>
    <w:multiLevelType w:val="hybridMultilevel"/>
    <w:tmpl w:val="0DA02ED0"/>
    <w:lvl w:ilvl="0" w:tplc="87183EEA">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 w15:restartNumberingAfterBreak="0">
    <w:nsid w:val="04F60B0F"/>
    <w:multiLevelType w:val="hybridMultilevel"/>
    <w:tmpl w:val="861A28A8"/>
    <w:lvl w:ilvl="0" w:tplc="3042D832">
      <w:start w:val="1"/>
      <w:numFmt w:val="taiwaneseCountingThousand"/>
      <w:suff w:val="nothing"/>
      <w:lvlText w:val="(%1)"/>
      <w:lvlJc w:val="left"/>
      <w:pPr>
        <w:ind w:left="1190" w:hanging="480"/>
      </w:pPr>
      <w:rPr>
        <w:rFonts w:hint="eastAsia"/>
      </w:rPr>
    </w:lvl>
    <w:lvl w:ilvl="1" w:tplc="04090019" w:tentative="1">
      <w:start w:val="1"/>
      <w:numFmt w:val="ideographTraditional"/>
      <w:lvlText w:val="%2、"/>
      <w:lvlJc w:val="left"/>
      <w:pPr>
        <w:ind w:left="2150" w:hanging="480"/>
      </w:pPr>
    </w:lvl>
    <w:lvl w:ilvl="2" w:tplc="0409001B" w:tentative="1">
      <w:start w:val="1"/>
      <w:numFmt w:val="lowerRoman"/>
      <w:lvlText w:val="%3."/>
      <w:lvlJc w:val="right"/>
      <w:pPr>
        <w:ind w:left="2630" w:hanging="480"/>
      </w:pPr>
    </w:lvl>
    <w:lvl w:ilvl="3" w:tplc="0409000F" w:tentative="1">
      <w:start w:val="1"/>
      <w:numFmt w:val="decimal"/>
      <w:lvlText w:val="%4."/>
      <w:lvlJc w:val="left"/>
      <w:pPr>
        <w:ind w:left="3110" w:hanging="480"/>
      </w:pPr>
    </w:lvl>
    <w:lvl w:ilvl="4" w:tplc="04090019" w:tentative="1">
      <w:start w:val="1"/>
      <w:numFmt w:val="ideographTraditional"/>
      <w:lvlText w:val="%5、"/>
      <w:lvlJc w:val="left"/>
      <w:pPr>
        <w:ind w:left="3590" w:hanging="480"/>
      </w:pPr>
    </w:lvl>
    <w:lvl w:ilvl="5" w:tplc="0409001B" w:tentative="1">
      <w:start w:val="1"/>
      <w:numFmt w:val="lowerRoman"/>
      <w:lvlText w:val="%6."/>
      <w:lvlJc w:val="right"/>
      <w:pPr>
        <w:ind w:left="4070" w:hanging="480"/>
      </w:pPr>
    </w:lvl>
    <w:lvl w:ilvl="6" w:tplc="0409000F" w:tentative="1">
      <w:start w:val="1"/>
      <w:numFmt w:val="decimal"/>
      <w:lvlText w:val="%7."/>
      <w:lvlJc w:val="left"/>
      <w:pPr>
        <w:ind w:left="4550" w:hanging="480"/>
      </w:pPr>
    </w:lvl>
    <w:lvl w:ilvl="7" w:tplc="04090019" w:tentative="1">
      <w:start w:val="1"/>
      <w:numFmt w:val="ideographTraditional"/>
      <w:lvlText w:val="%8、"/>
      <w:lvlJc w:val="left"/>
      <w:pPr>
        <w:ind w:left="5030" w:hanging="480"/>
      </w:pPr>
    </w:lvl>
    <w:lvl w:ilvl="8" w:tplc="0409001B" w:tentative="1">
      <w:start w:val="1"/>
      <w:numFmt w:val="lowerRoman"/>
      <w:lvlText w:val="%9."/>
      <w:lvlJc w:val="right"/>
      <w:pPr>
        <w:ind w:left="5510" w:hanging="480"/>
      </w:pPr>
    </w:lvl>
  </w:abstractNum>
  <w:abstractNum w:abstractNumId="6" w15:restartNumberingAfterBreak="0">
    <w:nsid w:val="0917610B"/>
    <w:multiLevelType w:val="hybridMultilevel"/>
    <w:tmpl w:val="D1EE401E"/>
    <w:lvl w:ilvl="0" w:tplc="9D9258F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9A93803"/>
    <w:multiLevelType w:val="hybridMultilevel"/>
    <w:tmpl w:val="458696EC"/>
    <w:lvl w:ilvl="0" w:tplc="77EC3B9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9AB178C"/>
    <w:multiLevelType w:val="hybridMultilevel"/>
    <w:tmpl w:val="334074F4"/>
    <w:lvl w:ilvl="0" w:tplc="BC4C2346">
      <w:start w:val="1"/>
      <w:numFmt w:val="decimal"/>
      <w:lvlText w:val="(%1)"/>
      <w:lvlJc w:val="left"/>
      <w:pPr>
        <w:ind w:left="144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A8D6FAF"/>
    <w:multiLevelType w:val="hybridMultilevel"/>
    <w:tmpl w:val="4364AE68"/>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D604A3E"/>
    <w:multiLevelType w:val="hybridMultilevel"/>
    <w:tmpl w:val="2C66C39E"/>
    <w:lvl w:ilvl="0" w:tplc="AF5857C6">
      <w:start w:val="1"/>
      <w:numFmt w:val="taiwaneseCountingThousand"/>
      <w:lvlText w:val="第%1節"/>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D9664E5"/>
    <w:multiLevelType w:val="hybridMultilevel"/>
    <w:tmpl w:val="CE3C4A9E"/>
    <w:lvl w:ilvl="0" w:tplc="515A5F98">
      <w:start w:val="1"/>
      <w:numFmt w:val="bullet"/>
      <w:lvlText w:val=""/>
      <w:lvlJc w:val="left"/>
      <w:pPr>
        <w:ind w:left="444" w:hanging="480"/>
      </w:pPr>
      <w:rPr>
        <w:rFonts w:ascii="Wingdings" w:hAnsi="Wingdings" w:hint="default"/>
      </w:rPr>
    </w:lvl>
    <w:lvl w:ilvl="1" w:tplc="04090003" w:tentative="1">
      <w:start w:val="1"/>
      <w:numFmt w:val="bullet"/>
      <w:lvlText w:val=""/>
      <w:lvlJc w:val="left"/>
      <w:pPr>
        <w:ind w:left="924" w:hanging="480"/>
      </w:pPr>
      <w:rPr>
        <w:rFonts w:ascii="Wingdings" w:hAnsi="Wingdings" w:hint="default"/>
      </w:rPr>
    </w:lvl>
    <w:lvl w:ilvl="2" w:tplc="04090005" w:tentative="1">
      <w:start w:val="1"/>
      <w:numFmt w:val="bullet"/>
      <w:lvlText w:val=""/>
      <w:lvlJc w:val="left"/>
      <w:pPr>
        <w:ind w:left="1404" w:hanging="480"/>
      </w:pPr>
      <w:rPr>
        <w:rFonts w:ascii="Wingdings" w:hAnsi="Wingdings" w:hint="default"/>
      </w:rPr>
    </w:lvl>
    <w:lvl w:ilvl="3" w:tplc="04090001" w:tentative="1">
      <w:start w:val="1"/>
      <w:numFmt w:val="bullet"/>
      <w:lvlText w:val=""/>
      <w:lvlJc w:val="left"/>
      <w:pPr>
        <w:ind w:left="1884" w:hanging="480"/>
      </w:pPr>
      <w:rPr>
        <w:rFonts w:ascii="Wingdings" w:hAnsi="Wingdings" w:hint="default"/>
      </w:rPr>
    </w:lvl>
    <w:lvl w:ilvl="4" w:tplc="04090003" w:tentative="1">
      <w:start w:val="1"/>
      <w:numFmt w:val="bullet"/>
      <w:lvlText w:val=""/>
      <w:lvlJc w:val="left"/>
      <w:pPr>
        <w:ind w:left="2364" w:hanging="480"/>
      </w:pPr>
      <w:rPr>
        <w:rFonts w:ascii="Wingdings" w:hAnsi="Wingdings" w:hint="default"/>
      </w:rPr>
    </w:lvl>
    <w:lvl w:ilvl="5" w:tplc="04090005" w:tentative="1">
      <w:start w:val="1"/>
      <w:numFmt w:val="bullet"/>
      <w:lvlText w:val=""/>
      <w:lvlJc w:val="left"/>
      <w:pPr>
        <w:ind w:left="2844" w:hanging="480"/>
      </w:pPr>
      <w:rPr>
        <w:rFonts w:ascii="Wingdings" w:hAnsi="Wingdings" w:hint="default"/>
      </w:rPr>
    </w:lvl>
    <w:lvl w:ilvl="6" w:tplc="04090001" w:tentative="1">
      <w:start w:val="1"/>
      <w:numFmt w:val="bullet"/>
      <w:lvlText w:val=""/>
      <w:lvlJc w:val="left"/>
      <w:pPr>
        <w:ind w:left="3324" w:hanging="480"/>
      </w:pPr>
      <w:rPr>
        <w:rFonts w:ascii="Wingdings" w:hAnsi="Wingdings" w:hint="default"/>
      </w:rPr>
    </w:lvl>
    <w:lvl w:ilvl="7" w:tplc="04090003" w:tentative="1">
      <w:start w:val="1"/>
      <w:numFmt w:val="bullet"/>
      <w:lvlText w:val=""/>
      <w:lvlJc w:val="left"/>
      <w:pPr>
        <w:ind w:left="3804" w:hanging="480"/>
      </w:pPr>
      <w:rPr>
        <w:rFonts w:ascii="Wingdings" w:hAnsi="Wingdings" w:hint="default"/>
      </w:rPr>
    </w:lvl>
    <w:lvl w:ilvl="8" w:tplc="04090005" w:tentative="1">
      <w:start w:val="1"/>
      <w:numFmt w:val="bullet"/>
      <w:lvlText w:val=""/>
      <w:lvlJc w:val="left"/>
      <w:pPr>
        <w:ind w:left="4284" w:hanging="480"/>
      </w:pPr>
      <w:rPr>
        <w:rFonts w:ascii="Wingdings" w:hAnsi="Wingdings" w:hint="default"/>
      </w:rPr>
    </w:lvl>
  </w:abstractNum>
  <w:abstractNum w:abstractNumId="12" w15:restartNumberingAfterBreak="0">
    <w:nsid w:val="0F084B2E"/>
    <w:multiLevelType w:val="hybridMultilevel"/>
    <w:tmpl w:val="0AE8DAF4"/>
    <w:lvl w:ilvl="0" w:tplc="A2AAD594">
      <w:start w:val="1"/>
      <w:numFmt w:val="decimal"/>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3" w15:restartNumberingAfterBreak="0">
    <w:nsid w:val="0F1A04EC"/>
    <w:multiLevelType w:val="hybridMultilevel"/>
    <w:tmpl w:val="7C6E0BA6"/>
    <w:lvl w:ilvl="0" w:tplc="1B169988">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15:restartNumberingAfterBreak="0">
    <w:nsid w:val="10193278"/>
    <w:multiLevelType w:val="hybridMultilevel"/>
    <w:tmpl w:val="91668FD4"/>
    <w:lvl w:ilvl="0" w:tplc="69A083E0">
      <w:start w:val="1"/>
      <w:numFmt w:val="taiwaneseCountingThousand"/>
      <w:lvlText w:val="（%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1410DAF"/>
    <w:multiLevelType w:val="hybridMultilevel"/>
    <w:tmpl w:val="699CE538"/>
    <w:lvl w:ilvl="0" w:tplc="B686A568">
      <w:start w:val="1"/>
      <w:numFmt w:val="ideographLegalTraditional"/>
      <w:lvlText w:val="%1、"/>
      <w:lvlJc w:val="left"/>
      <w:pPr>
        <w:ind w:left="1190" w:hanging="480"/>
      </w:pPr>
      <w:rPr>
        <w:b/>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16" w15:restartNumberingAfterBreak="0">
    <w:nsid w:val="11651100"/>
    <w:multiLevelType w:val="hybridMultilevel"/>
    <w:tmpl w:val="A5CACB36"/>
    <w:lvl w:ilvl="0" w:tplc="A976C922">
      <w:start w:val="1"/>
      <w:numFmt w:val="decimal"/>
      <w:lvlText w:val="%1."/>
      <w:lvlJc w:val="left"/>
      <w:pPr>
        <w:ind w:left="600" w:hanging="360"/>
      </w:pPr>
      <w:rPr>
        <w:rFonts w:hint="default"/>
      </w:rPr>
    </w:lvl>
    <w:lvl w:ilvl="1" w:tplc="04090019">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7" w15:restartNumberingAfterBreak="0">
    <w:nsid w:val="121027A4"/>
    <w:multiLevelType w:val="hybridMultilevel"/>
    <w:tmpl w:val="0818E0C6"/>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8" w15:restartNumberingAfterBreak="0">
    <w:nsid w:val="12295EB4"/>
    <w:multiLevelType w:val="hybridMultilevel"/>
    <w:tmpl w:val="E684E1C6"/>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15:restartNumberingAfterBreak="0">
    <w:nsid w:val="1323622A"/>
    <w:multiLevelType w:val="hybridMultilevel"/>
    <w:tmpl w:val="4C8E4B24"/>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0" w15:restartNumberingAfterBreak="0">
    <w:nsid w:val="15045CFC"/>
    <w:multiLevelType w:val="hybridMultilevel"/>
    <w:tmpl w:val="F94C7E52"/>
    <w:lvl w:ilvl="0" w:tplc="515A5F9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16527774"/>
    <w:multiLevelType w:val="hybridMultilevel"/>
    <w:tmpl w:val="CC044076"/>
    <w:lvl w:ilvl="0" w:tplc="3C5E3C42">
      <w:start w:val="1"/>
      <w:numFmt w:val="decimal"/>
      <w:lvlText w:val="%1."/>
      <w:lvlJc w:val="left"/>
      <w:pPr>
        <w:ind w:left="558" w:hanging="360"/>
      </w:pPr>
      <w:rPr>
        <w:rFonts w:ascii="Times New Roman" w:eastAsia="標楷體" w:hAnsi="Times New Roman" w:cs="Times New Roman" w:hint="default"/>
        <w:b w:val="0"/>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2" w15:restartNumberingAfterBreak="0">
    <w:nsid w:val="16740ADF"/>
    <w:multiLevelType w:val="hybridMultilevel"/>
    <w:tmpl w:val="A7725796"/>
    <w:lvl w:ilvl="0" w:tplc="674EA78E">
      <w:start w:val="1"/>
      <w:numFmt w:val="decimal"/>
      <w:lvlText w:val="%1."/>
      <w:lvlJc w:val="left"/>
      <w:pPr>
        <w:ind w:left="480" w:hanging="480"/>
      </w:pPr>
      <w:rPr>
        <w:b w:val="0"/>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83446D2"/>
    <w:multiLevelType w:val="hybridMultilevel"/>
    <w:tmpl w:val="AB045974"/>
    <w:lvl w:ilvl="0" w:tplc="48B6BD74">
      <w:start w:val="1"/>
      <w:numFmt w:val="decimal"/>
      <w:lvlText w:val="%1."/>
      <w:lvlJc w:val="left"/>
      <w:pPr>
        <w:ind w:left="840" w:hanging="360"/>
      </w:pPr>
      <w:rPr>
        <w:rFonts w:hint="default"/>
        <w:b/>
        <w:u w:val="single"/>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186A429F"/>
    <w:multiLevelType w:val="hybridMultilevel"/>
    <w:tmpl w:val="E2DEF0EA"/>
    <w:lvl w:ilvl="0" w:tplc="56D6B504">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8BF1BD9"/>
    <w:multiLevelType w:val="hybridMultilevel"/>
    <w:tmpl w:val="861A28A8"/>
    <w:lvl w:ilvl="0" w:tplc="3042D832">
      <w:start w:val="1"/>
      <w:numFmt w:val="taiwaneseCountingThousand"/>
      <w:suff w:val="nothing"/>
      <w:lvlText w:val="(%1)"/>
      <w:lvlJc w:val="left"/>
      <w:pPr>
        <w:ind w:left="1190" w:hanging="480"/>
      </w:pPr>
      <w:rPr>
        <w:rFonts w:hint="eastAsia"/>
      </w:rPr>
    </w:lvl>
    <w:lvl w:ilvl="1" w:tplc="04090019" w:tentative="1">
      <w:start w:val="1"/>
      <w:numFmt w:val="ideographTraditional"/>
      <w:lvlText w:val="%2、"/>
      <w:lvlJc w:val="left"/>
      <w:pPr>
        <w:ind w:left="2150" w:hanging="480"/>
      </w:pPr>
    </w:lvl>
    <w:lvl w:ilvl="2" w:tplc="0409001B" w:tentative="1">
      <w:start w:val="1"/>
      <w:numFmt w:val="lowerRoman"/>
      <w:lvlText w:val="%3."/>
      <w:lvlJc w:val="right"/>
      <w:pPr>
        <w:ind w:left="2630" w:hanging="480"/>
      </w:pPr>
    </w:lvl>
    <w:lvl w:ilvl="3" w:tplc="0409000F" w:tentative="1">
      <w:start w:val="1"/>
      <w:numFmt w:val="decimal"/>
      <w:lvlText w:val="%4."/>
      <w:lvlJc w:val="left"/>
      <w:pPr>
        <w:ind w:left="3110" w:hanging="480"/>
      </w:pPr>
    </w:lvl>
    <w:lvl w:ilvl="4" w:tplc="04090019" w:tentative="1">
      <w:start w:val="1"/>
      <w:numFmt w:val="ideographTraditional"/>
      <w:lvlText w:val="%5、"/>
      <w:lvlJc w:val="left"/>
      <w:pPr>
        <w:ind w:left="3590" w:hanging="480"/>
      </w:pPr>
    </w:lvl>
    <w:lvl w:ilvl="5" w:tplc="0409001B" w:tentative="1">
      <w:start w:val="1"/>
      <w:numFmt w:val="lowerRoman"/>
      <w:lvlText w:val="%6."/>
      <w:lvlJc w:val="right"/>
      <w:pPr>
        <w:ind w:left="4070" w:hanging="480"/>
      </w:pPr>
    </w:lvl>
    <w:lvl w:ilvl="6" w:tplc="0409000F" w:tentative="1">
      <w:start w:val="1"/>
      <w:numFmt w:val="decimal"/>
      <w:lvlText w:val="%7."/>
      <w:lvlJc w:val="left"/>
      <w:pPr>
        <w:ind w:left="4550" w:hanging="480"/>
      </w:pPr>
    </w:lvl>
    <w:lvl w:ilvl="7" w:tplc="04090019" w:tentative="1">
      <w:start w:val="1"/>
      <w:numFmt w:val="ideographTraditional"/>
      <w:lvlText w:val="%8、"/>
      <w:lvlJc w:val="left"/>
      <w:pPr>
        <w:ind w:left="5030" w:hanging="480"/>
      </w:pPr>
    </w:lvl>
    <w:lvl w:ilvl="8" w:tplc="0409001B" w:tentative="1">
      <w:start w:val="1"/>
      <w:numFmt w:val="lowerRoman"/>
      <w:lvlText w:val="%9."/>
      <w:lvlJc w:val="right"/>
      <w:pPr>
        <w:ind w:left="5510" w:hanging="480"/>
      </w:pPr>
    </w:lvl>
  </w:abstractNum>
  <w:abstractNum w:abstractNumId="26" w15:restartNumberingAfterBreak="0">
    <w:nsid w:val="190B7814"/>
    <w:multiLevelType w:val="hybridMultilevel"/>
    <w:tmpl w:val="63309E80"/>
    <w:lvl w:ilvl="0" w:tplc="3644399C">
      <w:start w:val="1"/>
      <w:numFmt w:val="decimal"/>
      <w:lvlText w:val="(%1)"/>
      <w:lvlJc w:val="left"/>
      <w:pPr>
        <w:ind w:left="1280" w:hanging="360"/>
      </w:pPr>
      <w:rPr>
        <w:rFonts w:hint="default"/>
      </w:rPr>
    </w:lvl>
    <w:lvl w:ilvl="1" w:tplc="04090019" w:tentative="1">
      <w:start w:val="1"/>
      <w:numFmt w:val="ideographTraditional"/>
      <w:lvlText w:val="%2、"/>
      <w:lvlJc w:val="left"/>
      <w:pPr>
        <w:ind w:left="1880" w:hanging="480"/>
      </w:pPr>
    </w:lvl>
    <w:lvl w:ilvl="2" w:tplc="0409001B" w:tentative="1">
      <w:start w:val="1"/>
      <w:numFmt w:val="lowerRoman"/>
      <w:lvlText w:val="%3."/>
      <w:lvlJc w:val="right"/>
      <w:pPr>
        <w:ind w:left="2360" w:hanging="480"/>
      </w:pPr>
    </w:lvl>
    <w:lvl w:ilvl="3" w:tplc="0409000F" w:tentative="1">
      <w:start w:val="1"/>
      <w:numFmt w:val="decimal"/>
      <w:lvlText w:val="%4."/>
      <w:lvlJc w:val="left"/>
      <w:pPr>
        <w:ind w:left="2840" w:hanging="480"/>
      </w:pPr>
    </w:lvl>
    <w:lvl w:ilvl="4" w:tplc="04090019" w:tentative="1">
      <w:start w:val="1"/>
      <w:numFmt w:val="ideographTraditional"/>
      <w:lvlText w:val="%5、"/>
      <w:lvlJc w:val="left"/>
      <w:pPr>
        <w:ind w:left="3320" w:hanging="480"/>
      </w:pPr>
    </w:lvl>
    <w:lvl w:ilvl="5" w:tplc="0409001B" w:tentative="1">
      <w:start w:val="1"/>
      <w:numFmt w:val="lowerRoman"/>
      <w:lvlText w:val="%6."/>
      <w:lvlJc w:val="right"/>
      <w:pPr>
        <w:ind w:left="3800" w:hanging="480"/>
      </w:pPr>
    </w:lvl>
    <w:lvl w:ilvl="6" w:tplc="0409000F" w:tentative="1">
      <w:start w:val="1"/>
      <w:numFmt w:val="decimal"/>
      <w:lvlText w:val="%7."/>
      <w:lvlJc w:val="left"/>
      <w:pPr>
        <w:ind w:left="4280" w:hanging="480"/>
      </w:pPr>
    </w:lvl>
    <w:lvl w:ilvl="7" w:tplc="04090019" w:tentative="1">
      <w:start w:val="1"/>
      <w:numFmt w:val="ideographTraditional"/>
      <w:lvlText w:val="%8、"/>
      <w:lvlJc w:val="left"/>
      <w:pPr>
        <w:ind w:left="4760" w:hanging="480"/>
      </w:pPr>
    </w:lvl>
    <w:lvl w:ilvl="8" w:tplc="0409001B" w:tentative="1">
      <w:start w:val="1"/>
      <w:numFmt w:val="lowerRoman"/>
      <w:lvlText w:val="%9."/>
      <w:lvlJc w:val="right"/>
      <w:pPr>
        <w:ind w:left="5240" w:hanging="480"/>
      </w:pPr>
    </w:lvl>
  </w:abstractNum>
  <w:abstractNum w:abstractNumId="27" w15:restartNumberingAfterBreak="0">
    <w:nsid w:val="194C2056"/>
    <w:multiLevelType w:val="hybridMultilevel"/>
    <w:tmpl w:val="9E76A4F4"/>
    <w:lvl w:ilvl="0" w:tplc="B5B68CA8">
      <w:start w:val="1"/>
      <w:numFmt w:val="taiwaneseCountingThousand"/>
      <w:lvlText w:val="（%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1A2D5590"/>
    <w:multiLevelType w:val="hybridMultilevel"/>
    <w:tmpl w:val="C0343216"/>
    <w:lvl w:ilvl="0" w:tplc="9560E7D0">
      <w:start w:val="1"/>
      <w:numFmt w:val="decimal"/>
      <w:lvlText w:val="%1."/>
      <w:lvlJc w:val="left"/>
      <w:pPr>
        <w:ind w:left="920" w:hanging="360"/>
      </w:pPr>
      <w:rPr>
        <w:rFonts w:hint="default"/>
      </w:r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29" w15:restartNumberingAfterBreak="0">
    <w:nsid w:val="1A5C6D3F"/>
    <w:multiLevelType w:val="hybridMultilevel"/>
    <w:tmpl w:val="BF885D58"/>
    <w:lvl w:ilvl="0" w:tplc="515A5F9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1B607126"/>
    <w:multiLevelType w:val="hybridMultilevel"/>
    <w:tmpl w:val="861A28A8"/>
    <w:lvl w:ilvl="0" w:tplc="3042D832">
      <w:start w:val="1"/>
      <w:numFmt w:val="taiwaneseCountingThousand"/>
      <w:suff w:val="nothing"/>
      <w:lvlText w:val="(%1)"/>
      <w:lvlJc w:val="left"/>
      <w:pPr>
        <w:ind w:left="1190" w:hanging="480"/>
      </w:pPr>
      <w:rPr>
        <w:rFonts w:hint="eastAsia"/>
      </w:rPr>
    </w:lvl>
    <w:lvl w:ilvl="1" w:tplc="04090019" w:tentative="1">
      <w:start w:val="1"/>
      <w:numFmt w:val="ideographTraditional"/>
      <w:lvlText w:val="%2、"/>
      <w:lvlJc w:val="left"/>
      <w:pPr>
        <w:ind w:left="2150" w:hanging="480"/>
      </w:pPr>
    </w:lvl>
    <w:lvl w:ilvl="2" w:tplc="0409001B" w:tentative="1">
      <w:start w:val="1"/>
      <w:numFmt w:val="lowerRoman"/>
      <w:lvlText w:val="%3."/>
      <w:lvlJc w:val="right"/>
      <w:pPr>
        <w:ind w:left="2630" w:hanging="480"/>
      </w:pPr>
    </w:lvl>
    <w:lvl w:ilvl="3" w:tplc="0409000F" w:tentative="1">
      <w:start w:val="1"/>
      <w:numFmt w:val="decimal"/>
      <w:lvlText w:val="%4."/>
      <w:lvlJc w:val="left"/>
      <w:pPr>
        <w:ind w:left="3110" w:hanging="480"/>
      </w:pPr>
    </w:lvl>
    <w:lvl w:ilvl="4" w:tplc="04090019" w:tentative="1">
      <w:start w:val="1"/>
      <w:numFmt w:val="ideographTraditional"/>
      <w:lvlText w:val="%5、"/>
      <w:lvlJc w:val="left"/>
      <w:pPr>
        <w:ind w:left="3590" w:hanging="480"/>
      </w:pPr>
    </w:lvl>
    <w:lvl w:ilvl="5" w:tplc="0409001B" w:tentative="1">
      <w:start w:val="1"/>
      <w:numFmt w:val="lowerRoman"/>
      <w:lvlText w:val="%6."/>
      <w:lvlJc w:val="right"/>
      <w:pPr>
        <w:ind w:left="4070" w:hanging="480"/>
      </w:pPr>
    </w:lvl>
    <w:lvl w:ilvl="6" w:tplc="0409000F" w:tentative="1">
      <w:start w:val="1"/>
      <w:numFmt w:val="decimal"/>
      <w:lvlText w:val="%7."/>
      <w:lvlJc w:val="left"/>
      <w:pPr>
        <w:ind w:left="4550" w:hanging="480"/>
      </w:pPr>
    </w:lvl>
    <w:lvl w:ilvl="7" w:tplc="04090019" w:tentative="1">
      <w:start w:val="1"/>
      <w:numFmt w:val="ideographTraditional"/>
      <w:lvlText w:val="%8、"/>
      <w:lvlJc w:val="left"/>
      <w:pPr>
        <w:ind w:left="5030" w:hanging="480"/>
      </w:pPr>
    </w:lvl>
    <w:lvl w:ilvl="8" w:tplc="0409001B" w:tentative="1">
      <w:start w:val="1"/>
      <w:numFmt w:val="lowerRoman"/>
      <w:lvlText w:val="%9."/>
      <w:lvlJc w:val="right"/>
      <w:pPr>
        <w:ind w:left="5510" w:hanging="480"/>
      </w:pPr>
    </w:lvl>
  </w:abstractNum>
  <w:abstractNum w:abstractNumId="31" w15:restartNumberingAfterBreak="0">
    <w:nsid w:val="1CF50ABD"/>
    <w:multiLevelType w:val="hybridMultilevel"/>
    <w:tmpl w:val="861A28A8"/>
    <w:lvl w:ilvl="0" w:tplc="3042D832">
      <w:start w:val="1"/>
      <w:numFmt w:val="taiwaneseCountingThousand"/>
      <w:suff w:val="nothing"/>
      <w:lvlText w:val="(%1)"/>
      <w:lvlJc w:val="left"/>
      <w:pPr>
        <w:ind w:left="1190" w:hanging="480"/>
      </w:pPr>
      <w:rPr>
        <w:rFonts w:hint="eastAsia"/>
      </w:rPr>
    </w:lvl>
    <w:lvl w:ilvl="1" w:tplc="04090019" w:tentative="1">
      <w:start w:val="1"/>
      <w:numFmt w:val="ideographTraditional"/>
      <w:lvlText w:val="%2、"/>
      <w:lvlJc w:val="left"/>
      <w:pPr>
        <w:ind w:left="2150" w:hanging="480"/>
      </w:pPr>
    </w:lvl>
    <w:lvl w:ilvl="2" w:tplc="0409001B" w:tentative="1">
      <w:start w:val="1"/>
      <w:numFmt w:val="lowerRoman"/>
      <w:lvlText w:val="%3."/>
      <w:lvlJc w:val="right"/>
      <w:pPr>
        <w:ind w:left="2630" w:hanging="480"/>
      </w:pPr>
    </w:lvl>
    <w:lvl w:ilvl="3" w:tplc="0409000F" w:tentative="1">
      <w:start w:val="1"/>
      <w:numFmt w:val="decimal"/>
      <w:lvlText w:val="%4."/>
      <w:lvlJc w:val="left"/>
      <w:pPr>
        <w:ind w:left="3110" w:hanging="480"/>
      </w:pPr>
    </w:lvl>
    <w:lvl w:ilvl="4" w:tplc="04090019" w:tentative="1">
      <w:start w:val="1"/>
      <w:numFmt w:val="ideographTraditional"/>
      <w:lvlText w:val="%5、"/>
      <w:lvlJc w:val="left"/>
      <w:pPr>
        <w:ind w:left="3590" w:hanging="480"/>
      </w:pPr>
    </w:lvl>
    <w:lvl w:ilvl="5" w:tplc="0409001B" w:tentative="1">
      <w:start w:val="1"/>
      <w:numFmt w:val="lowerRoman"/>
      <w:lvlText w:val="%6."/>
      <w:lvlJc w:val="right"/>
      <w:pPr>
        <w:ind w:left="4070" w:hanging="480"/>
      </w:pPr>
    </w:lvl>
    <w:lvl w:ilvl="6" w:tplc="0409000F" w:tentative="1">
      <w:start w:val="1"/>
      <w:numFmt w:val="decimal"/>
      <w:lvlText w:val="%7."/>
      <w:lvlJc w:val="left"/>
      <w:pPr>
        <w:ind w:left="4550" w:hanging="480"/>
      </w:pPr>
    </w:lvl>
    <w:lvl w:ilvl="7" w:tplc="04090019" w:tentative="1">
      <w:start w:val="1"/>
      <w:numFmt w:val="ideographTraditional"/>
      <w:lvlText w:val="%8、"/>
      <w:lvlJc w:val="left"/>
      <w:pPr>
        <w:ind w:left="5030" w:hanging="480"/>
      </w:pPr>
    </w:lvl>
    <w:lvl w:ilvl="8" w:tplc="0409001B" w:tentative="1">
      <w:start w:val="1"/>
      <w:numFmt w:val="lowerRoman"/>
      <w:lvlText w:val="%9."/>
      <w:lvlJc w:val="right"/>
      <w:pPr>
        <w:ind w:left="5510" w:hanging="480"/>
      </w:pPr>
    </w:lvl>
  </w:abstractNum>
  <w:abstractNum w:abstractNumId="32" w15:restartNumberingAfterBreak="0">
    <w:nsid w:val="1E97408B"/>
    <w:multiLevelType w:val="hybridMultilevel"/>
    <w:tmpl w:val="3CB2EB7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205817AD"/>
    <w:multiLevelType w:val="hybridMultilevel"/>
    <w:tmpl w:val="114E3DAE"/>
    <w:lvl w:ilvl="0" w:tplc="0C60044C">
      <w:start w:val="2"/>
      <w:numFmt w:val="taiwaneseCountingThousand"/>
      <w:lvlText w:val="第%1節"/>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20756B3C"/>
    <w:multiLevelType w:val="hybridMultilevel"/>
    <w:tmpl w:val="CC044076"/>
    <w:lvl w:ilvl="0" w:tplc="3C5E3C42">
      <w:start w:val="1"/>
      <w:numFmt w:val="decimal"/>
      <w:lvlText w:val="%1."/>
      <w:lvlJc w:val="left"/>
      <w:pPr>
        <w:ind w:left="558" w:hanging="360"/>
      </w:pPr>
      <w:rPr>
        <w:rFonts w:ascii="Times New Roman" w:eastAsia="標楷體" w:hAnsi="Times New Roman" w:cs="Times New Roman" w:hint="default"/>
        <w:b w:val="0"/>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5" w15:restartNumberingAfterBreak="0">
    <w:nsid w:val="216E3D61"/>
    <w:multiLevelType w:val="hybridMultilevel"/>
    <w:tmpl w:val="BB287EE2"/>
    <w:lvl w:ilvl="0" w:tplc="DC94AF7C">
      <w:start w:val="1"/>
      <w:numFmt w:val="decimal"/>
      <w:lvlText w:val="(%1)"/>
      <w:lvlJc w:val="left"/>
      <w:pPr>
        <w:ind w:left="783" w:hanging="360"/>
      </w:pPr>
      <w:rPr>
        <w:rFonts w:hint="default"/>
      </w:rPr>
    </w:lvl>
    <w:lvl w:ilvl="1" w:tplc="04090019" w:tentative="1">
      <w:start w:val="1"/>
      <w:numFmt w:val="ideographTraditional"/>
      <w:lvlText w:val="%2、"/>
      <w:lvlJc w:val="left"/>
      <w:pPr>
        <w:ind w:left="1383" w:hanging="480"/>
      </w:pPr>
    </w:lvl>
    <w:lvl w:ilvl="2" w:tplc="0409001B" w:tentative="1">
      <w:start w:val="1"/>
      <w:numFmt w:val="lowerRoman"/>
      <w:lvlText w:val="%3."/>
      <w:lvlJc w:val="right"/>
      <w:pPr>
        <w:ind w:left="1863" w:hanging="480"/>
      </w:pPr>
    </w:lvl>
    <w:lvl w:ilvl="3" w:tplc="0409000F" w:tentative="1">
      <w:start w:val="1"/>
      <w:numFmt w:val="decimal"/>
      <w:lvlText w:val="%4."/>
      <w:lvlJc w:val="left"/>
      <w:pPr>
        <w:ind w:left="2343" w:hanging="480"/>
      </w:pPr>
    </w:lvl>
    <w:lvl w:ilvl="4" w:tplc="04090019" w:tentative="1">
      <w:start w:val="1"/>
      <w:numFmt w:val="ideographTraditional"/>
      <w:lvlText w:val="%5、"/>
      <w:lvlJc w:val="left"/>
      <w:pPr>
        <w:ind w:left="2823" w:hanging="480"/>
      </w:pPr>
    </w:lvl>
    <w:lvl w:ilvl="5" w:tplc="0409001B" w:tentative="1">
      <w:start w:val="1"/>
      <w:numFmt w:val="lowerRoman"/>
      <w:lvlText w:val="%6."/>
      <w:lvlJc w:val="right"/>
      <w:pPr>
        <w:ind w:left="3303" w:hanging="480"/>
      </w:pPr>
    </w:lvl>
    <w:lvl w:ilvl="6" w:tplc="0409000F" w:tentative="1">
      <w:start w:val="1"/>
      <w:numFmt w:val="decimal"/>
      <w:lvlText w:val="%7."/>
      <w:lvlJc w:val="left"/>
      <w:pPr>
        <w:ind w:left="3783" w:hanging="480"/>
      </w:pPr>
    </w:lvl>
    <w:lvl w:ilvl="7" w:tplc="04090019" w:tentative="1">
      <w:start w:val="1"/>
      <w:numFmt w:val="ideographTraditional"/>
      <w:lvlText w:val="%8、"/>
      <w:lvlJc w:val="left"/>
      <w:pPr>
        <w:ind w:left="4263" w:hanging="480"/>
      </w:pPr>
    </w:lvl>
    <w:lvl w:ilvl="8" w:tplc="0409001B" w:tentative="1">
      <w:start w:val="1"/>
      <w:numFmt w:val="lowerRoman"/>
      <w:lvlText w:val="%9."/>
      <w:lvlJc w:val="right"/>
      <w:pPr>
        <w:ind w:left="4743" w:hanging="480"/>
      </w:pPr>
    </w:lvl>
  </w:abstractNum>
  <w:abstractNum w:abstractNumId="36" w15:restartNumberingAfterBreak="0">
    <w:nsid w:val="218D5CF9"/>
    <w:multiLevelType w:val="hybridMultilevel"/>
    <w:tmpl w:val="E8CC80B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23AF367E"/>
    <w:multiLevelType w:val="hybridMultilevel"/>
    <w:tmpl w:val="AF62EDDE"/>
    <w:lvl w:ilvl="0" w:tplc="73F039E0">
      <w:start w:val="1"/>
      <w:numFmt w:val="taiwaneseCountingThousand"/>
      <w:lvlText w:val="（%1）"/>
      <w:lvlJc w:val="left"/>
      <w:pPr>
        <w:ind w:left="885" w:hanging="88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25D10E1B"/>
    <w:multiLevelType w:val="hybridMultilevel"/>
    <w:tmpl w:val="38C8AF2C"/>
    <w:lvl w:ilvl="0" w:tplc="B7908622">
      <w:start w:val="1"/>
      <w:numFmt w:val="taiwaneseCountingThousand"/>
      <w:lvlText w:val="（%1）"/>
      <w:lvlJc w:val="left"/>
      <w:pPr>
        <w:ind w:left="765" w:hanging="765"/>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26793540"/>
    <w:multiLevelType w:val="hybridMultilevel"/>
    <w:tmpl w:val="FAD66904"/>
    <w:lvl w:ilvl="0" w:tplc="6758253C">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40" w15:restartNumberingAfterBreak="0">
    <w:nsid w:val="27FB783B"/>
    <w:multiLevelType w:val="hybridMultilevel"/>
    <w:tmpl w:val="F934D6BC"/>
    <w:lvl w:ilvl="0" w:tplc="C3681E84">
      <w:start w:val="1"/>
      <w:numFmt w:val="decimal"/>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1" w15:restartNumberingAfterBreak="0">
    <w:nsid w:val="293B7E43"/>
    <w:multiLevelType w:val="hybridMultilevel"/>
    <w:tmpl w:val="69487C9A"/>
    <w:lvl w:ilvl="0" w:tplc="A692D0F2">
      <w:start w:val="1"/>
      <w:numFmt w:val="taiwaneseCountingThousand"/>
      <w:lvlText w:val="%1、"/>
      <w:lvlJc w:val="left"/>
      <w:pPr>
        <w:ind w:left="720" w:hanging="720"/>
      </w:pPr>
      <w:rPr>
        <w:rFonts w:hint="default"/>
      </w:rPr>
    </w:lvl>
    <w:lvl w:ilvl="1" w:tplc="A96C3F26">
      <w:start w:val="1"/>
      <w:numFmt w:val="taiwaneseCountingThousand"/>
      <w:lvlText w:val="（%2）"/>
      <w:lvlJc w:val="left"/>
      <w:pPr>
        <w:ind w:left="960" w:hanging="480"/>
      </w:pPr>
      <w:rPr>
        <w:rFonts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297B1AD2"/>
    <w:multiLevelType w:val="hybridMultilevel"/>
    <w:tmpl w:val="3D9626FE"/>
    <w:lvl w:ilvl="0" w:tplc="5608C1F4">
      <w:start w:val="1"/>
      <w:numFmt w:val="decimal"/>
      <w:lvlText w:val="(%1)"/>
      <w:lvlJc w:val="left"/>
      <w:pPr>
        <w:ind w:left="783" w:hanging="360"/>
      </w:pPr>
      <w:rPr>
        <w:rFonts w:cs="Times New Roman" w:hint="default"/>
        <w:sz w:val="28"/>
      </w:rPr>
    </w:lvl>
    <w:lvl w:ilvl="1" w:tplc="04090019" w:tentative="1">
      <w:start w:val="1"/>
      <w:numFmt w:val="ideographTraditional"/>
      <w:lvlText w:val="%2、"/>
      <w:lvlJc w:val="left"/>
      <w:pPr>
        <w:ind w:left="1383" w:hanging="480"/>
      </w:pPr>
    </w:lvl>
    <w:lvl w:ilvl="2" w:tplc="0409001B" w:tentative="1">
      <w:start w:val="1"/>
      <w:numFmt w:val="lowerRoman"/>
      <w:lvlText w:val="%3."/>
      <w:lvlJc w:val="right"/>
      <w:pPr>
        <w:ind w:left="1863" w:hanging="480"/>
      </w:pPr>
    </w:lvl>
    <w:lvl w:ilvl="3" w:tplc="0409000F" w:tentative="1">
      <w:start w:val="1"/>
      <w:numFmt w:val="decimal"/>
      <w:lvlText w:val="%4."/>
      <w:lvlJc w:val="left"/>
      <w:pPr>
        <w:ind w:left="2343" w:hanging="480"/>
      </w:pPr>
    </w:lvl>
    <w:lvl w:ilvl="4" w:tplc="04090019" w:tentative="1">
      <w:start w:val="1"/>
      <w:numFmt w:val="ideographTraditional"/>
      <w:lvlText w:val="%5、"/>
      <w:lvlJc w:val="left"/>
      <w:pPr>
        <w:ind w:left="2823" w:hanging="480"/>
      </w:pPr>
    </w:lvl>
    <w:lvl w:ilvl="5" w:tplc="0409001B" w:tentative="1">
      <w:start w:val="1"/>
      <w:numFmt w:val="lowerRoman"/>
      <w:lvlText w:val="%6."/>
      <w:lvlJc w:val="right"/>
      <w:pPr>
        <w:ind w:left="3303" w:hanging="480"/>
      </w:pPr>
    </w:lvl>
    <w:lvl w:ilvl="6" w:tplc="0409000F" w:tentative="1">
      <w:start w:val="1"/>
      <w:numFmt w:val="decimal"/>
      <w:lvlText w:val="%7."/>
      <w:lvlJc w:val="left"/>
      <w:pPr>
        <w:ind w:left="3783" w:hanging="480"/>
      </w:pPr>
    </w:lvl>
    <w:lvl w:ilvl="7" w:tplc="04090019" w:tentative="1">
      <w:start w:val="1"/>
      <w:numFmt w:val="ideographTraditional"/>
      <w:lvlText w:val="%8、"/>
      <w:lvlJc w:val="left"/>
      <w:pPr>
        <w:ind w:left="4263" w:hanging="480"/>
      </w:pPr>
    </w:lvl>
    <w:lvl w:ilvl="8" w:tplc="0409001B" w:tentative="1">
      <w:start w:val="1"/>
      <w:numFmt w:val="lowerRoman"/>
      <w:lvlText w:val="%9."/>
      <w:lvlJc w:val="right"/>
      <w:pPr>
        <w:ind w:left="4743" w:hanging="480"/>
      </w:pPr>
    </w:lvl>
  </w:abstractNum>
  <w:abstractNum w:abstractNumId="43" w15:restartNumberingAfterBreak="0">
    <w:nsid w:val="2DEB4104"/>
    <w:multiLevelType w:val="hybridMultilevel"/>
    <w:tmpl w:val="45428712"/>
    <w:lvl w:ilvl="0" w:tplc="91E0DD5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2FB26FD0"/>
    <w:multiLevelType w:val="hybridMultilevel"/>
    <w:tmpl w:val="1F5C4CFA"/>
    <w:lvl w:ilvl="0" w:tplc="C04474B0">
      <w:start w:val="1"/>
      <w:numFmt w:val="decimal"/>
      <w:lvlText w:val="(%1)"/>
      <w:lvlJc w:val="left"/>
      <w:pPr>
        <w:ind w:left="840" w:hanging="360"/>
      </w:pPr>
      <w:rPr>
        <w:rFonts w:hint="default"/>
        <w:b w:val="0"/>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5" w15:restartNumberingAfterBreak="0">
    <w:nsid w:val="2FE63CCE"/>
    <w:multiLevelType w:val="hybridMultilevel"/>
    <w:tmpl w:val="EABCEDBE"/>
    <w:lvl w:ilvl="0" w:tplc="9EA0DCC0">
      <w:start w:val="3"/>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2FF341E9"/>
    <w:multiLevelType w:val="hybridMultilevel"/>
    <w:tmpl w:val="5C6CFBAA"/>
    <w:lvl w:ilvl="0" w:tplc="28F82C36">
      <w:start w:val="1"/>
      <w:numFmt w:val="decimal"/>
      <w:lvlText w:val="%1."/>
      <w:lvlJc w:val="left"/>
      <w:pPr>
        <w:ind w:left="720" w:hanging="36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47" w15:restartNumberingAfterBreak="0">
    <w:nsid w:val="313C189A"/>
    <w:multiLevelType w:val="hybridMultilevel"/>
    <w:tmpl w:val="912A91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1746965"/>
    <w:multiLevelType w:val="hybridMultilevel"/>
    <w:tmpl w:val="24C4E072"/>
    <w:lvl w:ilvl="0" w:tplc="515A5F9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9" w15:restartNumberingAfterBreak="0">
    <w:nsid w:val="354A20CF"/>
    <w:multiLevelType w:val="hybridMultilevel"/>
    <w:tmpl w:val="7E50498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56523B2"/>
    <w:multiLevelType w:val="hybridMultilevel"/>
    <w:tmpl w:val="EB304480"/>
    <w:lvl w:ilvl="0" w:tplc="6ACC8C5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6B6231C"/>
    <w:multiLevelType w:val="hybridMultilevel"/>
    <w:tmpl w:val="1F80DE2A"/>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2" w15:restartNumberingAfterBreak="0">
    <w:nsid w:val="373705ED"/>
    <w:multiLevelType w:val="hybridMultilevel"/>
    <w:tmpl w:val="797266C4"/>
    <w:lvl w:ilvl="0" w:tplc="03D42DF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378517CE"/>
    <w:multiLevelType w:val="hybridMultilevel"/>
    <w:tmpl w:val="774C25CA"/>
    <w:lvl w:ilvl="0" w:tplc="0409000F">
      <w:start w:val="1"/>
      <w:numFmt w:val="decimal"/>
      <w:lvlText w:val="%1."/>
      <w:lvlJc w:val="left"/>
      <w:pPr>
        <w:ind w:left="96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9246113"/>
    <w:multiLevelType w:val="hybridMultilevel"/>
    <w:tmpl w:val="2BB62F68"/>
    <w:lvl w:ilvl="0" w:tplc="0409000B">
      <w:start w:val="1"/>
      <w:numFmt w:val="bullet"/>
      <w:lvlText w:val=""/>
      <w:lvlJc w:val="left"/>
      <w:pPr>
        <w:ind w:left="480" w:hanging="48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39832484"/>
    <w:multiLevelType w:val="hybridMultilevel"/>
    <w:tmpl w:val="92A412DA"/>
    <w:lvl w:ilvl="0" w:tplc="00204D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39EE2604"/>
    <w:multiLevelType w:val="hybridMultilevel"/>
    <w:tmpl w:val="68F4FADC"/>
    <w:lvl w:ilvl="0" w:tplc="4000D3B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3A080619"/>
    <w:multiLevelType w:val="hybridMultilevel"/>
    <w:tmpl w:val="24A08090"/>
    <w:lvl w:ilvl="0" w:tplc="515A5F9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8" w15:restartNumberingAfterBreak="0">
    <w:nsid w:val="3A77153B"/>
    <w:multiLevelType w:val="hybridMultilevel"/>
    <w:tmpl w:val="6360B01E"/>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3AC147D8"/>
    <w:multiLevelType w:val="hybridMultilevel"/>
    <w:tmpl w:val="158C00FE"/>
    <w:lvl w:ilvl="0" w:tplc="1B7602D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3B5202B7"/>
    <w:multiLevelType w:val="hybridMultilevel"/>
    <w:tmpl w:val="513E3CEA"/>
    <w:lvl w:ilvl="0" w:tplc="7C16CE2A">
      <w:start w:val="1"/>
      <w:numFmt w:val="decimal"/>
      <w:lvlText w:val="%1."/>
      <w:lvlJc w:val="left"/>
      <w:pPr>
        <w:ind w:left="840" w:hanging="360"/>
      </w:pPr>
      <w:rPr>
        <w:rFonts w:hint="default"/>
        <w:b/>
        <w:u w:val="single"/>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1" w15:restartNumberingAfterBreak="0">
    <w:nsid w:val="3B840919"/>
    <w:multiLevelType w:val="hybridMultilevel"/>
    <w:tmpl w:val="1D9EAC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3C177BEE"/>
    <w:multiLevelType w:val="hybridMultilevel"/>
    <w:tmpl w:val="2C701A3A"/>
    <w:lvl w:ilvl="0" w:tplc="65E67EFA">
      <w:start w:val="1"/>
      <w:numFmt w:val="decimal"/>
      <w:lvlText w:val="%1."/>
      <w:lvlJc w:val="left"/>
      <w:pPr>
        <w:ind w:left="1320" w:hanging="36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3C315F23"/>
    <w:multiLevelType w:val="hybridMultilevel"/>
    <w:tmpl w:val="73D8A9A0"/>
    <w:lvl w:ilvl="0" w:tplc="8626DB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3D674F69"/>
    <w:multiLevelType w:val="hybridMultilevel"/>
    <w:tmpl w:val="57A83F4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3DFE7E0A"/>
    <w:multiLevelType w:val="hybridMultilevel"/>
    <w:tmpl w:val="1752F000"/>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6" w15:restartNumberingAfterBreak="0">
    <w:nsid w:val="3E200261"/>
    <w:multiLevelType w:val="hybridMultilevel"/>
    <w:tmpl w:val="F712105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7" w15:restartNumberingAfterBreak="0">
    <w:nsid w:val="3EAA3E6B"/>
    <w:multiLevelType w:val="hybridMultilevel"/>
    <w:tmpl w:val="C56C3A30"/>
    <w:lvl w:ilvl="0" w:tplc="515A5F98">
      <w:start w:val="1"/>
      <w:numFmt w:val="bullet"/>
      <w:lvlText w:val=""/>
      <w:lvlJc w:val="left"/>
      <w:pPr>
        <w:ind w:left="444" w:hanging="480"/>
      </w:pPr>
      <w:rPr>
        <w:rFonts w:ascii="Wingdings" w:hAnsi="Wingdings" w:hint="default"/>
      </w:rPr>
    </w:lvl>
    <w:lvl w:ilvl="1" w:tplc="04090003" w:tentative="1">
      <w:start w:val="1"/>
      <w:numFmt w:val="bullet"/>
      <w:lvlText w:val=""/>
      <w:lvlJc w:val="left"/>
      <w:pPr>
        <w:ind w:left="924" w:hanging="480"/>
      </w:pPr>
      <w:rPr>
        <w:rFonts w:ascii="Wingdings" w:hAnsi="Wingdings" w:hint="default"/>
      </w:rPr>
    </w:lvl>
    <w:lvl w:ilvl="2" w:tplc="04090005" w:tentative="1">
      <w:start w:val="1"/>
      <w:numFmt w:val="bullet"/>
      <w:lvlText w:val=""/>
      <w:lvlJc w:val="left"/>
      <w:pPr>
        <w:ind w:left="1404" w:hanging="480"/>
      </w:pPr>
      <w:rPr>
        <w:rFonts w:ascii="Wingdings" w:hAnsi="Wingdings" w:hint="default"/>
      </w:rPr>
    </w:lvl>
    <w:lvl w:ilvl="3" w:tplc="04090001" w:tentative="1">
      <w:start w:val="1"/>
      <w:numFmt w:val="bullet"/>
      <w:lvlText w:val=""/>
      <w:lvlJc w:val="left"/>
      <w:pPr>
        <w:ind w:left="1884" w:hanging="480"/>
      </w:pPr>
      <w:rPr>
        <w:rFonts w:ascii="Wingdings" w:hAnsi="Wingdings" w:hint="default"/>
      </w:rPr>
    </w:lvl>
    <w:lvl w:ilvl="4" w:tplc="04090003" w:tentative="1">
      <w:start w:val="1"/>
      <w:numFmt w:val="bullet"/>
      <w:lvlText w:val=""/>
      <w:lvlJc w:val="left"/>
      <w:pPr>
        <w:ind w:left="2364" w:hanging="480"/>
      </w:pPr>
      <w:rPr>
        <w:rFonts w:ascii="Wingdings" w:hAnsi="Wingdings" w:hint="default"/>
      </w:rPr>
    </w:lvl>
    <w:lvl w:ilvl="5" w:tplc="04090005" w:tentative="1">
      <w:start w:val="1"/>
      <w:numFmt w:val="bullet"/>
      <w:lvlText w:val=""/>
      <w:lvlJc w:val="left"/>
      <w:pPr>
        <w:ind w:left="2844" w:hanging="480"/>
      </w:pPr>
      <w:rPr>
        <w:rFonts w:ascii="Wingdings" w:hAnsi="Wingdings" w:hint="default"/>
      </w:rPr>
    </w:lvl>
    <w:lvl w:ilvl="6" w:tplc="04090001" w:tentative="1">
      <w:start w:val="1"/>
      <w:numFmt w:val="bullet"/>
      <w:lvlText w:val=""/>
      <w:lvlJc w:val="left"/>
      <w:pPr>
        <w:ind w:left="3324" w:hanging="480"/>
      </w:pPr>
      <w:rPr>
        <w:rFonts w:ascii="Wingdings" w:hAnsi="Wingdings" w:hint="default"/>
      </w:rPr>
    </w:lvl>
    <w:lvl w:ilvl="7" w:tplc="04090003" w:tentative="1">
      <w:start w:val="1"/>
      <w:numFmt w:val="bullet"/>
      <w:lvlText w:val=""/>
      <w:lvlJc w:val="left"/>
      <w:pPr>
        <w:ind w:left="3804" w:hanging="480"/>
      </w:pPr>
      <w:rPr>
        <w:rFonts w:ascii="Wingdings" w:hAnsi="Wingdings" w:hint="default"/>
      </w:rPr>
    </w:lvl>
    <w:lvl w:ilvl="8" w:tplc="04090005" w:tentative="1">
      <w:start w:val="1"/>
      <w:numFmt w:val="bullet"/>
      <w:lvlText w:val=""/>
      <w:lvlJc w:val="left"/>
      <w:pPr>
        <w:ind w:left="4284" w:hanging="480"/>
      </w:pPr>
      <w:rPr>
        <w:rFonts w:ascii="Wingdings" w:hAnsi="Wingdings" w:hint="default"/>
      </w:rPr>
    </w:lvl>
  </w:abstractNum>
  <w:abstractNum w:abstractNumId="68" w15:restartNumberingAfterBreak="0">
    <w:nsid w:val="406D4736"/>
    <w:multiLevelType w:val="hybridMultilevel"/>
    <w:tmpl w:val="352AF16E"/>
    <w:lvl w:ilvl="0" w:tplc="A96C3F26">
      <w:start w:val="1"/>
      <w:numFmt w:val="taiwaneseCountingThousand"/>
      <w:lvlText w:val="（%1）"/>
      <w:lvlJc w:val="left"/>
      <w:pPr>
        <w:ind w:left="885" w:hanging="885"/>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42975BD8"/>
    <w:multiLevelType w:val="hybridMultilevel"/>
    <w:tmpl w:val="3CEECC58"/>
    <w:lvl w:ilvl="0" w:tplc="E804643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42FE5A88"/>
    <w:multiLevelType w:val="hybridMultilevel"/>
    <w:tmpl w:val="520024A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43572A76"/>
    <w:multiLevelType w:val="hybridMultilevel"/>
    <w:tmpl w:val="37844A8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449F45BE"/>
    <w:multiLevelType w:val="hybridMultilevel"/>
    <w:tmpl w:val="AF2E1686"/>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3" w15:restartNumberingAfterBreak="0">
    <w:nsid w:val="44F360A4"/>
    <w:multiLevelType w:val="hybridMultilevel"/>
    <w:tmpl w:val="1786DEE4"/>
    <w:lvl w:ilvl="0" w:tplc="0409000F">
      <w:start w:val="1"/>
      <w:numFmt w:val="decimal"/>
      <w:lvlText w:val="%1."/>
      <w:lvlJc w:val="left"/>
      <w:pPr>
        <w:ind w:left="1188" w:hanging="480"/>
      </w:pPr>
    </w:lvl>
    <w:lvl w:ilvl="1" w:tplc="CA22FFA4">
      <w:start w:val="2"/>
      <w:numFmt w:val="taiwaneseCountingThousand"/>
      <w:lvlText w:val="%2、"/>
      <w:lvlJc w:val="left"/>
      <w:pPr>
        <w:ind w:left="1908" w:hanging="720"/>
      </w:pPr>
      <w:rPr>
        <w:rFonts w:hint="default"/>
      </w:rPr>
    </w:lvl>
    <w:lvl w:ilvl="2" w:tplc="0409001B" w:tentative="1">
      <w:start w:val="1"/>
      <w:numFmt w:val="lowerRoman"/>
      <w:lvlText w:val="%3."/>
      <w:lvlJc w:val="right"/>
      <w:pPr>
        <w:ind w:left="2148" w:hanging="480"/>
      </w:pPr>
    </w:lvl>
    <w:lvl w:ilvl="3" w:tplc="0409000F" w:tentative="1">
      <w:start w:val="1"/>
      <w:numFmt w:val="decimal"/>
      <w:lvlText w:val="%4."/>
      <w:lvlJc w:val="left"/>
      <w:pPr>
        <w:ind w:left="2628" w:hanging="480"/>
      </w:pPr>
    </w:lvl>
    <w:lvl w:ilvl="4" w:tplc="04090019" w:tentative="1">
      <w:start w:val="1"/>
      <w:numFmt w:val="ideographTraditional"/>
      <w:lvlText w:val="%5、"/>
      <w:lvlJc w:val="left"/>
      <w:pPr>
        <w:ind w:left="3108" w:hanging="480"/>
      </w:pPr>
    </w:lvl>
    <w:lvl w:ilvl="5" w:tplc="0409001B" w:tentative="1">
      <w:start w:val="1"/>
      <w:numFmt w:val="lowerRoman"/>
      <w:lvlText w:val="%6."/>
      <w:lvlJc w:val="right"/>
      <w:pPr>
        <w:ind w:left="3588" w:hanging="480"/>
      </w:pPr>
    </w:lvl>
    <w:lvl w:ilvl="6" w:tplc="0409000F" w:tentative="1">
      <w:start w:val="1"/>
      <w:numFmt w:val="decimal"/>
      <w:lvlText w:val="%7."/>
      <w:lvlJc w:val="left"/>
      <w:pPr>
        <w:ind w:left="4068" w:hanging="480"/>
      </w:pPr>
    </w:lvl>
    <w:lvl w:ilvl="7" w:tplc="04090019" w:tentative="1">
      <w:start w:val="1"/>
      <w:numFmt w:val="ideographTraditional"/>
      <w:lvlText w:val="%8、"/>
      <w:lvlJc w:val="left"/>
      <w:pPr>
        <w:ind w:left="4548" w:hanging="480"/>
      </w:pPr>
    </w:lvl>
    <w:lvl w:ilvl="8" w:tplc="0409001B" w:tentative="1">
      <w:start w:val="1"/>
      <w:numFmt w:val="lowerRoman"/>
      <w:lvlText w:val="%9."/>
      <w:lvlJc w:val="right"/>
      <w:pPr>
        <w:ind w:left="5028" w:hanging="480"/>
      </w:pPr>
    </w:lvl>
  </w:abstractNum>
  <w:abstractNum w:abstractNumId="74" w15:restartNumberingAfterBreak="0">
    <w:nsid w:val="453128AC"/>
    <w:multiLevelType w:val="hybridMultilevel"/>
    <w:tmpl w:val="6BC4B770"/>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45896000"/>
    <w:multiLevelType w:val="hybridMultilevel"/>
    <w:tmpl w:val="5600D00A"/>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6" w15:restartNumberingAfterBreak="0">
    <w:nsid w:val="465576AB"/>
    <w:multiLevelType w:val="hybridMultilevel"/>
    <w:tmpl w:val="299EFCC4"/>
    <w:lvl w:ilvl="0" w:tplc="AB86BFD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46DA4D53"/>
    <w:multiLevelType w:val="hybridMultilevel"/>
    <w:tmpl w:val="774C25CA"/>
    <w:lvl w:ilvl="0" w:tplc="0409000F">
      <w:start w:val="1"/>
      <w:numFmt w:val="decimal"/>
      <w:lvlText w:val="%1."/>
      <w:lvlJc w:val="left"/>
      <w:pPr>
        <w:ind w:left="96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47195FFE"/>
    <w:multiLevelType w:val="hybridMultilevel"/>
    <w:tmpl w:val="4EA8167A"/>
    <w:lvl w:ilvl="0" w:tplc="B3BCC9F4">
      <w:start w:val="1"/>
      <w:numFmt w:val="decimal"/>
      <w:lvlText w:val="%1."/>
      <w:lvlJc w:val="left"/>
      <w:pPr>
        <w:ind w:left="920" w:hanging="360"/>
      </w:pPr>
      <w:rPr>
        <w:rFonts w:hint="default"/>
      </w:r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79" w15:restartNumberingAfterBreak="0">
    <w:nsid w:val="47567DFD"/>
    <w:multiLevelType w:val="hybridMultilevel"/>
    <w:tmpl w:val="21449A6C"/>
    <w:lvl w:ilvl="0" w:tplc="E0B647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47694FC6"/>
    <w:multiLevelType w:val="hybridMultilevel"/>
    <w:tmpl w:val="B5AC0EB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47955DD0"/>
    <w:multiLevelType w:val="hybridMultilevel"/>
    <w:tmpl w:val="3AC86D3E"/>
    <w:lvl w:ilvl="0" w:tplc="04090001">
      <w:start w:val="1"/>
      <w:numFmt w:val="bullet"/>
      <w:lvlText w:val=""/>
      <w:lvlJc w:val="left"/>
      <w:pPr>
        <w:ind w:left="622" w:hanging="480"/>
      </w:pPr>
      <w:rPr>
        <w:rFonts w:ascii="Wingdings" w:hAnsi="Wingdings" w:hint="default"/>
        <w:b/>
        <w:i w:val="0"/>
        <w:sz w:val="24"/>
      </w:rPr>
    </w:lvl>
    <w:lvl w:ilvl="1" w:tplc="0409000F">
      <w:start w:val="1"/>
      <w:numFmt w:val="decimal"/>
      <w:lvlText w:val="%2."/>
      <w:lvlJc w:val="left"/>
      <w:pPr>
        <w:ind w:left="1102" w:hanging="480"/>
      </w:pPr>
    </w:lvl>
    <w:lvl w:ilvl="2" w:tplc="BC4C2346">
      <w:start w:val="1"/>
      <w:numFmt w:val="decimal"/>
      <w:lvlText w:val="(%3)"/>
      <w:lvlJc w:val="left"/>
      <w:pPr>
        <w:ind w:left="1582" w:hanging="480"/>
      </w:pPr>
      <w:rPr>
        <w:rFonts w:hint="default"/>
      </w:r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82" w15:restartNumberingAfterBreak="0">
    <w:nsid w:val="47E25A2B"/>
    <w:multiLevelType w:val="hybridMultilevel"/>
    <w:tmpl w:val="1514DDCE"/>
    <w:lvl w:ilvl="0" w:tplc="59743076">
      <w:start w:val="1"/>
      <w:numFmt w:val="decimal"/>
      <w:lvlText w:val="%1."/>
      <w:lvlJc w:val="left"/>
      <w:pPr>
        <w:ind w:left="855" w:hanging="375"/>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481A47CB"/>
    <w:multiLevelType w:val="hybridMultilevel"/>
    <w:tmpl w:val="BD7AA0C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489F4933"/>
    <w:multiLevelType w:val="hybridMultilevel"/>
    <w:tmpl w:val="FA702CEA"/>
    <w:lvl w:ilvl="0" w:tplc="A4969F7A">
      <w:start w:val="3"/>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49882A83"/>
    <w:multiLevelType w:val="hybridMultilevel"/>
    <w:tmpl w:val="7B1C48F6"/>
    <w:lvl w:ilvl="0" w:tplc="54BAF3A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4A9570D6"/>
    <w:multiLevelType w:val="hybridMultilevel"/>
    <w:tmpl w:val="2C66C39E"/>
    <w:lvl w:ilvl="0" w:tplc="AF5857C6">
      <w:start w:val="1"/>
      <w:numFmt w:val="taiwaneseCountingThousand"/>
      <w:lvlText w:val="第%1節"/>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4B292571"/>
    <w:multiLevelType w:val="hybridMultilevel"/>
    <w:tmpl w:val="F8986306"/>
    <w:lvl w:ilvl="0" w:tplc="5A82A6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4B4023E6"/>
    <w:multiLevelType w:val="hybridMultilevel"/>
    <w:tmpl w:val="E9A029BC"/>
    <w:lvl w:ilvl="0" w:tplc="515A5F9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9" w15:restartNumberingAfterBreak="0">
    <w:nsid w:val="4C837A97"/>
    <w:multiLevelType w:val="hybridMultilevel"/>
    <w:tmpl w:val="AC38667E"/>
    <w:lvl w:ilvl="0" w:tplc="8D8828E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4DB14611"/>
    <w:multiLevelType w:val="hybridMultilevel"/>
    <w:tmpl w:val="8C46CCCC"/>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1" w15:restartNumberingAfterBreak="0">
    <w:nsid w:val="4DFA2D42"/>
    <w:multiLevelType w:val="hybridMultilevel"/>
    <w:tmpl w:val="F20A17EC"/>
    <w:lvl w:ilvl="0" w:tplc="BC4C2346">
      <w:start w:val="1"/>
      <w:numFmt w:val="decimal"/>
      <w:lvlText w:val="(%1)"/>
      <w:lvlJc w:val="left"/>
      <w:pPr>
        <w:ind w:left="1582"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50C6048D"/>
    <w:multiLevelType w:val="hybridMultilevel"/>
    <w:tmpl w:val="59C0A9F8"/>
    <w:lvl w:ilvl="0" w:tplc="5D6093A2">
      <w:start w:val="1"/>
      <w:numFmt w:val="taiwaneseCountingThousand"/>
      <w:lvlText w:val="（%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528B671E"/>
    <w:multiLevelType w:val="hybridMultilevel"/>
    <w:tmpl w:val="56C4F3B2"/>
    <w:lvl w:ilvl="0" w:tplc="515A5F9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4" w15:restartNumberingAfterBreak="0">
    <w:nsid w:val="537F6D6B"/>
    <w:multiLevelType w:val="hybridMultilevel"/>
    <w:tmpl w:val="EFE49CE8"/>
    <w:lvl w:ilvl="0" w:tplc="D982EF82">
      <w:start w:val="1"/>
      <w:numFmt w:val="taiwaneseCountingThousand"/>
      <w:lvlText w:val="（%1）"/>
      <w:lvlJc w:val="left"/>
      <w:pPr>
        <w:ind w:left="885" w:hanging="885"/>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549E08FE"/>
    <w:multiLevelType w:val="hybridMultilevel"/>
    <w:tmpl w:val="A09896EE"/>
    <w:lvl w:ilvl="0" w:tplc="97481D4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54D70A3F"/>
    <w:multiLevelType w:val="hybridMultilevel"/>
    <w:tmpl w:val="861A28A8"/>
    <w:lvl w:ilvl="0" w:tplc="3042D832">
      <w:start w:val="1"/>
      <w:numFmt w:val="taiwaneseCountingThousand"/>
      <w:suff w:val="nothing"/>
      <w:lvlText w:val="(%1)"/>
      <w:lvlJc w:val="left"/>
      <w:pPr>
        <w:ind w:left="1190" w:hanging="480"/>
      </w:pPr>
      <w:rPr>
        <w:rFonts w:hint="eastAsia"/>
      </w:rPr>
    </w:lvl>
    <w:lvl w:ilvl="1" w:tplc="04090019" w:tentative="1">
      <w:start w:val="1"/>
      <w:numFmt w:val="ideographTraditional"/>
      <w:lvlText w:val="%2、"/>
      <w:lvlJc w:val="left"/>
      <w:pPr>
        <w:ind w:left="2150" w:hanging="480"/>
      </w:pPr>
    </w:lvl>
    <w:lvl w:ilvl="2" w:tplc="0409001B" w:tentative="1">
      <w:start w:val="1"/>
      <w:numFmt w:val="lowerRoman"/>
      <w:lvlText w:val="%3."/>
      <w:lvlJc w:val="right"/>
      <w:pPr>
        <w:ind w:left="2630" w:hanging="480"/>
      </w:pPr>
    </w:lvl>
    <w:lvl w:ilvl="3" w:tplc="0409000F" w:tentative="1">
      <w:start w:val="1"/>
      <w:numFmt w:val="decimal"/>
      <w:lvlText w:val="%4."/>
      <w:lvlJc w:val="left"/>
      <w:pPr>
        <w:ind w:left="3110" w:hanging="480"/>
      </w:pPr>
    </w:lvl>
    <w:lvl w:ilvl="4" w:tplc="04090019" w:tentative="1">
      <w:start w:val="1"/>
      <w:numFmt w:val="ideographTraditional"/>
      <w:lvlText w:val="%5、"/>
      <w:lvlJc w:val="left"/>
      <w:pPr>
        <w:ind w:left="3590" w:hanging="480"/>
      </w:pPr>
    </w:lvl>
    <w:lvl w:ilvl="5" w:tplc="0409001B" w:tentative="1">
      <w:start w:val="1"/>
      <w:numFmt w:val="lowerRoman"/>
      <w:lvlText w:val="%6."/>
      <w:lvlJc w:val="right"/>
      <w:pPr>
        <w:ind w:left="4070" w:hanging="480"/>
      </w:pPr>
    </w:lvl>
    <w:lvl w:ilvl="6" w:tplc="0409000F" w:tentative="1">
      <w:start w:val="1"/>
      <w:numFmt w:val="decimal"/>
      <w:lvlText w:val="%7."/>
      <w:lvlJc w:val="left"/>
      <w:pPr>
        <w:ind w:left="4550" w:hanging="480"/>
      </w:pPr>
    </w:lvl>
    <w:lvl w:ilvl="7" w:tplc="04090019" w:tentative="1">
      <w:start w:val="1"/>
      <w:numFmt w:val="ideographTraditional"/>
      <w:lvlText w:val="%8、"/>
      <w:lvlJc w:val="left"/>
      <w:pPr>
        <w:ind w:left="5030" w:hanging="480"/>
      </w:pPr>
    </w:lvl>
    <w:lvl w:ilvl="8" w:tplc="0409001B" w:tentative="1">
      <w:start w:val="1"/>
      <w:numFmt w:val="lowerRoman"/>
      <w:lvlText w:val="%9."/>
      <w:lvlJc w:val="right"/>
      <w:pPr>
        <w:ind w:left="5510" w:hanging="480"/>
      </w:pPr>
    </w:lvl>
  </w:abstractNum>
  <w:abstractNum w:abstractNumId="97" w15:restartNumberingAfterBreak="0">
    <w:nsid w:val="54ED513B"/>
    <w:multiLevelType w:val="hybridMultilevel"/>
    <w:tmpl w:val="861A28A8"/>
    <w:lvl w:ilvl="0" w:tplc="3042D832">
      <w:start w:val="1"/>
      <w:numFmt w:val="taiwaneseCountingThousand"/>
      <w:suff w:val="nothing"/>
      <w:lvlText w:val="(%1)"/>
      <w:lvlJc w:val="left"/>
      <w:pPr>
        <w:ind w:left="1190" w:hanging="480"/>
      </w:pPr>
      <w:rPr>
        <w:rFonts w:hint="eastAsia"/>
      </w:rPr>
    </w:lvl>
    <w:lvl w:ilvl="1" w:tplc="04090019" w:tentative="1">
      <w:start w:val="1"/>
      <w:numFmt w:val="ideographTraditional"/>
      <w:lvlText w:val="%2、"/>
      <w:lvlJc w:val="left"/>
      <w:pPr>
        <w:ind w:left="2150" w:hanging="480"/>
      </w:pPr>
    </w:lvl>
    <w:lvl w:ilvl="2" w:tplc="0409001B" w:tentative="1">
      <w:start w:val="1"/>
      <w:numFmt w:val="lowerRoman"/>
      <w:lvlText w:val="%3."/>
      <w:lvlJc w:val="right"/>
      <w:pPr>
        <w:ind w:left="2630" w:hanging="480"/>
      </w:pPr>
    </w:lvl>
    <w:lvl w:ilvl="3" w:tplc="0409000F" w:tentative="1">
      <w:start w:val="1"/>
      <w:numFmt w:val="decimal"/>
      <w:lvlText w:val="%4."/>
      <w:lvlJc w:val="left"/>
      <w:pPr>
        <w:ind w:left="3110" w:hanging="480"/>
      </w:pPr>
    </w:lvl>
    <w:lvl w:ilvl="4" w:tplc="04090019" w:tentative="1">
      <w:start w:val="1"/>
      <w:numFmt w:val="ideographTraditional"/>
      <w:lvlText w:val="%5、"/>
      <w:lvlJc w:val="left"/>
      <w:pPr>
        <w:ind w:left="3590" w:hanging="480"/>
      </w:pPr>
    </w:lvl>
    <w:lvl w:ilvl="5" w:tplc="0409001B" w:tentative="1">
      <w:start w:val="1"/>
      <w:numFmt w:val="lowerRoman"/>
      <w:lvlText w:val="%6."/>
      <w:lvlJc w:val="right"/>
      <w:pPr>
        <w:ind w:left="4070" w:hanging="480"/>
      </w:pPr>
    </w:lvl>
    <w:lvl w:ilvl="6" w:tplc="0409000F" w:tentative="1">
      <w:start w:val="1"/>
      <w:numFmt w:val="decimal"/>
      <w:lvlText w:val="%7."/>
      <w:lvlJc w:val="left"/>
      <w:pPr>
        <w:ind w:left="4550" w:hanging="480"/>
      </w:pPr>
    </w:lvl>
    <w:lvl w:ilvl="7" w:tplc="04090019" w:tentative="1">
      <w:start w:val="1"/>
      <w:numFmt w:val="ideographTraditional"/>
      <w:lvlText w:val="%8、"/>
      <w:lvlJc w:val="left"/>
      <w:pPr>
        <w:ind w:left="5030" w:hanging="480"/>
      </w:pPr>
    </w:lvl>
    <w:lvl w:ilvl="8" w:tplc="0409001B" w:tentative="1">
      <w:start w:val="1"/>
      <w:numFmt w:val="lowerRoman"/>
      <w:lvlText w:val="%9."/>
      <w:lvlJc w:val="right"/>
      <w:pPr>
        <w:ind w:left="5510" w:hanging="480"/>
      </w:pPr>
    </w:lvl>
  </w:abstractNum>
  <w:abstractNum w:abstractNumId="98" w15:restartNumberingAfterBreak="0">
    <w:nsid w:val="555F5789"/>
    <w:multiLevelType w:val="hybridMultilevel"/>
    <w:tmpl w:val="96860402"/>
    <w:lvl w:ilvl="0" w:tplc="E08E46D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56C74F87"/>
    <w:multiLevelType w:val="hybridMultilevel"/>
    <w:tmpl w:val="699CE538"/>
    <w:lvl w:ilvl="0" w:tplc="B686A568">
      <w:start w:val="1"/>
      <w:numFmt w:val="ideographLegalTraditional"/>
      <w:lvlText w:val="%1、"/>
      <w:lvlJc w:val="left"/>
      <w:pPr>
        <w:ind w:left="1190" w:hanging="480"/>
      </w:pPr>
      <w:rPr>
        <w:b/>
      </w:rPr>
    </w:lvl>
    <w:lvl w:ilvl="1" w:tplc="04090019" w:tentative="1">
      <w:start w:val="1"/>
      <w:numFmt w:val="ideographTraditional"/>
      <w:lvlText w:val="%2、"/>
      <w:lvlJc w:val="left"/>
      <w:pPr>
        <w:ind w:left="1670" w:hanging="480"/>
      </w:pPr>
    </w:lvl>
    <w:lvl w:ilvl="2" w:tplc="0409001B" w:tentative="1">
      <w:start w:val="1"/>
      <w:numFmt w:val="lowerRoman"/>
      <w:lvlText w:val="%3."/>
      <w:lvlJc w:val="right"/>
      <w:pPr>
        <w:ind w:left="2150" w:hanging="480"/>
      </w:pPr>
    </w:lvl>
    <w:lvl w:ilvl="3" w:tplc="0409000F" w:tentative="1">
      <w:start w:val="1"/>
      <w:numFmt w:val="decimal"/>
      <w:lvlText w:val="%4."/>
      <w:lvlJc w:val="left"/>
      <w:pPr>
        <w:ind w:left="2630" w:hanging="480"/>
      </w:pPr>
    </w:lvl>
    <w:lvl w:ilvl="4" w:tplc="04090019" w:tentative="1">
      <w:start w:val="1"/>
      <w:numFmt w:val="ideographTraditional"/>
      <w:lvlText w:val="%5、"/>
      <w:lvlJc w:val="left"/>
      <w:pPr>
        <w:ind w:left="3110" w:hanging="480"/>
      </w:pPr>
    </w:lvl>
    <w:lvl w:ilvl="5" w:tplc="0409001B" w:tentative="1">
      <w:start w:val="1"/>
      <w:numFmt w:val="lowerRoman"/>
      <w:lvlText w:val="%6."/>
      <w:lvlJc w:val="right"/>
      <w:pPr>
        <w:ind w:left="3590" w:hanging="480"/>
      </w:pPr>
    </w:lvl>
    <w:lvl w:ilvl="6" w:tplc="0409000F" w:tentative="1">
      <w:start w:val="1"/>
      <w:numFmt w:val="decimal"/>
      <w:lvlText w:val="%7."/>
      <w:lvlJc w:val="left"/>
      <w:pPr>
        <w:ind w:left="4070" w:hanging="480"/>
      </w:pPr>
    </w:lvl>
    <w:lvl w:ilvl="7" w:tplc="04090019" w:tentative="1">
      <w:start w:val="1"/>
      <w:numFmt w:val="ideographTraditional"/>
      <w:lvlText w:val="%8、"/>
      <w:lvlJc w:val="left"/>
      <w:pPr>
        <w:ind w:left="4550" w:hanging="480"/>
      </w:pPr>
    </w:lvl>
    <w:lvl w:ilvl="8" w:tplc="0409001B" w:tentative="1">
      <w:start w:val="1"/>
      <w:numFmt w:val="lowerRoman"/>
      <w:lvlText w:val="%9."/>
      <w:lvlJc w:val="right"/>
      <w:pPr>
        <w:ind w:left="5030" w:hanging="480"/>
      </w:pPr>
    </w:lvl>
  </w:abstractNum>
  <w:abstractNum w:abstractNumId="100" w15:restartNumberingAfterBreak="0">
    <w:nsid w:val="57484057"/>
    <w:multiLevelType w:val="hybridMultilevel"/>
    <w:tmpl w:val="E9C014E4"/>
    <w:lvl w:ilvl="0" w:tplc="B7DE5BBE">
      <w:start w:val="1"/>
      <w:numFmt w:val="taiwaneseCountingThousand"/>
      <w:lvlText w:val="（%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578603C6"/>
    <w:multiLevelType w:val="hybridMultilevel"/>
    <w:tmpl w:val="B79C5080"/>
    <w:lvl w:ilvl="0" w:tplc="430A4F6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5862639A"/>
    <w:multiLevelType w:val="hybridMultilevel"/>
    <w:tmpl w:val="380E03B6"/>
    <w:lvl w:ilvl="0" w:tplc="08D8C8B4">
      <w:start w:val="1"/>
      <w:numFmt w:val="taiwaneseCountingThousand"/>
      <w:lvlText w:val="（%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58FF043E"/>
    <w:multiLevelType w:val="hybridMultilevel"/>
    <w:tmpl w:val="CA4E8720"/>
    <w:lvl w:ilvl="0" w:tplc="D272FF54">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59154017"/>
    <w:multiLevelType w:val="hybridMultilevel"/>
    <w:tmpl w:val="E446F714"/>
    <w:lvl w:ilvl="0" w:tplc="22662932">
      <w:start w:val="1"/>
      <w:numFmt w:val="taiwaneseCountingThousand"/>
      <w:suff w:val="nothing"/>
      <w:lvlText w:val="%1、"/>
      <w:lvlJc w:val="left"/>
      <w:pPr>
        <w:ind w:left="119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5A3851A7"/>
    <w:multiLevelType w:val="hybridMultilevel"/>
    <w:tmpl w:val="3E0A77AE"/>
    <w:lvl w:ilvl="0" w:tplc="90246000">
      <w:start w:val="1"/>
      <w:numFmt w:val="decimal"/>
      <w:lvlText w:val="(%1)"/>
      <w:lvlJc w:val="left"/>
      <w:pPr>
        <w:ind w:left="786" w:hanging="36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06" w15:restartNumberingAfterBreak="0">
    <w:nsid w:val="5A5A6CC1"/>
    <w:multiLevelType w:val="hybridMultilevel"/>
    <w:tmpl w:val="73D8A9A0"/>
    <w:lvl w:ilvl="0" w:tplc="8626DB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5B4A6FC9"/>
    <w:multiLevelType w:val="hybridMultilevel"/>
    <w:tmpl w:val="861A28A8"/>
    <w:lvl w:ilvl="0" w:tplc="3042D832">
      <w:start w:val="1"/>
      <w:numFmt w:val="taiwaneseCountingThousand"/>
      <w:suff w:val="nothing"/>
      <w:lvlText w:val="(%1)"/>
      <w:lvlJc w:val="left"/>
      <w:pPr>
        <w:ind w:left="1190" w:hanging="480"/>
      </w:pPr>
      <w:rPr>
        <w:rFonts w:hint="eastAsia"/>
      </w:rPr>
    </w:lvl>
    <w:lvl w:ilvl="1" w:tplc="04090019" w:tentative="1">
      <w:start w:val="1"/>
      <w:numFmt w:val="ideographTraditional"/>
      <w:lvlText w:val="%2、"/>
      <w:lvlJc w:val="left"/>
      <w:pPr>
        <w:ind w:left="2150" w:hanging="480"/>
      </w:pPr>
    </w:lvl>
    <w:lvl w:ilvl="2" w:tplc="0409001B" w:tentative="1">
      <w:start w:val="1"/>
      <w:numFmt w:val="lowerRoman"/>
      <w:lvlText w:val="%3."/>
      <w:lvlJc w:val="right"/>
      <w:pPr>
        <w:ind w:left="2630" w:hanging="480"/>
      </w:pPr>
    </w:lvl>
    <w:lvl w:ilvl="3" w:tplc="0409000F" w:tentative="1">
      <w:start w:val="1"/>
      <w:numFmt w:val="decimal"/>
      <w:lvlText w:val="%4."/>
      <w:lvlJc w:val="left"/>
      <w:pPr>
        <w:ind w:left="3110" w:hanging="480"/>
      </w:pPr>
    </w:lvl>
    <w:lvl w:ilvl="4" w:tplc="04090019" w:tentative="1">
      <w:start w:val="1"/>
      <w:numFmt w:val="ideographTraditional"/>
      <w:lvlText w:val="%5、"/>
      <w:lvlJc w:val="left"/>
      <w:pPr>
        <w:ind w:left="3590" w:hanging="480"/>
      </w:pPr>
    </w:lvl>
    <w:lvl w:ilvl="5" w:tplc="0409001B" w:tentative="1">
      <w:start w:val="1"/>
      <w:numFmt w:val="lowerRoman"/>
      <w:lvlText w:val="%6."/>
      <w:lvlJc w:val="right"/>
      <w:pPr>
        <w:ind w:left="4070" w:hanging="480"/>
      </w:pPr>
    </w:lvl>
    <w:lvl w:ilvl="6" w:tplc="0409000F" w:tentative="1">
      <w:start w:val="1"/>
      <w:numFmt w:val="decimal"/>
      <w:lvlText w:val="%7."/>
      <w:lvlJc w:val="left"/>
      <w:pPr>
        <w:ind w:left="4550" w:hanging="480"/>
      </w:pPr>
    </w:lvl>
    <w:lvl w:ilvl="7" w:tplc="04090019" w:tentative="1">
      <w:start w:val="1"/>
      <w:numFmt w:val="ideographTraditional"/>
      <w:lvlText w:val="%8、"/>
      <w:lvlJc w:val="left"/>
      <w:pPr>
        <w:ind w:left="5030" w:hanging="480"/>
      </w:pPr>
    </w:lvl>
    <w:lvl w:ilvl="8" w:tplc="0409001B" w:tentative="1">
      <w:start w:val="1"/>
      <w:numFmt w:val="lowerRoman"/>
      <w:lvlText w:val="%9."/>
      <w:lvlJc w:val="right"/>
      <w:pPr>
        <w:ind w:left="5510" w:hanging="480"/>
      </w:pPr>
    </w:lvl>
  </w:abstractNum>
  <w:abstractNum w:abstractNumId="108" w15:restartNumberingAfterBreak="0">
    <w:nsid w:val="5BC967DA"/>
    <w:multiLevelType w:val="hybridMultilevel"/>
    <w:tmpl w:val="E572086E"/>
    <w:lvl w:ilvl="0" w:tplc="853CC79C">
      <w:start w:val="1"/>
      <w:numFmt w:val="taiwaneseCountingThousand"/>
      <w:lvlText w:val="第%1節"/>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5D97275D"/>
    <w:multiLevelType w:val="hybridMultilevel"/>
    <w:tmpl w:val="63309E80"/>
    <w:lvl w:ilvl="0" w:tplc="3644399C">
      <w:start w:val="1"/>
      <w:numFmt w:val="decimal"/>
      <w:lvlText w:val="(%1)"/>
      <w:lvlJc w:val="left"/>
      <w:pPr>
        <w:ind w:left="1280" w:hanging="360"/>
      </w:pPr>
      <w:rPr>
        <w:rFonts w:hint="default"/>
      </w:rPr>
    </w:lvl>
    <w:lvl w:ilvl="1" w:tplc="04090019" w:tentative="1">
      <w:start w:val="1"/>
      <w:numFmt w:val="ideographTraditional"/>
      <w:lvlText w:val="%2、"/>
      <w:lvlJc w:val="left"/>
      <w:pPr>
        <w:ind w:left="1880" w:hanging="480"/>
      </w:pPr>
    </w:lvl>
    <w:lvl w:ilvl="2" w:tplc="0409001B" w:tentative="1">
      <w:start w:val="1"/>
      <w:numFmt w:val="lowerRoman"/>
      <w:lvlText w:val="%3."/>
      <w:lvlJc w:val="right"/>
      <w:pPr>
        <w:ind w:left="2360" w:hanging="480"/>
      </w:pPr>
    </w:lvl>
    <w:lvl w:ilvl="3" w:tplc="0409000F" w:tentative="1">
      <w:start w:val="1"/>
      <w:numFmt w:val="decimal"/>
      <w:lvlText w:val="%4."/>
      <w:lvlJc w:val="left"/>
      <w:pPr>
        <w:ind w:left="2840" w:hanging="480"/>
      </w:pPr>
    </w:lvl>
    <w:lvl w:ilvl="4" w:tplc="04090019" w:tentative="1">
      <w:start w:val="1"/>
      <w:numFmt w:val="ideographTraditional"/>
      <w:lvlText w:val="%5、"/>
      <w:lvlJc w:val="left"/>
      <w:pPr>
        <w:ind w:left="3320" w:hanging="480"/>
      </w:pPr>
    </w:lvl>
    <w:lvl w:ilvl="5" w:tplc="0409001B" w:tentative="1">
      <w:start w:val="1"/>
      <w:numFmt w:val="lowerRoman"/>
      <w:lvlText w:val="%6."/>
      <w:lvlJc w:val="right"/>
      <w:pPr>
        <w:ind w:left="3800" w:hanging="480"/>
      </w:pPr>
    </w:lvl>
    <w:lvl w:ilvl="6" w:tplc="0409000F" w:tentative="1">
      <w:start w:val="1"/>
      <w:numFmt w:val="decimal"/>
      <w:lvlText w:val="%7."/>
      <w:lvlJc w:val="left"/>
      <w:pPr>
        <w:ind w:left="4280" w:hanging="480"/>
      </w:pPr>
    </w:lvl>
    <w:lvl w:ilvl="7" w:tplc="04090019" w:tentative="1">
      <w:start w:val="1"/>
      <w:numFmt w:val="ideographTraditional"/>
      <w:lvlText w:val="%8、"/>
      <w:lvlJc w:val="left"/>
      <w:pPr>
        <w:ind w:left="4760" w:hanging="480"/>
      </w:pPr>
    </w:lvl>
    <w:lvl w:ilvl="8" w:tplc="0409001B" w:tentative="1">
      <w:start w:val="1"/>
      <w:numFmt w:val="lowerRoman"/>
      <w:lvlText w:val="%9."/>
      <w:lvlJc w:val="right"/>
      <w:pPr>
        <w:ind w:left="5240" w:hanging="480"/>
      </w:pPr>
    </w:lvl>
  </w:abstractNum>
  <w:abstractNum w:abstractNumId="110" w15:restartNumberingAfterBreak="0">
    <w:nsid w:val="5E094F12"/>
    <w:multiLevelType w:val="hybridMultilevel"/>
    <w:tmpl w:val="B9A44B40"/>
    <w:lvl w:ilvl="0" w:tplc="F77E563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15:restartNumberingAfterBreak="0">
    <w:nsid w:val="5F5A409A"/>
    <w:multiLevelType w:val="hybridMultilevel"/>
    <w:tmpl w:val="3A147D04"/>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604A4C59"/>
    <w:multiLevelType w:val="hybridMultilevel"/>
    <w:tmpl w:val="8CAABD14"/>
    <w:lvl w:ilvl="0" w:tplc="EA6E1068">
      <w:start w:val="2"/>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609D24DC"/>
    <w:multiLevelType w:val="hybridMultilevel"/>
    <w:tmpl w:val="AA32E9BE"/>
    <w:lvl w:ilvl="0" w:tplc="F32A309E">
      <w:start w:val="1"/>
      <w:numFmt w:val="decimal"/>
      <w:lvlText w:val="%1."/>
      <w:lvlJc w:val="left"/>
      <w:pPr>
        <w:ind w:left="1130" w:hanging="360"/>
      </w:pPr>
      <w:rPr>
        <w:rFonts w:hint="default"/>
      </w:rPr>
    </w:lvl>
    <w:lvl w:ilvl="1" w:tplc="04090019" w:tentative="1">
      <w:start w:val="1"/>
      <w:numFmt w:val="ideographTraditional"/>
      <w:lvlText w:val="%2、"/>
      <w:lvlJc w:val="left"/>
      <w:pPr>
        <w:ind w:left="1730" w:hanging="480"/>
      </w:pPr>
    </w:lvl>
    <w:lvl w:ilvl="2" w:tplc="0409001B" w:tentative="1">
      <w:start w:val="1"/>
      <w:numFmt w:val="lowerRoman"/>
      <w:lvlText w:val="%3."/>
      <w:lvlJc w:val="right"/>
      <w:pPr>
        <w:ind w:left="2210" w:hanging="480"/>
      </w:pPr>
    </w:lvl>
    <w:lvl w:ilvl="3" w:tplc="0409000F" w:tentative="1">
      <w:start w:val="1"/>
      <w:numFmt w:val="decimal"/>
      <w:lvlText w:val="%4."/>
      <w:lvlJc w:val="left"/>
      <w:pPr>
        <w:ind w:left="2690" w:hanging="480"/>
      </w:pPr>
    </w:lvl>
    <w:lvl w:ilvl="4" w:tplc="04090019" w:tentative="1">
      <w:start w:val="1"/>
      <w:numFmt w:val="ideographTraditional"/>
      <w:lvlText w:val="%5、"/>
      <w:lvlJc w:val="left"/>
      <w:pPr>
        <w:ind w:left="3170" w:hanging="480"/>
      </w:pPr>
    </w:lvl>
    <w:lvl w:ilvl="5" w:tplc="0409001B" w:tentative="1">
      <w:start w:val="1"/>
      <w:numFmt w:val="lowerRoman"/>
      <w:lvlText w:val="%6."/>
      <w:lvlJc w:val="right"/>
      <w:pPr>
        <w:ind w:left="3650" w:hanging="480"/>
      </w:pPr>
    </w:lvl>
    <w:lvl w:ilvl="6" w:tplc="0409000F" w:tentative="1">
      <w:start w:val="1"/>
      <w:numFmt w:val="decimal"/>
      <w:lvlText w:val="%7."/>
      <w:lvlJc w:val="left"/>
      <w:pPr>
        <w:ind w:left="4130" w:hanging="480"/>
      </w:pPr>
    </w:lvl>
    <w:lvl w:ilvl="7" w:tplc="04090019" w:tentative="1">
      <w:start w:val="1"/>
      <w:numFmt w:val="ideographTraditional"/>
      <w:lvlText w:val="%8、"/>
      <w:lvlJc w:val="left"/>
      <w:pPr>
        <w:ind w:left="4610" w:hanging="480"/>
      </w:pPr>
    </w:lvl>
    <w:lvl w:ilvl="8" w:tplc="0409001B" w:tentative="1">
      <w:start w:val="1"/>
      <w:numFmt w:val="lowerRoman"/>
      <w:lvlText w:val="%9."/>
      <w:lvlJc w:val="right"/>
      <w:pPr>
        <w:ind w:left="5090" w:hanging="480"/>
      </w:pPr>
    </w:lvl>
  </w:abstractNum>
  <w:abstractNum w:abstractNumId="114" w15:restartNumberingAfterBreak="0">
    <w:nsid w:val="63C427D6"/>
    <w:multiLevelType w:val="hybridMultilevel"/>
    <w:tmpl w:val="C99AC77C"/>
    <w:lvl w:ilvl="0" w:tplc="853CC79C">
      <w:start w:val="1"/>
      <w:numFmt w:val="taiwaneseCountingThousand"/>
      <w:lvlText w:val="第%1節"/>
      <w:lvlJc w:val="left"/>
      <w:pPr>
        <w:ind w:left="480" w:hanging="48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64487CEB"/>
    <w:multiLevelType w:val="hybridMultilevel"/>
    <w:tmpl w:val="5A00058E"/>
    <w:lvl w:ilvl="0" w:tplc="412E122A">
      <w:start w:val="1"/>
      <w:numFmt w:val="taiwaneseCountingThousand"/>
      <w:lvlText w:val="%1、"/>
      <w:lvlJc w:val="left"/>
      <w:pPr>
        <w:ind w:left="360" w:hanging="360"/>
      </w:pPr>
      <w:rPr>
        <w:rFonts w:ascii="標楷體" w:eastAsia="標楷體" w:hAnsi="標楷體" w:cstheme="minorBidi"/>
      </w:rPr>
    </w:lvl>
    <w:lvl w:ilvl="1" w:tplc="04090019">
      <w:start w:val="1"/>
      <w:numFmt w:val="ideographTraditional"/>
      <w:lvlText w:val="%2、"/>
      <w:lvlJc w:val="left"/>
      <w:pPr>
        <w:ind w:left="960" w:hanging="480"/>
      </w:pPr>
    </w:lvl>
    <w:lvl w:ilvl="2" w:tplc="579084EE">
      <w:start w:val="1"/>
      <w:numFmt w:val="decimal"/>
      <w:lvlText w:val="%3."/>
      <w:lvlJc w:val="right"/>
      <w:pPr>
        <w:ind w:left="1440" w:hanging="480"/>
      </w:pPr>
      <w:rPr>
        <w:rFonts w:ascii="Times New Roman" w:eastAsiaTheme="minorEastAsia" w:hAnsi="Times New Roman" w:cs="Times New Roman"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6" w15:restartNumberingAfterBreak="0">
    <w:nsid w:val="64EE5600"/>
    <w:multiLevelType w:val="hybridMultilevel"/>
    <w:tmpl w:val="EF541A06"/>
    <w:lvl w:ilvl="0" w:tplc="A03498D0">
      <w:start w:val="1"/>
      <w:numFmt w:val="decimal"/>
      <w:lvlText w:val="%1."/>
      <w:lvlJc w:val="left"/>
      <w:pPr>
        <w:ind w:left="600" w:hanging="36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17" w15:restartNumberingAfterBreak="0">
    <w:nsid w:val="665D4192"/>
    <w:multiLevelType w:val="hybridMultilevel"/>
    <w:tmpl w:val="B52CFB96"/>
    <w:lvl w:ilvl="0" w:tplc="B532B21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682530E0"/>
    <w:multiLevelType w:val="hybridMultilevel"/>
    <w:tmpl w:val="A65CA578"/>
    <w:lvl w:ilvl="0" w:tplc="32042700">
      <w:start w:val="1"/>
      <w:numFmt w:val="taiwaneseCountingThousand"/>
      <w:lvlText w:val="%1、"/>
      <w:lvlJc w:val="left"/>
      <w:pPr>
        <w:ind w:left="622" w:hanging="480"/>
      </w:pPr>
    </w:lvl>
    <w:lvl w:ilvl="1" w:tplc="0409000F">
      <w:start w:val="1"/>
      <w:numFmt w:val="decimal"/>
      <w:lvlText w:val="%2."/>
      <w:lvlJc w:val="left"/>
      <w:pPr>
        <w:ind w:left="960" w:hanging="480"/>
      </w:pPr>
    </w:lvl>
    <w:lvl w:ilvl="2" w:tplc="BC4C2346">
      <w:start w:val="1"/>
      <w:numFmt w:val="decimal"/>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15:restartNumberingAfterBreak="0">
    <w:nsid w:val="68F96072"/>
    <w:multiLevelType w:val="hybridMultilevel"/>
    <w:tmpl w:val="CB0C0710"/>
    <w:lvl w:ilvl="0" w:tplc="A96C3F26">
      <w:start w:val="1"/>
      <w:numFmt w:val="taiwaneseCountingThousand"/>
      <w:lvlText w:val="（%1）"/>
      <w:lvlJc w:val="left"/>
      <w:pPr>
        <w:ind w:left="765" w:hanging="765"/>
      </w:pPr>
      <w:rPr>
        <w:rFonts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0" w15:restartNumberingAfterBreak="0">
    <w:nsid w:val="699831E1"/>
    <w:multiLevelType w:val="hybridMultilevel"/>
    <w:tmpl w:val="868AC0FE"/>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1" w15:restartNumberingAfterBreak="0">
    <w:nsid w:val="6B945A64"/>
    <w:multiLevelType w:val="hybridMultilevel"/>
    <w:tmpl w:val="46F2467A"/>
    <w:lvl w:ilvl="0" w:tplc="683E698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15:restartNumberingAfterBreak="0">
    <w:nsid w:val="6C3D223A"/>
    <w:multiLevelType w:val="hybridMultilevel"/>
    <w:tmpl w:val="E9E8EA36"/>
    <w:lvl w:ilvl="0" w:tplc="D7B616AA">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6D0075C5"/>
    <w:multiLevelType w:val="hybridMultilevel"/>
    <w:tmpl w:val="0B46F62E"/>
    <w:lvl w:ilvl="0" w:tplc="881ABF44">
      <w:start w:val="1"/>
      <w:numFmt w:val="taiwaneseCountingThousand"/>
      <w:lvlText w:val="（%1）"/>
      <w:lvlJc w:val="left"/>
      <w:pPr>
        <w:ind w:left="765" w:hanging="76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6E004565"/>
    <w:multiLevelType w:val="hybridMultilevel"/>
    <w:tmpl w:val="1786DEE4"/>
    <w:lvl w:ilvl="0" w:tplc="0409000F">
      <w:start w:val="1"/>
      <w:numFmt w:val="decimal"/>
      <w:lvlText w:val="%1."/>
      <w:lvlJc w:val="left"/>
      <w:pPr>
        <w:ind w:left="1188" w:hanging="480"/>
      </w:pPr>
    </w:lvl>
    <w:lvl w:ilvl="1" w:tplc="CA22FFA4">
      <w:start w:val="2"/>
      <w:numFmt w:val="taiwaneseCountingThousand"/>
      <w:lvlText w:val="%2、"/>
      <w:lvlJc w:val="left"/>
      <w:pPr>
        <w:ind w:left="1908" w:hanging="720"/>
      </w:pPr>
      <w:rPr>
        <w:rFonts w:hint="default"/>
      </w:rPr>
    </w:lvl>
    <w:lvl w:ilvl="2" w:tplc="0409001B" w:tentative="1">
      <w:start w:val="1"/>
      <w:numFmt w:val="lowerRoman"/>
      <w:lvlText w:val="%3."/>
      <w:lvlJc w:val="right"/>
      <w:pPr>
        <w:ind w:left="2148" w:hanging="480"/>
      </w:pPr>
    </w:lvl>
    <w:lvl w:ilvl="3" w:tplc="0409000F" w:tentative="1">
      <w:start w:val="1"/>
      <w:numFmt w:val="decimal"/>
      <w:lvlText w:val="%4."/>
      <w:lvlJc w:val="left"/>
      <w:pPr>
        <w:ind w:left="2628" w:hanging="480"/>
      </w:pPr>
    </w:lvl>
    <w:lvl w:ilvl="4" w:tplc="04090019" w:tentative="1">
      <w:start w:val="1"/>
      <w:numFmt w:val="ideographTraditional"/>
      <w:lvlText w:val="%5、"/>
      <w:lvlJc w:val="left"/>
      <w:pPr>
        <w:ind w:left="3108" w:hanging="480"/>
      </w:pPr>
    </w:lvl>
    <w:lvl w:ilvl="5" w:tplc="0409001B" w:tentative="1">
      <w:start w:val="1"/>
      <w:numFmt w:val="lowerRoman"/>
      <w:lvlText w:val="%6."/>
      <w:lvlJc w:val="right"/>
      <w:pPr>
        <w:ind w:left="3588" w:hanging="480"/>
      </w:pPr>
    </w:lvl>
    <w:lvl w:ilvl="6" w:tplc="0409000F" w:tentative="1">
      <w:start w:val="1"/>
      <w:numFmt w:val="decimal"/>
      <w:lvlText w:val="%7."/>
      <w:lvlJc w:val="left"/>
      <w:pPr>
        <w:ind w:left="4068" w:hanging="480"/>
      </w:pPr>
    </w:lvl>
    <w:lvl w:ilvl="7" w:tplc="04090019" w:tentative="1">
      <w:start w:val="1"/>
      <w:numFmt w:val="ideographTraditional"/>
      <w:lvlText w:val="%8、"/>
      <w:lvlJc w:val="left"/>
      <w:pPr>
        <w:ind w:left="4548" w:hanging="480"/>
      </w:pPr>
    </w:lvl>
    <w:lvl w:ilvl="8" w:tplc="0409001B" w:tentative="1">
      <w:start w:val="1"/>
      <w:numFmt w:val="lowerRoman"/>
      <w:lvlText w:val="%9."/>
      <w:lvlJc w:val="right"/>
      <w:pPr>
        <w:ind w:left="5028" w:hanging="480"/>
      </w:pPr>
    </w:lvl>
  </w:abstractNum>
  <w:abstractNum w:abstractNumId="125" w15:restartNumberingAfterBreak="0">
    <w:nsid w:val="6E6741FD"/>
    <w:multiLevelType w:val="hybridMultilevel"/>
    <w:tmpl w:val="64C42592"/>
    <w:lvl w:ilvl="0" w:tplc="C1EC169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6E8D6ABC"/>
    <w:multiLevelType w:val="hybridMultilevel"/>
    <w:tmpl w:val="4B3CAACE"/>
    <w:lvl w:ilvl="0" w:tplc="0409000F">
      <w:start w:val="1"/>
      <w:numFmt w:val="decimal"/>
      <w:lvlText w:val="%1."/>
      <w:lvlJc w:val="left"/>
      <w:pPr>
        <w:ind w:left="1188" w:hanging="480"/>
      </w:pPr>
    </w:lvl>
    <w:lvl w:ilvl="1" w:tplc="04090019" w:tentative="1">
      <w:start w:val="1"/>
      <w:numFmt w:val="ideographTraditional"/>
      <w:lvlText w:val="%2、"/>
      <w:lvlJc w:val="left"/>
      <w:pPr>
        <w:ind w:left="1668" w:hanging="480"/>
      </w:pPr>
    </w:lvl>
    <w:lvl w:ilvl="2" w:tplc="0409001B" w:tentative="1">
      <w:start w:val="1"/>
      <w:numFmt w:val="lowerRoman"/>
      <w:lvlText w:val="%3."/>
      <w:lvlJc w:val="right"/>
      <w:pPr>
        <w:ind w:left="2148" w:hanging="480"/>
      </w:pPr>
    </w:lvl>
    <w:lvl w:ilvl="3" w:tplc="0409000F" w:tentative="1">
      <w:start w:val="1"/>
      <w:numFmt w:val="decimal"/>
      <w:lvlText w:val="%4."/>
      <w:lvlJc w:val="left"/>
      <w:pPr>
        <w:ind w:left="2628" w:hanging="480"/>
      </w:pPr>
    </w:lvl>
    <w:lvl w:ilvl="4" w:tplc="04090019" w:tentative="1">
      <w:start w:val="1"/>
      <w:numFmt w:val="ideographTraditional"/>
      <w:lvlText w:val="%5、"/>
      <w:lvlJc w:val="left"/>
      <w:pPr>
        <w:ind w:left="3108" w:hanging="480"/>
      </w:pPr>
    </w:lvl>
    <w:lvl w:ilvl="5" w:tplc="0409001B" w:tentative="1">
      <w:start w:val="1"/>
      <w:numFmt w:val="lowerRoman"/>
      <w:lvlText w:val="%6."/>
      <w:lvlJc w:val="right"/>
      <w:pPr>
        <w:ind w:left="3588" w:hanging="480"/>
      </w:pPr>
    </w:lvl>
    <w:lvl w:ilvl="6" w:tplc="0409000F" w:tentative="1">
      <w:start w:val="1"/>
      <w:numFmt w:val="decimal"/>
      <w:lvlText w:val="%7."/>
      <w:lvlJc w:val="left"/>
      <w:pPr>
        <w:ind w:left="4068" w:hanging="480"/>
      </w:pPr>
    </w:lvl>
    <w:lvl w:ilvl="7" w:tplc="04090019" w:tentative="1">
      <w:start w:val="1"/>
      <w:numFmt w:val="ideographTraditional"/>
      <w:lvlText w:val="%8、"/>
      <w:lvlJc w:val="left"/>
      <w:pPr>
        <w:ind w:left="4548" w:hanging="480"/>
      </w:pPr>
    </w:lvl>
    <w:lvl w:ilvl="8" w:tplc="0409001B" w:tentative="1">
      <w:start w:val="1"/>
      <w:numFmt w:val="lowerRoman"/>
      <w:lvlText w:val="%9."/>
      <w:lvlJc w:val="right"/>
      <w:pPr>
        <w:ind w:left="5028" w:hanging="480"/>
      </w:pPr>
    </w:lvl>
  </w:abstractNum>
  <w:abstractNum w:abstractNumId="127" w15:restartNumberingAfterBreak="0">
    <w:nsid w:val="6ED2471F"/>
    <w:multiLevelType w:val="hybridMultilevel"/>
    <w:tmpl w:val="8402C118"/>
    <w:lvl w:ilvl="0" w:tplc="BE508012">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15:restartNumberingAfterBreak="0">
    <w:nsid w:val="6FE506E5"/>
    <w:multiLevelType w:val="hybridMultilevel"/>
    <w:tmpl w:val="B25628B0"/>
    <w:lvl w:ilvl="0" w:tplc="E59636C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9" w15:restartNumberingAfterBreak="0">
    <w:nsid w:val="71D83EBF"/>
    <w:multiLevelType w:val="hybridMultilevel"/>
    <w:tmpl w:val="DFFA0F9A"/>
    <w:lvl w:ilvl="0" w:tplc="515A5F9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0" w15:restartNumberingAfterBreak="0">
    <w:nsid w:val="73C46D09"/>
    <w:multiLevelType w:val="hybridMultilevel"/>
    <w:tmpl w:val="EA789B4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75BE38D1"/>
    <w:multiLevelType w:val="hybridMultilevel"/>
    <w:tmpl w:val="B9F20942"/>
    <w:lvl w:ilvl="0" w:tplc="0409000F">
      <w:start w:val="1"/>
      <w:numFmt w:val="decimal"/>
      <w:lvlText w:val="%1."/>
      <w:lvlJc w:val="left"/>
      <w:pPr>
        <w:ind w:left="1102"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15:restartNumberingAfterBreak="0">
    <w:nsid w:val="75FC11E9"/>
    <w:multiLevelType w:val="hybridMultilevel"/>
    <w:tmpl w:val="C6D6B96E"/>
    <w:lvl w:ilvl="0" w:tplc="77A67576">
      <w:start w:val="1"/>
      <w:numFmt w:val="decimal"/>
      <w:lvlText w:val="(%1)"/>
      <w:lvlJc w:val="left"/>
      <w:pPr>
        <w:ind w:left="1280" w:hanging="360"/>
      </w:pPr>
      <w:rPr>
        <w:rFonts w:hint="default"/>
      </w:rPr>
    </w:lvl>
    <w:lvl w:ilvl="1" w:tplc="04090019" w:tentative="1">
      <w:start w:val="1"/>
      <w:numFmt w:val="ideographTraditional"/>
      <w:lvlText w:val="%2、"/>
      <w:lvlJc w:val="left"/>
      <w:pPr>
        <w:ind w:left="1880" w:hanging="480"/>
      </w:pPr>
    </w:lvl>
    <w:lvl w:ilvl="2" w:tplc="0409001B" w:tentative="1">
      <w:start w:val="1"/>
      <w:numFmt w:val="lowerRoman"/>
      <w:lvlText w:val="%3."/>
      <w:lvlJc w:val="right"/>
      <w:pPr>
        <w:ind w:left="2360" w:hanging="480"/>
      </w:pPr>
    </w:lvl>
    <w:lvl w:ilvl="3" w:tplc="0409000F" w:tentative="1">
      <w:start w:val="1"/>
      <w:numFmt w:val="decimal"/>
      <w:lvlText w:val="%4."/>
      <w:lvlJc w:val="left"/>
      <w:pPr>
        <w:ind w:left="2840" w:hanging="480"/>
      </w:pPr>
    </w:lvl>
    <w:lvl w:ilvl="4" w:tplc="04090019" w:tentative="1">
      <w:start w:val="1"/>
      <w:numFmt w:val="ideographTraditional"/>
      <w:lvlText w:val="%5、"/>
      <w:lvlJc w:val="left"/>
      <w:pPr>
        <w:ind w:left="3320" w:hanging="480"/>
      </w:pPr>
    </w:lvl>
    <w:lvl w:ilvl="5" w:tplc="0409001B" w:tentative="1">
      <w:start w:val="1"/>
      <w:numFmt w:val="lowerRoman"/>
      <w:lvlText w:val="%6."/>
      <w:lvlJc w:val="right"/>
      <w:pPr>
        <w:ind w:left="3800" w:hanging="480"/>
      </w:pPr>
    </w:lvl>
    <w:lvl w:ilvl="6" w:tplc="0409000F" w:tentative="1">
      <w:start w:val="1"/>
      <w:numFmt w:val="decimal"/>
      <w:lvlText w:val="%7."/>
      <w:lvlJc w:val="left"/>
      <w:pPr>
        <w:ind w:left="4280" w:hanging="480"/>
      </w:pPr>
    </w:lvl>
    <w:lvl w:ilvl="7" w:tplc="04090019" w:tentative="1">
      <w:start w:val="1"/>
      <w:numFmt w:val="ideographTraditional"/>
      <w:lvlText w:val="%8、"/>
      <w:lvlJc w:val="left"/>
      <w:pPr>
        <w:ind w:left="4760" w:hanging="480"/>
      </w:pPr>
    </w:lvl>
    <w:lvl w:ilvl="8" w:tplc="0409001B" w:tentative="1">
      <w:start w:val="1"/>
      <w:numFmt w:val="lowerRoman"/>
      <w:lvlText w:val="%9."/>
      <w:lvlJc w:val="right"/>
      <w:pPr>
        <w:ind w:left="5240" w:hanging="480"/>
      </w:pPr>
    </w:lvl>
  </w:abstractNum>
  <w:abstractNum w:abstractNumId="133" w15:restartNumberingAfterBreak="0">
    <w:nsid w:val="762A771F"/>
    <w:multiLevelType w:val="hybridMultilevel"/>
    <w:tmpl w:val="62B89968"/>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4" w15:restartNumberingAfterBreak="0">
    <w:nsid w:val="76B55A8D"/>
    <w:multiLevelType w:val="hybridMultilevel"/>
    <w:tmpl w:val="861A28A8"/>
    <w:lvl w:ilvl="0" w:tplc="3042D832">
      <w:start w:val="1"/>
      <w:numFmt w:val="taiwaneseCountingThousand"/>
      <w:suff w:val="nothing"/>
      <w:lvlText w:val="(%1)"/>
      <w:lvlJc w:val="left"/>
      <w:pPr>
        <w:ind w:left="1190" w:hanging="480"/>
      </w:pPr>
      <w:rPr>
        <w:rFonts w:hint="eastAsia"/>
      </w:rPr>
    </w:lvl>
    <w:lvl w:ilvl="1" w:tplc="04090019" w:tentative="1">
      <w:start w:val="1"/>
      <w:numFmt w:val="ideographTraditional"/>
      <w:lvlText w:val="%2、"/>
      <w:lvlJc w:val="left"/>
      <w:pPr>
        <w:ind w:left="2150" w:hanging="480"/>
      </w:pPr>
    </w:lvl>
    <w:lvl w:ilvl="2" w:tplc="0409001B" w:tentative="1">
      <w:start w:val="1"/>
      <w:numFmt w:val="lowerRoman"/>
      <w:lvlText w:val="%3."/>
      <w:lvlJc w:val="right"/>
      <w:pPr>
        <w:ind w:left="2630" w:hanging="480"/>
      </w:pPr>
    </w:lvl>
    <w:lvl w:ilvl="3" w:tplc="0409000F" w:tentative="1">
      <w:start w:val="1"/>
      <w:numFmt w:val="decimal"/>
      <w:lvlText w:val="%4."/>
      <w:lvlJc w:val="left"/>
      <w:pPr>
        <w:ind w:left="3110" w:hanging="480"/>
      </w:pPr>
    </w:lvl>
    <w:lvl w:ilvl="4" w:tplc="04090019" w:tentative="1">
      <w:start w:val="1"/>
      <w:numFmt w:val="ideographTraditional"/>
      <w:lvlText w:val="%5、"/>
      <w:lvlJc w:val="left"/>
      <w:pPr>
        <w:ind w:left="3590" w:hanging="480"/>
      </w:pPr>
    </w:lvl>
    <w:lvl w:ilvl="5" w:tplc="0409001B" w:tentative="1">
      <w:start w:val="1"/>
      <w:numFmt w:val="lowerRoman"/>
      <w:lvlText w:val="%6."/>
      <w:lvlJc w:val="right"/>
      <w:pPr>
        <w:ind w:left="4070" w:hanging="480"/>
      </w:pPr>
    </w:lvl>
    <w:lvl w:ilvl="6" w:tplc="0409000F" w:tentative="1">
      <w:start w:val="1"/>
      <w:numFmt w:val="decimal"/>
      <w:lvlText w:val="%7."/>
      <w:lvlJc w:val="left"/>
      <w:pPr>
        <w:ind w:left="4550" w:hanging="480"/>
      </w:pPr>
    </w:lvl>
    <w:lvl w:ilvl="7" w:tplc="04090019" w:tentative="1">
      <w:start w:val="1"/>
      <w:numFmt w:val="ideographTraditional"/>
      <w:lvlText w:val="%8、"/>
      <w:lvlJc w:val="left"/>
      <w:pPr>
        <w:ind w:left="5030" w:hanging="480"/>
      </w:pPr>
    </w:lvl>
    <w:lvl w:ilvl="8" w:tplc="0409001B" w:tentative="1">
      <w:start w:val="1"/>
      <w:numFmt w:val="lowerRoman"/>
      <w:lvlText w:val="%9."/>
      <w:lvlJc w:val="right"/>
      <w:pPr>
        <w:ind w:left="5510" w:hanging="480"/>
      </w:pPr>
    </w:lvl>
  </w:abstractNum>
  <w:abstractNum w:abstractNumId="135" w15:restartNumberingAfterBreak="0">
    <w:nsid w:val="77890795"/>
    <w:multiLevelType w:val="hybridMultilevel"/>
    <w:tmpl w:val="CFC68920"/>
    <w:lvl w:ilvl="0" w:tplc="853CC79C">
      <w:start w:val="1"/>
      <w:numFmt w:val="taiwaneseCountingThousand"/>
      <w:lvlText w:val="第%1節"/>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6" w15:restartNumberingAfterBreak="0">
    <w:nsid w:val="78C735CA"/>
    <w:multiLevelType w:val="hybridMultilevel"/>
    <w:tmpl w:val="87BE18A2"/>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15:restartNumberingAfterBreak="0">
    <w:nsid w:val="79AF0F99"/>
    <w:multiLevelType w:val="hybridMultilevel"/>
    <w:tmpl w:val="5FF468CA"/>
    <w:lvl w:ilvl="0" w:tplc="893AEA94">
      <w:start w:val="1"/>
      <w:numFmt w:val="decimal"/>
      <w:lvlText w:val="(%1)"/>
      <w:lvlJc w:val="left"/>
      <w:pPr>
        <w:ind w:left="1800" w:hanging="360"/>
      </w:pPr>
      <w:rPr>
        <w:rFonts w:hint="default"/>
        <w:b w:val="0"/>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15:restartNumberingAfterBreak="0">
    <w:nsid w:val="79D10CD5"/>
    <w:multiLevelType w:val="hybridMultilevel"/>
    <w:tmpl w:val="E542C6F6"/>
    <w:lvl w:ilvl="0" w:tplc="515A5F98">
      <w:start w:val="1"/>
      <w:numFmt w:val="bullet"/>
      <w:lvlText w:val=""/>
      <w:lvlJc w:val="left"/>
      <w:pPr>
        <w:ind w:left="444" w:hanging="480"/>
      </w:pPr>
      <w:rPr>
        <w:rFonts w:ascii="Wingdings" w:hAnsi="Wingdings" w:hint="default"/>
      </w:rPr>
    </w:lvl>
    <w:lvl w:ilvl="1" w:tplc="04090003" w:tentative="1">
      <w:start w:val="1"/>
      <w:numFmt w:val="bullet"/>
      <w:lvlText w:val=""/>
      <w:lvlJc w:val="left"/>
      <w:pPr>
        <w:ind w:left="924" w:hanging="480"/>
      </w:pPr>
      <w:rPr>
        <w:rFonts w:ascii="Wingdings" w:hAnsi="Wingdings" w:hint="default"/>
      </w:rPr>
    </w:lvl>
    <w:lvl w:ilvl="2" w:tplc="04090005" w:tentative="1">
      <w:start w:val="1"/>
      <w:numFmt w:val="bullet"/>
      <w:lvlText w:val=""/>
      <w:lvlJc w:val="left"/>
      <w:pPr>
        <w:ind w:left="1404" w:hanging="480"/>
      </w:pPr>
      <w:rPr>
        <w:rFonts w:ascii="Wingdings" w:hAnsi="Wingdings" w:hint="default"/>
      </w:rPr>
    </w:lvl>
    <w:lvl w:ilvl="3" w:tplc="04090001" w:tentative="1">
      <w:start w:val="1"/>
      <w:numFmt w:val="bullet"/>
      <w:lvlText w:val=""/>
      <w:lvlJc w:val="left"/>
      <w:pPr>
        <w:ind w:left="1884" w:hanging="480"/>
      </w:pPr>
      <w:rPr>
        <w:rFonts w:ascii="Wingdings" w:hAnsi="Wingdings" w:hint="default"/>
      </w:rPr>
    </w:lvl>
    <w:lvl w:ilvl="4" w:tplc="04090003" w:tentative="1">
      <w:start w:val="1"/>
      <w:numFmt w:val="bullet"/>
      <w:lvlText w:val=""/>
      <w:lvlJc w:val="left"/>
      <w:pPr>
        <w:ind w:left="2364" w:hanging="480"/>
      </w:pPr>
      <w:rPr>
        <w:rFonts w:ascii="Wingdings" w:hAnsi="Wingdings" w:hint="default"/>
      </w:rPr>
    </w:lvl>
    <w:lvl w:ilvl="5" w:tplc="04090005" w:tentative="1">
      <w:start w:val="1"/>
      <w:numFmt w:val="bullet"/>
      <w:lvlText w:val=""/>
      <w:lvlJc w:val="left"/>
      <w:pPr>
        <w:ind w:left="2844" w:hanging="480"/>
      </w:pPr>
      <w:rPr>
        <w:rFonts w:ascii="Wingdings" w:hAnsi="Wingdings" w:hint="default"/>
      </w:rPr>
    </w:lvl>
    <w:lvl w:ilvl="6" w:tplc="04090001" w:tentative="1">
      <w:start w:val="1"/>
      <w:numFmt w:val="bullet"/>
      <w:lvlText w:val=""/>
      <w:lvlJc w:val="left"/>
      <w:pPr>
        <w:ind w:left="3324" w:hanging="480"/>
      </w:pPr>
      <w:rPr>
        <w:rFonts w:ascii="Wingdings" w:hAnsi="Wingdings" w:hint="default"/>
      </w:rPr>
    </w:lvl>
    <w:lvl w:ilvl="7" w:tplc="04090003" w:tentative="1">
      <w:start w:val="1"/>
      <w:numFmt w:val="bullet"/>
      <w:lvlText w:val=""/>
      <w:lvlJc w:val="left"/>
      <w:pPr>
        <w:ind w:left="3804" w:hanging="480"/>
      </w:pPr>
      <w:rPr>
        <w:rFonts w:ascii="Wingdings" w:hAnsi="Wingdings" w:hint="default"/>
      </w:rPr>
    </w:lvl>
    <w:lvl w:ilvl="8" w:tplc="04090005" w:tentative="1">
      <w:start w:val="1"/>
      <w:numFmt w:val="bullet"/>
      <w:lvlText w:val=""/>
      <w:lvlJc w:val="left"/>
      <w:pPr>
        <w:ind w:left="4284" w:hanging="480"/>
      </w:pPr>
      <w:rPr>
        <w:rFonts w:ascii="Wingdings" w:hAnsi="Wingdings" w:hint="default"/>
      </w:rPr>
    </w:lvl>
  </w:abstractNum>
  <w:abstractNum w:abstractNumId="139" w15:restartNumberingAfterBreak="0">
    <w:nsid w:val="7A5601CB"/>
    <w:multiLevelType w:val="hybridMultilevel"/>
    <w:tmpl w:val="6B0E5086"/>
    <w:lvl w:ilvl="0" w:tplc="A96C3F26">
      <w:start w:val="1"/>
      <w:numFmt w:val="taiwaneseCountingThousand"/>
      <w:lvlText w:val="（%1）"/>
      <w:lvlJc w:val="left"/>
      <w:pPr>
        <w:ind w:left="480" w:hanging="480"/>
      </w:pPr>
      <w:rPr>
        <w:rFonts w:cs="Times New Roman" w:hint="default"/>
      </w:rPr>
    </w:lvl>
    <w:lvl w:ilvl="1" w:tplc="0409000F">
      <w:start w:val="1"/>
      <w:numFmt w:val="decimal"/>
      <w:lvlText w:val="%2."/>
      <w:lvlJc w:val="left"/>
      <w:pPr>
        <w:ind w:left="960" w:hanging="480"/>
      </w:pPr>
    </w:lvl>
    <w:lvl w:ilvl="2" w:tplc="0409000F">
      <w:start w:val="1"/>
      <w:numFmt w:val="decimal"/>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0" w15:restartNumberingAfterBreak="0">
    <w:nsid w:val="7AD7600E"/>
    <w:multiLevelType w:val="hybridMultilevel"/>
    <w:tmpl w:val="39340BA0"/>
    <w:lvl w:ilvl="0" w:tplc="853CC79C">
      <w:start w:val="1"/>
      <w:numFmt w:val="taiwaneseCountingThousand"/>
      <w:lvlText w:val="第%1節"/>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1" w15:restartNumberingAfterBreak="0">
    <w:nsid w:val="7C9F23BE"/>
    <w:multiLevelType w:val="hybridMultilevel"/>
    <w:tmpl w:val="EBF6BC1C"/>
    <w:lvl w:ilvl="0" w:tplc="37701138">
      <w:start w:val="1"/>
      <w:numFmt w:val="decimal"/>
      <w:lvlText w:val="(%1)"/>
      <w:lvlJc w:val="left"/>
      <w:pPr>
        <w:ind w:left="360" w:hanging="360"/>
      </w:pPr>
      <w:rPr>
        <w:rFonts w:ascii="Times New Roman" w:eastAsia="標楷體" w:hAnsi="Times New Roman" w:cs="Times New Roman"/>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7D1318FE"/>
    <w:multiLevelType w:val="hybridMultilevel"/>
    <w:tmpl w:val="7F7C4F90"/>
    <w:lvl w:ilvl="0" w:tplc="A96C3F26">
      <w:start w:val="1"/>
      <w:numFmt w:val="taiwaneseCountingThousand"/>
      <w:lvlText w:val="（%1）"/>
      <w:lvlJc w:val="left"/>
      <w:pPr>
        <w:ind w:left="480" w:hanging="480"/>
      </w:pPr>
      <w:rPr>
        <w:rFonts w:cs="Times New Roman" w:hint="default"/>
      </w:rPr>
    </w:lvl>
    <w:lvl w:ilvl="1" w:tplc="F60CF418">
      <w:start w:val="1"/>
      <w:numFmt w:val="decimal"/>
      <w:lvlText w:val="%2."/>
      <w:lvlJc w:val="left"/>
      <w:pPr>
        <w:ind w:left="855" w:hanging="375"/>
      </w:pPr>
      <w:rPr>
        <w:rFonts w:hint="default"/>
      </w:rPr>
    </w:lvl>
    <w:lvl w:ilvl="2" w:tplc="9CF4E354">
      <w:start w:val="1"/>
      <w:numFmt w:val="taiwaneseCountingThousand"/>
      <w:lvlText w:val="(%3)"/>
      <w:lvlJc w:val="left"/>
      <w:pPr>
        <w:ind w:left="1350" w:hanging="390"/>
      </w:pPr>
      <w:rPr>
        <w:rFonts w:hint="default"/>
      </w:rPr>
    </w:lvl>
    <w:lvl w:ilvl="3" w:tplc="F7066AAA">
      <w:start w:val="1"/>
      <w:numFmt w:val="decimal"/>
      <w:lvlText w:val="(%4)"/>
      <w:lvlJc w:val="left"/>
      <w:pPr>
        <w:ind w:left="1920" w:hanging="480"/>
      </w:pPr>
      <w:rPr>
        <w:rFonts w:hint="default"/>
        <w:b w:val="0"/>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3" w15:restartNumberingAfterBreak="0">
    <w:nsid w:val="7D336496"/>
    <w:multiLevelType w:val="hybridMultilevel"/>
    <w:tmpl w:val="26DAC19C"/>
    <w:lvl w:ilvl="0" w:tplc="59743076">
      <w:start w:val="1"/>
      <w:numFmt w:val="decimal"/>
      <w:lvlText w:val="%1."/>
      <w:lvlJc w:val="left"/>
      <w:pPr>
        <w:ind w:left="855" w:hanging="375"/>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4" w15:restartNumberingAfterBreak="0">
    <w:nsid w:val="7D8E76D6"/>
    <w:multiLevelType w:val="hybridMultilevel"/>
    <w:tmpl w:val="A704E890"/>
    <w:lvl w:ilvl="0" w:tplc="C06A1FB2">
      <w:start w:val="1"/>
      <w:numFmt w:val="taiwaneseCountingThousand"/>
      <w:lvlText w:val="(%1)"/>
      <w:lvlJc w:val="left"/>
      <w:pPr>
        <w:tabs>
          <w:tab w:val="num" w:pos="514"/>
        </w:tabs>
        <w:ind w:left="514" w:hanging="514"/>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5" w15:restartNumberingAfterBreak="0">
    <w:nsid w:val="7E4571BE"/>
    <w:multiLevelType w:val="hybridMultilevel"/>
    <w:tmpl w:val="B7BC1D76"/>
    <w:lvl w:ilvl="0" w:tplc="515A5F9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135"/>
  </w:num>
  <w:num w:numId="2">
    <w:abstractNumId w:val="119"/>
  </w:num>
  <w:num w:numId="3">
    <w:abstractNumId w:val="54"/>
  </w:num>
  <w:num w:numId="4">
    <w:abstractNumId w:val="142"/>
  </w:num>
  <w:num w:numId="5">
    <w:abstractNumId w:val="140"/>
  </w:num>
  <w:num w:numId="6">
    <w:abstractNumId w:val="41"/>
  </w:num>
  <w:num w:numId="7">
    <w:abstractNumId w:val="117"/>
  </w:num>
  <w:num w:numId="8">
    <w:abstractNumId w:val="87"/>
  </w:num>
  <w:num w:numId="9">
    <w:abstractNumId w:val="76"/>
  </w:num>
  <w:num w:numId="10">
    <w:abstractNumId w:val="33"/>
  </w:num>
  <w:num w:numId="11">
    <w:abstractNumId w:val="85"/>
  </w:num>
  <w:num w:numId="12">
    <w:abstractNumId w:val="68"/>
  </w:num>
  <w:num w:numId="13">
    <w:abstractNumId w:val="94"/>
  </w:num>
  <w:num w:numId="14">
    <w:abstractNumId w:val="125"/>
  </w:num>
  <w:num w:numId="15">
    <w:abstractNumId w:val="60"/>
  </w:num>
  <w:num w:numId="16">
    <w:abstractNumId w:val="23"/>
  </w:num>
  <w:num w:numId="17">
    <w:abstractNumId w:val="10"/>
  </w:num>
  <w:num w:numId="18">
    <w:abstractNumId w:val="112"/>
  </w:num>
  <w:num w:numId="19">
    <w:abstractNumId w:val="86"/>
  </w:num>
  <w:num w:numId="20">
    <w:abstractNumId w:val="32"/>
  </w:num>
  <w:num w:numId="21">
    <w:abstractNumId w:val="114"/>
  </w:num>
  <w:num w:numId="22">
    <w:abstractNumId w:val="108"/>
  </w:num>
  <w:num w:numId="23">
    <w:abstractNumId w:val="80"/>
  </w:num>
  <w:num w:numId="24">
    <w:abstractNumId w:val="43"/>
  </w:num>
  <w:num w:numId="25">
    <w:abstractNumId w:val="98"/>
  </w:num>
  <w:num w:numId="26">
    <w:abstractNumId w:val="110"/>
  </w:num>
  <w:num w:numId="27">
    <w:abstractNumId w:val="6"/>
  </w:num>
  <w:num w:numId="28">
    <w:abstractNumId w:val="89"/>
  </w:num>
  <w:num w:numId="29">
    <w:abstractNumId w:val="55"/>
  </w:num>
  <w:num w:numId="30">
    <w:abstractNumId w:val="56"/>
  </w:num>
  <w:num w:numId="31">
    <w:abstractNumId w:val="52"/>
  </w:num>
  <w:num w:numId="32">
    <w:abstractNumId w:val="64"/>
  </w:num>
  <w:num w:numId="33">
    <w:abstractNumId w:val="84"/>
  </w:num>
  <w:num w:numId="34">
    <w:abstractNumId w:val="111"/>
  </w:num>
  <w:num w:numId="35">
    <w:abstractNumId w:val="45"/>
  </w:num>
  <w:num w:numId="36">
    <w:abstractNumId w:val="127"/>
  </w:num>
  <w:num w:numId="37">
    <w:abstractNumId w:val="49"/>
  </w:num>
  <w:num w:numId="38">
    <w:abstractNumId w:val="130"/>
  </w:num>
  <w:num w:numId="39">
    <w:abstractNumId w:val="71"/>
  </w:num>
  <w:num w:numId="40">
    <w:abstractNumId w:val="61"/>
  </w:num>
  <w:num w:numId="41">
    <w:abstractNumId w:val="70"/>
  </w:num>
  <w:num w:numId="42">
    <w:abstractNumId w:val="47"/>
  </w:num>
  <w:num w:numId="43">
    <w:abstractNumId w:val="34"/>
  </w:num>
  <w:num w:numId="44">
    <w:abstractNumId w:val="99"/>
  </w:num>
  <w:num w:numId="45">
    <w:abstractNumId w:val="73"/>
  </w:num>
  <w:num w:numId="46">
    <w:abstractNumId w:val="126"/>
  </w:num>
  <w:num w:numId="47">
    <w:abstractNumId w:val="104"/>
  </w:num>
  <w:num w:numId="48">
    <w:abstractNumId w:val="31"/>
  </w:num>
  <w:num w:numId="49">
    <w:abstractNumId w:val="30"/>
  </w:num>
  <w:num w:numId="50">
    <w:abstractNumId w:val="25"/>
  </w:num>
  <w:num w:numId="51">
    <w:abstractNumId w:val="97"/>
  </w:num>
  <w:num w:numId="52">
    <w:abstractNumId w:val="107"/>
  </w:num>
  <w:num w:numId="53">
    <w:abstractNumId w:val="96"/>
  </w:num>
  <w:num w:numId="54">
    <w:abstractNumId w:val="134"/>
  </w:num>
  <w:num w:numId="55">
    <w:abstractNumId w:val="5"/>
  </w:num>
  <w:num w:numId="56">
    <w:abstractNumId w:val="2"/>
  </w:num>
  <w:num w:numId="57">
    <w:abstractNumId w:val="100"/>
  </w:num>
  <w:num w:numId="58">
    <w:abstractNumId w:val="38"/>
  </w:num>
  <w:num w:numId="59">
    <w:abstractNumId w:val="27"/>
  </w:num>
  <w:num w:numId="60">
    <w:abstractNumId w:val="102"/>
  </w:num>
  <w:num w:numId="61">
    <w:abstractNumId w:val="123"/>
  </w:num>
  <w:num w:numId="62">
    <w:abstractNumId w:val="14"/>
  </w:num>
  <w:num w:numId="63">
    <w:abstractNumId w:val="92"/>
  </w:num>
  <w:num w:numId="64">
    <w:abstractNumId w:val="15"/>
  </w:num>
  <w:num w:numId="65">
    <w:abstractNumId w:val="83"/>
  </w:num>
  <w:num w:numId="66">
    <w:abstractNumId w:val="21"/>
  </w:num>
  <w:num w:numId="67">
    <w:abstractNumId w:val="124"/>
  </w:num>
  <w:num w:numId="68">
    <w:abstractNumId w:val="138"/>
  </w:num>
  <w:num w:numId="69">
    <w:abstractNumId w:val="11"/>
  </w:num>
  <w:num w:numId="70">
    <w:abstractNumId w:val="67"/>
  </w:num>
  <w:num w:numId="71">
    <w:abstractNumId w:val="57"/>
  </w:num>
  <w:num w:numId="72">
    <w:abstractNumId w:val="29"/>
  </w:num>
  <w:num w:numId="73">
    <w:abstractNumId w:val="93"/>
  </w:num>
  <w:num w:numId="74">
    <w:abstractNumId w:val="20"/>
  </w:num>
  <w:num w:numId="75">
    <w:abstractNumId w:val="145"/>
  </w:num>
  <w:num w:numId="76">
    <w:abstractNumId w:val="48"/>
  </w:num>
  <w:num w:numId="77">
    <w:abstractNumId w:val="88"/>
  </w:num>
  <w:num w:numId="78">
    <w:abstractNumId w:val="129"/>
  </w:num>
  <w:num w:numId="79">
    <w:abstractNumId w:val="3"/>
  </w:num>
  <w:num w:numId="80">
    <w:abstractNumId w:val="72"/>
  </w:num>
  <w:num w:numId="81">
    <w:abstractNumId w:val="144"/>
  </w:num>
  <w:num w:numId="82">
    <w:abstractNumId w:val="65"/>
  </w:num>
  <w:num w:numId="83">
    <w:abstractNumId w:val="19"/>
  </w:num>
  <w:num w:numId="84">
    <w:abstractNumId w:val="18"/>
  </w:num>
  <w:num w:numId="85">
    <w:abstractNumId w:val="120"/>
  </w:num>
  <w:num w:numId="86">
    <w:abstractNumId w:val="0"/>
  </w:num>
  <w:num w:numId="87">
    <w:abstractNumId w:val="90"/>
  </w:num>
  <w:num w:numId="88">
    <w:abstractNumId w:val="75"/>
  </w:num>
  <w:num w:numId="89">
    <w:abstractNumId w:val="17"/>
  </w:num>
  <w:num w:numId="90">
    <w:abstractNumId w:val="51"/>
  </w:num>
  <w:num w:numId="91">
    <w:abstractNumId w:val="81"/>
  </w:num>
  <w:num w:numId="92">
    <w:abstractNumId w:val="22"/>
  </w:num>
  <w:num w:numId="93">
    <w:abstractNumId w:val="44"/>
  </w:num>
  <w:num w:numId="94">
    <w:abstractNumId w:val="13"/>
  </w:num>
  <w:num w:numId="95">
    <w:abstractNumId w:val="7"/>
  </w:num>
  <w:num w:numId="96">
    <w:abstractNumId w:val="28"/>
  </w:num>
  <w:num w:numId="97">
    <w:abstractNumId w:val="105"/>
  </w:num>
  <w:num w:numId="98">
    <w:abstractNumId w:val="78"/>
  </w:num>
  <w:num w:numId="99">
    <w:abstractNumId w:val="26"/>
  </w:num>
  <w:num w:numId="100">
    <w:abstractNumId w:val="132"/>
  </w:num>
  <w:num w:numId="101">
    <w:abstractNumId w:val="115"/>
  </w:num>
  <w:num w:numId="102">
    <w:abstractNumId w:val="4"/>
  </w:num>
  <w:num w:numId="103">
    <w:abstractNumId w:val="46"/>
  </w:num>
  <w:num w:numId="104">
    <w:abstractNumId w:val="69"/>
  </w:num>
  <w:num w:numId="105">
    <w:abstractNumId w:val="40"/>
  </w:num>
  <w:num w:numId="106">
    <w:abstractNumId w:val="39"/>
  </w:num>
  <w:num w:numId="107">
    <w:abstractNumId w:val="12"/>
  </w:num>
  <w:num w:numId="108">
    <w:abstractNumId w:val="42"/>
  </w:num>
  <w:num w:numId="109">
    <w:abstractNumId w:val="66"/>
  </w:num>
  <w:num w:numId="110">
    <w:abstractNumId w:val="35"/>
  </w:num>
  <w:num w:numId="111">
    <w:abstractNumId w:val="118"/>
  </w:num>
  <w:num w:numId="112">
    <w:abstractNumId w:val="109"/>
  </w:num>
  <w:num w:numId="113">
    <w:abstractNumId w:val="74"/>
  </w:num>
  <w:num w:numId="114">
    <w:abstractNumId w:val="9"/>
  </w:num>
  <w:num w:numId="115">
    <w:abstractNumId w:val="36"/>
  </w:num>
  <w:num w:numId="116">
    <w:abstractNumId w:val="136"/>
  </w:num>
  <w:num w:numId="117">
    <w:abstractNumId w:val="58"/>
  </w:num>
  <w:num w:numId="118">
    <w:abstractNumId w:val="131"/>
  </w:num>
  <w:num w:numId="119">
    <w:abstractNumId w:val="91"/>
  </w:num>
  <w:num w:numId="120">
    <w:abstractNumId w:val="1"/>
  </w:num>
  <w:num w:numId="121">
    <w:abstractNumId w:val="8"/>
  </w:num>
  <w:num w:numId="122">
    <w:abstractNumId w:val="77"/>
  </w:num>
  <w:num w:numId="123">
    <w:abstractNumId w:val="53"/>
  </w:num>
  <w:num w:numId="124">
    <w:abstractNumId w:val="50"/>
  </w:num>
  <w:num w:numId="125">
    <w:abstractNumId w:val="143"/>
  </w:num>
  <w:num w:numId="126">
    <w:abstractNumId w:val="137"/>
  </w:num>
  <w:num w:numId="127">
    <w:abstractNumId w:val="82"/>
  </w:num>
  <w:num w:numId="128">
    <w:abstractNumId w:val="141"/>
  </w:num>
  <w:num w:numId="129">
    <w:abstractNumId w:val="95"/>
  </w:num>
  <w:num w:numId="130">
    <w:abstractNumId w:val="62"/>
  </w:num>
  <w:num w:numId="131">
    <w:abstractNumId w:val="79"/>
  </w:num>
  <w:num w:numId="132">
    <w:abstractNumId w:val="139"/>
  </w:num>
  <w:num w:numId="133">
    <w:abstractNumId w:val="101"/>
  </w:num>
  <w:num w:numId="134">
    <w:abstractNumId w:val="133"/>
  </w:num>
  <w:num w:numId="135">
    <w:abstractNumId w:val="128"/>
  </w:num>
  <w:num w:numId="136">
    <w:abstractNumId w:val="37"/>
  </w:num>
  <w:num w:numId="137">
    <w:abstractNumId w:val="16"/>
  </w:num>
  <w:num w:numId="138">
    <w:abstractNumId w:val="116"/>
  </w:num>
  <w:num w:numId="139">
    <w:abstractNumId w:val="121"/>
  </w:num>
  <w:num w:numId="140">
    <w:abstractNumId w:val="103"/>
  </w:num>
  <w:num w:numId="141">
    <w:abstractNumId w:val="122"/>
  </w:num>
  <w:num w:numId="142">
    <w:abstractNumId w:val="24"/>
  </w:num>
  <w:num w:numId="143">
    <w:abstractNumId w:val="113"/>
  </w:num>
  <w:num w:numId="144">
    <w:abstractNumId w:val="59"/>
  </w:num>
  <w:num w:numId="145">
    <w:abstractNumId w:val="63"/>
  </w:num>
  <w:num w:numId="146">
    <w:abstractNumId w:val="106"/>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bordersDoNotSurroundHeader/>
  <w:bordersDoNotSurroundFooter/>
  <w:hideSpellingErrors/>
  <w:activeWritingStyle w:appName="MSWord" w:lang="en-US" w:vendorID="64" w:dllVersion="0" w:nlCheck="1" w:checkStyle="0"/>
  <w:activeWritingStyle w:appName="MSWord" w:lang="zh-TW" w:vendorID="64" w:dllVersion="0" w:nlCheck="1" w:checkStyle="1"/>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3C58"/>
    <w:rsid w:val="000038B8"/>
    <w:rsid w:val="00003B33"/>
    <w:rsid w:val="0000489A"/>
    <w:rsid w:val="00005ED7"/>
    <w:rsid w:val="0000603C"/>
    <w:rsid w:val="00006DCD"/>
    <w:rsid w:val="00006F9A"/>
    <w:rsid w:val="00010640"/>
    <w:rsid w:val="000113CD"/>
    <w:rsid w:val="00011D69"/>
    <w:rsid w:val="00012917"/>
    <w:rsid w:val="0001327A"/>
    <w:rsid w:val="00013691"/>
    <w:rsid w:val="00014F66"/>
    <w:rsid w:val="00015662"/>
    <w:rsid w:val="000205D5"/>
    <w:rsid w:val="0002246C"/>
    <w:rsid w:val="00023BB4"/>
    <w:rsid w:val="00024073"/>
    <w:rsid w:val="00025404"/>
    <w:rsid w:val="00025DF5"/>
    <w:rsid w:val="00026C27"/>
    <w:rsid w:val="000303D9"/>
    <w:rsid w:val="00030DDE"/>
    <w:rsid w:val="0003294D"/>
    <w:rsid w:val="000336C9"/>
    <w:rsid w:val="00035D1D"/>
    <w:rsid w:val="0003755E"/>
    <w:rsid w:val="00040336"/>
    <w:rsid w:val="000409E1"/>
    <w:rsid w:val="00044F8E"/>
    <w:rsid w:val="00045F9F"/>
    <w:rsid w:val="0004690F"/>
    <w:rsid w:val="00052C5C"/>
    <w:rsid w:val="00056A67"/>
    <w:rsid w:val="00057351"/>
    <w:rsid w:val="00063145"/>
    <w:rsid w:val="0006385D"/>
    <w:rsid w:val="00064AF1"/>
    <w:rsid w:val="00066EA4"/>
    <w:rsid w:val="00067D46"/>
    <w:rsid w:val="000700EB"/>
    <w:rsid w:val="000705E1"/>
    <w:rsid w:val="00071D2C"/>
    <w:rsid w:val="0007209E"/>
    <w:rsid w:val="0007263B"/>
    <w:rsid w:val="00073D2A"/>
    <w:rsid w:val="00074B52"/>
    <w:rsid w:val="000763F5"/>
    <w:rsid w:val="00077171"/>
    <w:rsid w:val="000776BA"/>
    <w:rsid w:val="0008027D"/>
    <w:rsid w:val="0008103D"/>
    <w:rsid w:val="000834B5"/>
    <w:rsid w:val="00085941"/>
    <w:rsid w:val="000871A3"/>
    <w:rsid w:val="00087F57"/>
    <w:rsid w:val="0009001B"/>
    <w:rsid w:val="00091702"/>
    <w:rsid w:val="00092C5A"/>
    <w:rsid w:val="0009508F"/>
    <w:rsid w:val="0009532A"/>
    <w:rsid w:val="00096E8C"/>
    <w:rsid w:val="000A0F35"/>
    <w:rsid w:val="000A0FC1"/>
    <w:rsid w:val="000A3B6F"/>
    <w:rsid w:val="000A3D10"/>
    <w:rsid w:val="000A6055"/>
    <w:rsid w:val="000A74E8"/>
    <w:rsid w:val="000B0DA5"/>
    <w:rsid w:val="000B1FB2"/>
    <w:rsid w:val="000B4A76"/>
    <w:rsid w:val="000B520E"/>
    <w:rsid w:val="000B7C94"/>
    <w:rsid w:val="000C0B1B"/>
    <w:rsid w:val="000C1684"/>
    <w:rsid w:val="000C2554"/>
    <w:rsid w:val="000C4887"/>
    <w:rsid w:val="000C54A9"/>
    <w:rsid w:val="000C5BB8"/>
    <w:rsid w:val="000C5DB0"/>
    <w:rsid w:val="000C68E9"/>
    <w:rsid w:val="000D688D"/>
    <w:rsid w:val="000D730A"/>
    <w:rsid w:val="000D74BF"/>
    <w:rsid w:val="000D77AB"/>
    <w:rsid w:val="000D7878"/>
    <w:rsid w:val="000E00B6"/>
    <w:rsid w:val="000E0573"/>
    <w:rsid w:val="000E24D6"/>
    <w:rsid w:val="000E37C3"/>
    <w:rsid w:val="000E5252"/>
    <w:rsid w:val="000E7018"/>
    <w:rsid w:val="000F07AB"/>
    <w:rsid w:val="000F0888"/>
    <w:rsid w:val="000F0E60"/>
    <w:rsid w:val="000F0F18"/>
    <w:rsid w:val="000F38C9"/>
    <w:rsid w:val="000F5A1E"/>
    <w:rsid w:val="001022EF"/>
    <w:rsid w:val="00103758"/>
    <w:rsid w:val="00103A3F"/>
    <w:rsid w:val="00105B50"/>
    <w:rsid w:val="00106BBD"/>
    <w:rsid w:val="00111D57"/>
    <w:rsid w:val="0011260F"/>
    <w:rsid w:val="00115C2E"/>
    <w:rsid w:val="001168F8"/>
    <w:rsid w:val="00121CF1"/>
    <w:rsid w:val="00122FCD"/>
    <w:rsid w:val="00126568"/>
    <w:rsid w:val="00127F28"/>
    <w:rsid w:val="00130270"/>
    <w:rsid w:val="00134351"/>
    <w:rsid w:val="00134AEC"/>
    <w:rsid w:val="00136C9A"/>
    <w:rsid w:val="00140AB2"/>
    <w:rsid w:val="001425A3"/>
    <w:rsid w:val="00143A06"/>
    <w:rsid w:val="001450E0"/>
    <w:rsid w:val="00147E69"/>
    <w:rsid w:val="001522B3"/>
    <w:rsid w:val="00152807"/>
    <w:rsid w:val="00154180"/>
    <w:rsid w:val="00157F15"/>
    <w:rsid w:val="001603D4"/>
    <w:rsid w:val="001615DE"/>
    <w:rsid w:val="00162988"/>
    <w:rsid w:val="001630F8"/>
    <w:rsid w:val="00165B81"/>
    <w:rsid w:val="0016651B"/>
    <w:rsid w:val="0016664B"/>
    <w:rsid w:val="00170EF9"/>
    <w:rsid w:val="001710F6"/>
    <w:rsid w:val="001720A8"/>
    <w:rsid w:val="00173854"/>
    <w:rsid w:val="0017437E"/>
    <w:rsid w:val="00176607"/>
    <w:rsid w:val="001813C9"/>
    <w:rsid w:val="001815AE"/>
    <w:rsid w:val="001829A3"/>
    <w:rsid w:val="0018360B"/>
    <w:rsid w:val="00184376"/>
    <w:rsid w:val="00184C65"/>
    <w:rsid w:val="00185333"/>
    <w:rsid w:val="0018683C"/>
    <w:rsid w:val="00186AC7"/>
    <w:rsid w:val="0019267A"/>
    <w:rsid w:val="001942A9"/>
    <w:rsid w:val="001962F3"/>
    <w:rsid w:val="001A0F2A"/>
    <w:rsid w:val="001A2978"/>
    <w:rsid w:val="001A3731"/>
    <w:rsid w:val="001A40B3"/>
    <w:rsid w:val="001A56A0"/>
    <w:rsid w:val="001A6EF7"/>
    <w:rsid w:val="001A77E5"/>
    <w:rsid w:val="001B02D4"/>
    <w:rsid w:val="001B04E5"/>
    <w:rsid w:val="001B0EE5"/>
    <w:rsid w:val="001B1396"/>
    <w:rsid w:val="001B5FFA"/>
    <w:rsid w:val="001B65A8"/>
    <w:rsid w:val="001C0A49"/>
    <w:rsid w:val="001C3E14"/>
    <w:rsid w:val="001C3F0A"/>
    <w:rsid w:val="001C6673"/>
    <w:rsid w:val="001C67E8"/>
    <w:rsid w:val="001C7101"/>
    <w:rsid w:val="001D0730"/>
    <w:rsid w:val="001D5E83"/>
    <w:rsid w:val="001D7D71"/>
    <w:rsid w:val="001E16C4"/>
    <w:rsid w:val="001E6183"/>
    <w:rsid w:val="001E6CBD"/>
    <w:rsid w:val="001E7CA9"/>
    <w:rsid w:val="001F0CF0"/>
    <w:rsid w:val="001F1030"/>
    <w:rsid w:val="001F280B"/>
    <w:rsid w:val="001F5290"/>
    <w:rsid w:val="001F56F6"/>
    <w:rsid w:val="001F6DE5"/>
    <w:rsid w:val="00200219"/>
    <w:rsid w:val="00200A8E"/>
    <w:rsid w:val="0020348D"/>
    <w:rsid w:val="002053AB"/>
    <w:rsid w:val="0020579B"/>
    <w:rsid w:val="00207BC3"/>
    <w:rsid w:val="00213488"/>
    <w:rsid w:val="0021443A"/>
    <w:rsid w:val="00220A6A"/>
    <w:rsid w:val="00222236"/>
    <w:rsid w:val="00222576"/>
    <w:rsid w:val="00223531"/>
    <w:rsid w:val="00225BEE"/>
    <w:rsid w:val="002269C3"/>
    <w:rsid w:val="00226D90"/>
    <w:rsid w:val="00230AD8"/>
    <w:rsid w:val="00232486"/>
    <w:rsid w:val="00232F82"/>
    <w:rsid w:val="00235A3E"/>
    <w:rsid w:val="00236AAA"/>
    <w:rsid w:val="00237698"/>
    <w:rsid w:val="00237A9C"/>
    <w:rsid w:val="00237C2D"/>
    <w:rsid w:val="00240B65"/>
    <w:rsid w:val="00242C98"/>
    <w:rsid w:val="0024359D"/>
    <w:rsid w:val="0024439D"/>
    <w:rsid w:val="00245EAB"/>
    <w:rsid w:val="00246FBB"/>
    <w:rsid w:val="00247C43"/>
    <w:rsid w:val="00251712"/>
    <w:rsid w:val="0025438B"/>
    <w:rsid w:val="002566A3"/>
    <w:rsid w:val="002575AC"/>
    <w:rsid w:val="002576FE"/>
    <w:rsid w:val="00260DE8"/>
    <w:rsid w:val="00261089"/>
    <w:rsid w:val="00261867"/>
    <w:rsid w:val="002621FD"/>
    <w:rsid w:val="0026321E"/>
    <w:rsid w:val="00264480"/>
    <w:rsid w:val="00265457"/>
    <w:rsid w:val="0027218E"/>
    <w:rsid w:val="00272A36"/>
    <w:rsid w:val="00272E6D"/>
    <w:rsid w:val="0027324F"/>
    <w:rsid w:val="00277496"/>
    <w:rsid w:val="002873CF"/>
    <w:rsid w:val="0029279D"/>
    <w:rsid w:val="002933AF"/>
    <w:rsid w:val="00296773"/>
    <w:rsid w:val="002979CA"/>
    <w:rsid w:val="002A03F8"/>
    <w:rsid w:val="002A0435"/>
    <w:rsid w:val="002A0C22"/>
    <w:rsid w:val="002A1A51"/>
    <w:rsid w:val="002A2E93"/>
    <w:rsid w:val="002A3AC9"/>
    <w:rsid w:val="002A4136"/>
    <w:rsid w:val="002A4197"/>
    <w:rsid w:val="002A55FB"/>
    <w:rsid w:val="002A5BB5"/>
    <w:rsid w:val="002A5F99"/>
    <w:rsid w:val="002B1F6C"/>
    <w:rsid w:val="002B4B27"/>
    <w:rsid w:val="002B5339"/>
    <w:rsid w:val="002B6C97"/>
    <w:rsid w:val="002C1DC0"/>
    <w:rsid w:val="002C228B"/>
    <w:rsid w:val="002D20E5"/>
    <w:rsid w:val="002D3EE1"/>
    <w:rsid w:val="002D5ACE"/>
    <w:rsid w:val="002D6DDB"/>
    <w:rsid w:val="002E0017"/>
    <w:rsid w:val="002E0793"/>
    <w:rsid w:val="002E4CF4"/>
    <w:rsid w:val="002E552E"/>
    <w:rsid w:val="002F2BA4"/>
    <w:rsid w:val="002F30F3"/>
    <w:rsid w:val="002F3114"/>
    <w:rsid w:val="002F38EF"/>
    <w:rsid w:val="002F3EBC"/>
    <w:rsid w:val="002F4D10"/>
    <w:rsid w:val="002F5134"/>
    <w:rsid w:val="002F65DA"/>
    <w:rsid w:val="003106F5"/>
    <w:rsid w:val="00310882"/>
    <w:rsid w:val="00311CE5"/>
    <w:rsid w:val="00312031"/>
    <w:rsid w:val="00312D0A"/>
    <w:rsid w:val="00312FC6"/>
    <w:rsid w:val="00315772"/>
    <w:rsid w:val="00316D15"/>
    <w:rsid w:val="00321C53"/>
    <w:rsid w:val="00322149"/>
    <w:rsid w:val="0032721D"/>
    <w:rsid w:val="00327947"/>
    <w:rsid w:val="003345C3"/>
    <w:rsid w:val="00336243"/>
    <w:rsid w:val="00336396"/>
    <w:rsid w:val="00336E03"/>
    <w:rsid w:val="00341F0B"/>
    <w:rsid w:val="00342C38"/>
    <w:rsid w:val="00344294"/>
    <w:rsid w:val="003450C8"/>
    <w:rsid w:val="0034737C"/>
    <w:rsid w:val="003474FB"/>
    <w:rsid w:val="00347516"/>
    <w:rsid w:val="003479BC"/>
    <w:rsid w:val="00347F4E"/>
    <w:rsid w:val="00350EB2"/>
    <w:rsid w:val="003515E3"/>
    <w:rsid w:val="00353406"/>
    <w:rsid w:val="00355D53"/>
    <w:rsid w:val="0035653F"/>
    <w:rsid w:val="003569D3"/>
    <w:rsid w:val="00356B99"/>
    <w:rsid w:val="00356DC3"/>
    <w:rsid w:val="00357081"/>
    <w:rsid w:val="0036056D"/>
    <w:rsid w:val="00361D5B"/>
    <w:rsid w:val="00362B3F"/>
    <w:rsid w:val="00362B7F"/>
    <w:rsid w:val="00364028"/>
    <w:rsid w:val="00365237"/>
    <w:rsid w:val="003652BE"/>
    <w:rsid w:val="0036641A"/>
    <w:rsid w:val="00366446"/>
    <w:rsid w:val="0037154D"/>
    <w:rsid w:val="00374FF6"/>
    <w:rsid w:val="00377906"/>
    <w:rsid w:val="003825AF"/>
    <w:rsid w:val="003840EC"/>
    <w:rsid w:val="0038504A"/>
    <w:rsid w:val="00385F93"/>
    <w:rsid w:val="0038721A"/>
    <w:rsid w:val="00387BE4"/>
    <w:rsid w:val="0039057C"/>
    <w:rsid w:val="00390AC9"/>
    <w:rsid w:val="00392BAD"/>
    <w:rsid w:val="00393C4B"/>
    <w:rsid w:val="00393ECE"/>
    <w:rsid w:val="0039441E"/>
    <w:rsid w:val="003A284D"/>
    <w:rsid w:val="003A2A4A"/>
    <w:rsid w:val="003A34F6"/>
    <w:rsid w:val="003A4F41"/>
    <w:rsid w:val="003A7602"/>
    <w:rsid w:val="003B182A"/>
    <w:rsid w:val="003B48C9"/>
    <w:rsid w:val="003B5482"/>
    <w:rsid w:val="003B65DE"/>
    <w:rsid w:val="003C0FD9"/>
    <w:rsid w:val="003C3DA7"/>
    <w:rsid w:val="003C71DD"/>
    <w:rsid w:val="003C76C1"/>
    <w:rsid w:val="003D01C1"/>
    <w:rsid w:val="003D3C22"/>
    <w:rsid w:val="003D4248"/>
    <w:rsid w:val="003E4BC8"/>
    <w:rsid w:val="003E4DF3"/>
    <w:rsid w:val="003E5113"/>
    <w:rsid w:val="003E59DD"/>
    <w:rsid w:val="003F0182"/>
    <w:rsid w:val="003F4643"/>
    <w:rsid w:val="003F4973"/>
    <w:rsid w:val="003F68D2"/>
    <w:rsid w:val="004023C3"/>
    <w:rsid w:val="00402884"/>
    <w:rsid w:val="004042EC"/>
    <w:rsid w:val="00405ED9"/>
    <w:rsid w:val="00406E80"/>
    <w:rsid w:val="00407907"/>
    <w:rsid w:val="00412E2B"/>
    <w:rsid w:val="00415813"/>
    <w:rsid w:val="00416A7A"/>
    <w:rsid w:val="0042006C"/>
    <w:rsid w:val="004218E4"/>
    <w:rsid w:val="00424727"/>
    <w:rsid w:val="00424D0E"/>
    <w:rsid w:val="004253F2"/>
    <w:rsid w:val="00426754"/>
    <w:rsid w:val="00427B85"/>
    <w:rsid w:val="00427C57"/>
    <w:rsid w:val="00431F42"/>
    <w:rsid w:val="0043566E"/>
    <w:rsid w:val="0043663E"/>
    <w:rsid w:val="00441968"/>
    <w:rsid w:val="0044287E"/>
    <w:rsid w:val="0044382F"/>
    <w:rsid w:val="00443C98"/>
    <w:rsid w:val="004469FE"/>
    <w:rsid w:val="00447B5C"/>
    <w:rsid w:val="004558F1"/>
    <w:rsid w:val="00457B17"/>
    <w:rsid w:val="00457BFC"/>
    <w:rsid w:val="004614E5"/>
    <w:rsid w:val="00462406"/>
    <w:rsid w:val="00464606"/>
    <w:rsid w:val="00465ED4"/>
    <w:rsid w:val="00466548"/>
    <w:rsid w:val="00470100"/>
    <w:rsid w:val="004716F7"/>
    <w:rsid w:val="00473D9E"/>
    <w:rsid w:val="00474D55"/>
    <w:rsid w:val="00475E3D"/>
    <w:rsid w:val="00476236"/>
    <w:rsid w:val="004819B1"/>
    <w:rsid w:val="00482EBB"/>
    <w:rsid w:val="00485CC1"/>
    <w:rsid w:val="00485EFE"/>
    <w:rsid w:val="0048641E"/>
    <w:rsid w:val="00486460"/>
    <w:rsid w:val="00486B15"/>
    <w:rsid w:val="004872CB"/>
    <w:rsid w:val="00491A34"/>
    <w:rsid w:val="004952D5"/>
    <w:rsid w:val="0049558D"/>
    <w:rsid w:val="00496193"/>
    <w:rsid w:val="00496460"/>
    <w:rsid w:val="0049697F"/>
    <w:rsid w:val="00497798"/>
    <w:rsid w:val="004A2459"/>
    <w:rsid w:val="004A35E6"/>
    <w:rsid w:val="004B1A84"/>
    <w:rsid w:val="004B22BC"/>
    <w:rsid w:val="004C029F"/>
    <w:rsid w:val="004C03B0"/>
    <w:rsid w:val="004C135C"/>
    <w:rsid w:val="004C16FE"/>
    <w:rsid w:val="004C19DF"/>
    <w:rsid w:val="004C3D4F"/>
    <w:rsid w:val="004C3EBF"/>
    <w:rsid w:val="004C4BB0"/>
    <w:rsid w:val="004C5326"/>
    <w:rsid w:val="004D4126"/>
    <w:rsid w:val="004D5767"/>
    <w:rsid w:val="004D5CC0"/>
    <w:rsid w:val="004E1F92"/>
    <w:rsid w:val="004E22C2"/>
    <w:rsid w:val="004E5539"/>
    <w:rsid w:val="004E5A2B"/>
    <w:rsid w:val="004E5B03"/>
    <w:rsid w:val="004E70C1"/>
    <w:rsid w:val="004E7619"/>
    <w:rsid w:val="004E7A85"/>
    <w:rsid w:val="004F106F"/>
    <w:rsid w:val="004F435F"/>
    <w:rsid w:val="004F4E36"/>
    <w:rsid w:val="004F4EB9"/>
    <w:rsid w:val="004F675C"/>
    <w:rsid w:val="00501F3C"/>
    <w:rsid w:val="0050511B"/>
    <w:rsid w:val="00507335"/>
    <w:rsid w:val="00507463"/>
    <w:rsid w:val="00507B5E"/>
    <w:rsid w:val="00514D83"/>
    <w:rsid w:val="00514EC3"/>
    <w:rsid w:val="00515733"/>
    <w:rsid w:val="00520024"/>
    <w:rsid w:val="005207B3"/>
    <w:rsid w:val="005209AF"/>
    <w:rsid w:val="00520E87"/>
    <w:rsid w:val="00522748"/>
    <w:rsid w:val="00522E4F"/>
    <w:rsid w:val="0052425D"/>
    <w:rsid w:val="0052480E"/>
    <w:rsid w:val="00524E65"/>
    <w:rsid w:val="00526EA9"/>
    <w:rsid w:val="00526ECB"/>
    <w:rsid w:val="00526F58"/>
    <w:rsid w:val="0052787D"/>
    <w:rsid w:val="0053085D"/>
    <w:rsid w:val="00531C02"/>
    <w:rsid w:val="00533E09"/>
    <w:rsid w:val="00534A85"/>
    <w:rsid w:val="005353AF"/>
    <w:rsid w:val="005367BF"/>
    <w:rsid w:val="0054062A"/>
    <w:rsid w:val="00542B30"/>
    <w:rsid w:val="00543EEB"/>
    <w:rsid w:val="00544A79"/>
    <w:rsid w:val="00545EB7"/>
    <w:rsid w:val="00550077"/>
    <w:rsid w:val="00550161"/>
    <w:rsid w:val="00550D8E"/>
    <w:rsid w:val="00552418"/>
    <w:rsid w:val="00552BB1"/>
    <w:rsid w:val="00555DBA"/>
    <w:rsid w:val="00557429"/>
    <w:rsid w:val="005575E1"/>
    <w:rsid w:val="00557B51"/>
    <w:rsid w:val="005633EA"/>
    <w:rsid w:val="005635D2"/>
    <w:rsid w:val="00563D55"/>
    <w:rsid w:val="00566AD1"/>
    <w:rsid w:val="00566B9E"/>
    <w:rsid w:val="00566D5A"/>
    <w:rsid w:val="00567437"/>
    <w:rsid w:val="00567EEA"/>
    <w:rsid w:val="0057015C"/>
    <w:rsid w:val="0057120E"/>
    <w:rsid w:val="005722F9"/>
    <w:rsid w:val="005746D1"/>
    <w:rsid w:val="00580C65"/>
    <w:rsid w:val="00582548"/>
    <w:rsid w:val="00587A4E"/>
    <w:rsid w:val="00590E13"/>
    <w:rsid w:val="00591AE8"/>
    <w:rsid w:val="005929FC"/>
    <w:rsid w:val="00593AAE"/>
    <w:rsid w:val="00593B15"/>
    <w:rsid w:val="005948C6"/>
    <w:rsid w:val="00595727"/>
    <w:rsid w:val="005A1E2B"/>
    <w:rsid w:val="005A24AB"/>
    <w:rsid w:val="005A2A18"/>
    <w:rsid w:val="005A357B"/>
    <w:rsid w:val="005A6431"/>
    <w:rsid w:val="005A6BAF"/>
    <w:rsid w:val="005B02E6"/>
    <w:rsid w:val="005B100C"/>
    <w:rsid w:val="005B2DD3"/>
    <w:rsid w:val="005B3754"/>
    <w:rsid w:val="005B3971"/>
    <w:rsid w:val="005B3B50"/>
    <w:rsid w:val="005B3C58"/>
    <w:rsid w:val="005B5AD9"/>
    <w:rsid w:val="005B68BC"/>
    <w:rsid w:val="005B7907"/>
    <w:rsid w:val="005C065F"/>
    <w:rsid w:val="005C08B0"/>
    <w:rsid w:val="005C536C"/>
    <w:rsid w:val="005C668A"/>
    <w:rsid w:val="005D0348"/>
    <w:rsid w:val="005D13DD"/>
    <w:rsid w:val="005D23C4"/>
    <w:rsid w:val="005D4CEA"/>
    <w:rsid w:val="005E0E7A"/>
    <w:rsid w:val="005E41C9"/>
    <w:rsid w:val="005E4ADB"/>
    <w:rsid w:val="005E74C8"/>
    <w:rsid w:val="005E767E"/>
    <w:rsid w:val="005F0199"/>
    <w:rsid w:val="005F0A83"/>
    <w:rsid w:val="005F0C18"/>
    <w:rsid w:val="005F19F9"/>
    <w:rsid w:val="005F3CBC"/>
    <w:rsid w:val="005F4182"/>
    <w:rsid w:val="005F44FB"/>
    <w:rsid w:val="005F635A"/>
    <w:rsid w:val="005F73B0"/>
    <w:rsid w:val="00600FCE"/>
    <w:rsid w:val="00602BC4"/>
    <w:rsid w:val="00603E8E"/>
    <w:rsid w:val="00606A8E"/>
    <w:rsid w:val="00610267"/>
    <w:rsid w:val="006113D2"/>
    <w:rsid w:val="00611922"/>
    <w:rsid w:val="00614ACE"/>
    <w:rsid w:val="006165C6"/>
    <w:rsid w:val="006177D0"/>
    <w:rsid w:val="00617860"/>
    <w:rsid w:val="00617DB6"/>
    <w:rsid w:val="006229C3"/>
    <w:rsid w:val="0062350F"/>
    <w:rsid w:val="00623B33"/>
    <w:rsid w:val="006268BA"/>
    <w:rsid w:val="006278F2"/>
    <w:rsid w:val="00632E77"/>
    <w:rsid w:val="00634D7A"/>
    <w:rsid w:val="006379CE"/>
    <w:rsid w:val="006422F7"/>
    <w:rsid w:val="00642835"/>
    <w:rsid w:val="00642A3A"/>
    <w:rsid w:val="00645759"/>
    <w:rsid w:val="006469F3"/>
    <w:rsid w:val="00646C61"/>
    <w:rsid w:val="006501DE"/>
    <w:rsid w:val="00654659"/>
    <w:rsid w:val="006620E1"/>
    <w:rsid w:val="006631E9"/>
    <w:rsid w:val="0066650B"/>
    <w:rsid w:val="0066720A"/>
    <w:rsid w:val="00670036"/>
    <w:rsid w:val="00670572"/>
    <w:rsid w:val="00671B3A"/>
    <w:rsid w:val="00672404"/>
    <w:rsid w:val="00675B2F"/>
    <w:rsid w:val="00676357"/>
    <w:rsid w:val="00676DAF"/>
    <w:rsid w:val="006773DC"/>
    <w:rsid w:val="006776CA"/>
    <w:rsid w:val="00680021"/>
    <w:rsid w:val="00681F88"/>
    <w:rsid w:val="00684DC0"/>
    <w:rsid w:val="00684ECD"/>
    <w:rsid w:val="006859D5"/>
    <w:rsid w:val="0068643A"/>
    <w:rsid w:val="00686C1A"/>
    <w:rsid w:val="00686E4E"/>
    <w:rsid w:val="00690176"/>
    <w:rsid w:val="00691575"/>
    <w:rsid w:val="006917D4"/>
    <w:rsid w:val="00692D42"/>
    <w:rsid w:val="00693CB3"/>
    <w:rsid w:val="00693F55"/>
    <w:rsid w:val="00694166"/>
    <w:rsid w:val="006943D2"/>
    <w:rsid w:val="00695A32"/>
    <w:rsid w:val="006A1123"/>
    <w:rsid w:val="006A12FE"/>
    <w:rsid w:val="006A1A9E"/>
    <w:rsid w:val="006A5766"/>
    <w:rsid w:val="006A5DBF"/>
    <w:rsid w:val="006A69F1"/>
    <w:rsid w:val="006B0908"/>
    <w:rsid w:val="006B0F44"/>
    <w:rsid w:val="006B2D1A"/>
    <w:rsid w:val="006B5186"/>
    <w:rsid w:val="006B6354"/>
    <w:rsid w:val="006B6BE7"/>
    <w:rsid w:val="006B7011"/>
    <w:rsid w:val="006C1EF7"/>
    <w:rsid w:val="006C2D7F"/>
    <w:rsid w:val="006C32EA"/>
    <w:rsid w:val="006C684A"/>
    <w:rsid w:val="006D003C"/>
    <w:rsid w:val="006D0C31"/>
    <w:rsid w:val="006D2155"/>
    <w:rsid w:val="006D231E"/>
    <w:rsid w:val="006D4986"/>
    <w:rsid w:val="006D50C0"/>
    <w:rsid w:val="006E0614"/>
    <w:rsid w:val="006E20A1"/>
    <w:rsid w:val="006E25FD"/>
    <w:rsid w:val="006E4322"/>
    <w:rsid w:val="006E6EEB"/>
    <w:rsid w:val="006E6EEE"/>
    <w:rsid w:val="006F0F1F"/>
    <w:rsid w:val="006F1AB4"/>
    <w:rsid w:val="006F5CFF"/>
    <w:rsid w:val="006F7BD4"/>
    <w:rsid w:val="00700D55"/>
    <w:rsid w:val="007011C1"/>
    <w:rsid w:val="00701A9B"/>
    <w:rsid w:val="00702454"/>
    <w:rsid w:val="00702FDC"/>
    <w:rsid w:val="00703088"/>
    <w:rsid w:val="00704240"/>
    <w:rsid w:val="007055AF"/>
    <w:rsid w:val="00705D5A"/>
    <w:rsid w:val="00705F8A"/>
    <w:rsid w:val="007073B7"/>
    <w:rsid w:val="00707BEB"/>
    <w:rsid w:val="00711F5E"/>
    <w:rsid w:val="00712B8B"/>
    <w:rsid w:val="00713A44"/>
    <w:rsid w:val="00713A9E"/>
    <w:rsid w:val="00716BAC"/>
    <w:rsid w:val="00720D24"/>
    <w:rsid w:val="00721E0F"/>
    <w:rsid w:val="007220BC"/>
    <w:rsid w:val="007235B5"/>
    <w:rsid w:val="0072586F"/>
    <w:rsid w:val="00726858"/>
    <w:rsid w:val="00730137"/>
    <w:rsid w:val="00732E78"/>
    <w:rsid w:val="00734C84"/>
    <w:rsid w:val="00734E56"/>
    <w:rsid w:val="007357D9"/>
    <w:rsid w:val="00742F19"/>
    <w:rsid w:val="007442EA"/>
    <w:rsid w:val="007477FE"/>
    <w:rsid w:val="0075204A"/>
    <w:rsid w:val="00752D56"/>
    <w:rsid w:val="00754B12"/>
    <w:rsid w:val="00755403"/>
    <w:rsid w:val="00764ED7"/>
    <w:rsid w:val="007663AD"/>
    <w:rsid w:val="00766469"/>
    <w:rsid w:val="0076701F"/>
    <w:rsid w:val="00770E4D"/>
    <w:rsid w:val="007721D0"/>
    <w:rsid w:val="00772CE2"/>
    <w:rsid w:val="007754DF"/>
    <w:rsid w:val="00776388"/>
    <w:rsid w:val="00777AFE"/>
    <w:rsid w:val="00777D90"/>
    <w:rsid w:val="00780D63"/>
    <w:rsid w:val="00781721"/>
    <w:rsid w:val="0078331A"/>
    <w:rsid w:val="00783879"/>
    <w:rsid w:val="007841F9"/>
    <w:rsid w:val="00786BC0"/>
    <w:rsid w:val="007900BD"/>
    <w:rsid w:val="00791764"/>
    <w:rsid w:val="00793980"/>
    <w:rsid w:val="0079460E"/>
    <w:rsid w:val="007A30F2"/>
    <w:rsid w:val="007A35FA"/>
    <w:rsid w:val="007A5B5C"/>
    <w:rsid w:val="007A742F"/>
    <w:rsid w:val="007B0F35"/>
    <w:rsid w:val="007B2555"/>
    <w:rsid w:val="007B2617"/>
    <w:rsid w:val="007B2796"/>
    <w:rsid w:val="007B3A1B"/>
    <w:rsid w:val="007B507B"/>
    <w:rsid w:val="007B6880"/>
    <w:rsid w:val="007C10A2"/>
    <w:rsid w:val="007C2A4C"/>
    <w:rsid w:val="007C2CF9"/>
    <w:rsid w:val="007C391B"/>
    <w:rsid w:val="007C5DC6"/>
    <w:rsid w:val="007D2828"/>
    <w:rsid w:val="007D2C95"/>
    <w:rsid w:val="007D3AE3"/>
    <w:rsid w:val="007D51FC"/>
    <w:rsid w:val="007D5A16"/>
    <w:rsid w:val="007E3330"/>
    <w:rsid w:val="007E4456"/>
    <w:rsid w:val="007E4821"/>
    <w:rsid w:val="007E53EE"/>
    <w:rsid w:val="007E5496"/>
    <w:rsid w:val="007E5721"/>
    <w:rsid w:val="007E5894"/>
    <w:rsid w:val="007E611D"/>
    <w:rsid w:val="007F08FC"/>
    <w:rsid w:val="007F18EC"/>
    <w:rsid w:val="007F3ABA"/>
    <w:rsid w:val="007F3BBC"/>
    <w:rsid w:val="007F3E73"/>
    <w:rsid w:val="007F63BD"/>
    <w:rsid w:val="0080222B"/>
    <w:rsid w:val="008024B5"/>
    <w:rsid w:val="00803A70"/>
    <w:rsid w:val="00805BD3"/>
    <w:rsid w:val="008071CF"/>
    <w:rsid w:val="00807AE6"/>
    <w:rsid w:val="00812095"/>
    <w:rsid w:val="0081381B"/>
    <w:rsid w:val="00815FCC"/>
    <w:rsid w:val="008208EB"/>
    <w:rsid w:val="00820ADA"/>
    <w:rsid w:val="008218C6"/>
    <w:rsid w:val="00827BFC"/>
    <w:rsid w:val="00830837"/>
    <w:rsid w:val="00833579"/>
    <w:rsid w:val="00834357"/>
    <w:rsid w:val="00836037"/>
    <w:rsid w:val="008371A2"/>
    <w:rsid w:val="00841510"/>
    <w:rsid w:val="00843134"/>
    <w:rsid w:val="008434EA"/>
    <w:rsid w:val="008529BA"/>
    <w:rsid w:val="00852C39"/>
    <w:rsid w:val="008574C8"/>
    <w:rsid w:val="00857653"/>
    <w:rsid w:val="0086337B"/>
    <w:rsid w:val="00866773"/>
    <w:rsid w:val="00866E3F"/>
    <w:rsid w:val="00867A89"/>
    <w:rsid w:val="0087546E"/>
    <w:rsid w:val="0087598A"/>
    <w:rsid w:val="008771FD"/>
    <w:rsid w:val="00877494"/>
    <w:rsid w:val="00877E00"/>
    <w:rsid w:val="0088173B"/>
    <w:rsid w:val="00881CEA"/>
    <w:rsid w:val="00882BF0"/>
    <w:rsid w:val="00884176"/>
    <w:rsid w:val="00891635"/>
    <w:rsid w:val="00897640"/>
    <w:rsid w:val="0089793F"/>
    <w:rsid w:val="00897B24"/>
    <w:rsid w:val="00897DB1"/>
    <w:rsid w:val="00897F2C"/>
    <w:rsid w:val="008A03EE"/>
    <w:rsid w:val="008A0FC5"/>
    <w:rsid w:val="008A1189"/>
    <w:rsid w:val="008A2A7A"/>
    <w:rsid w:val="008A3C59"/>
    <w:rsid w:val="008A623E"/>
    <w:rsid w:val="008A7007"/>
    <w:rsid w:val="008A74C4"/>
    <w:rsid w:val="008B0B95"/>
    <w:rsid w:val="008B3CB4"/>
    <w:rsid w:val="008B4F37"/>
    <w:rsid w:val="008B63D4"/>
    <w:rsid w:val="008B67BE"/>
    <w:rsid w:val="008B754A"/>
    <w:rsid w:val="008C0920"/>
    <w:rsid w:val="008C2CEF"/>
    <w:rsid w:val="008C37FB"/>
    <w:rsid w:val="008C405B"/>
    <w:rsid w:val="008D19D1"/>
    <w:rsid w:val="008D1F05"/>
    <w:rsid w:val="008D20F9"/>
    <w:rsid w:val="008D2206"/>
    <w:rsid w:val="008D3B69"/>
    <w:rsid w:val="008D5640"/>
    <w:rsid w:val="008D61B0"/>
    <w:rsid w:val="008D62FF"/>
    <w:rsid w:val="008E0F49"/>
    <w:rsid w:val="008E1B35"/>
    <w:rsid w:val="008E214F"/>
    <w:rsid w:val="008E265B"/>
    <w:rsid w:val="008E295D"/>
    <w:rsid w:val="008E45EB"/>
    <w:rsid w:val="008E7C18"/>
    <w:rsid w:val="009021C4"/>
    <w:rsid w:val="0090442D"/>
    <w:rsid w:val="00905933"/>
    <w:rsid w:val="00905F46"/>
    <w:rsid w:val="00907084"/>
    <w:rsid w:val="009113F3"/>
    <w:rsid w:val="009138DB"/>
    <w:rsid w:val="009155BA"/>
    <w:rsid w:val="0091635F"/>
    <w:rsid w:val="00920047"/>
    <w:rsid w:val="009205AC"/>
    <w:rsid w:val="00923E40"/>
    <w:rsid w:val="0092410C"/>
    <w:rsid w:val="009252FD"/>
    <w:rsid w:val="00925E01"/>
    <w:rsid w:val="009323BB"/>
    <w:rsid w:val="00932B50"/>
    <w:rsid w:val="00932F8D"/>
    <w:rsid w:val="009351CF"/>
    <w:rsid w:val="00935E14"/>
    <w:rsid w:val="00935F0F"/>
    <w:rsid w:val="00937E6E"/>
    <w:rsid w:val="0094142D"/>
    <w:rsid w:val="009414D3"/>
    <w:rsid w:val="00941505"/>
    <w:rsid w:val="00947211"/>
    <w:rsid w:val="009476A4"/>
    <w:rsid w:val="009479D1"/>
    <w:rsid w:val="00950374"/>
    <w:rsid w:val="0095129F"/>
    <w:rsid w:val="009513B4"/>
    <w:rsid w:val="00954128"/>
    <w:rsid w:val="00954281"/>
    <w:rsid w:val="009551A7"/>
    <w:rsid w:val="00955D98"/>
    <w:rsid w:val="00956986"/>
    <w:rsid w:val="00956A38"/>
    <w:rsid w:val="009605BB"/>
    <w:rsid w:val="00961DDC"/>
    <w:rsid w:val="0096609F"/>
    <w:rsid w:val="00966130"/>
    <w:rsid w:val="00966160"/>
    <w:rsid w:val="009664E4"/>
    <w:rsid w:val="00966BC9"/>
    <w:rsid w:val="00967390"/>
    <w:rsid w:val="00970FDF"/>
    <w:rsid w:val="00970FFA"/>
    <w:rsid w:val="0097486E"/>
    <w:rsid w:val="0097643E"/>
    <w:rsid w:val="00976C62"/>
    <w:rsid w:val="009770DC"/>
    <w:rsid w:val="00977161"/>
    <w:rsid w:val="00977933"/>
    <w:rsid w:val="00981653"/>
    <w:rsid w:val="00983FD5"/>
    <w:rsid w:val="0098468D"/>
    <w:rsid w:val="00985CA7"/>
    <w:rsid w:val="00985E19"/>
    <w:rsid w:val="009878E9"/>
    <w:rsid w:val="009902E3"/>
    <w:rsid w:val="0099208A"/>
    <w:rsid w:val="009925B7"/>
    <w:rsid w:val="00994DF1"/>
    <w:rsid w:val="00995652"/>
    <w:rsid w:val="00996AC9"/>
    <w:rsid w:val="00997CE7"/>
    <w:rsid w:val="009A0407"/>
    <w:rsid w:val="009A048C"/>
    <w:rsid w:val="009A1102"/>
    <w:rsid w:val="009A2483"/>
    <w:rsid w:val="009A2F0D"/>
    <w:rsid w:val="009A3F3B"/>
    <w:rsid w:val="009A4E4D"/>
    <w:rsid w:val="009A5D6D"/>
    <w:rsid w:val="009A6E42"/>
    <w:rsid w:val="009A7884"/>
    <w:rsid w:val="009B014E"/>
    <w:rsid w:val="009B022D"/>
    <w:rsid w:val="009B2A0F"/>
    <w:rsid w:val="009B3E64"/>
    <w:rsid w:val="009B4074"/>
    <w:rsid w:val="009B414C"/>
    <w:rsid w:val="009C20E3"/>
    <w:rsid w:val="009C29CD"/>
    <w:rsid w:val="009C3B78"/>
    <w:rsid w:val="009D08BD"/>
    <w:rsid w:val="009D1B96"/>
    <w:rsid w:val="009D2616"/>
    <w:rsid w:val="009D2671"/>
    <w:rsid w:val="009D540C"/>
    <w:rsid w:val="009D67D0"/>
    <w:rsid w:val="009D69FF"/>
    <w:rsid w:val="009D7FB5"/>
    <w:rsid w:val="009E0AD5"/>
    <w:rsid w:val="009E0EE3"/>
    <w:rsid w:val="009E1C77"/>
    <w:rsid w:val="009E1EEC"/>
    <w:rsid w:val="009E2A12"/>
    <w:rsid w:val="009E2C56"/>
    <w:rsid w:val="009E2EE1"/>
    <w:rsid w:val="009E350A"/>
    <w:rsid w:val="009E58A8"/>
    <w:rsid w:val="009F2DCD"/>
    <w:rsid w:val="009F43B1"/>
    <w:rsid w:val="009F567C"/>
    <w:rsid w:val="009F7294"/>
    <w:rsid w:val="009F75E8"/>
    <w:rsid w:val="009F7AA7"/>
    <w:rsid w:val="00A00113"/>
    <w:rsid w:val="00A032B7"/>
    <w:rsid w:val="00A033CB"/>
    <w:rsid w:val="00A04039"/>
    <w:rsid w:val="00A05475"/>
    <w:rsid w:val="00A059D1"/>
    <w:rsid w:val="00A064B6"/>
    <w:rsid w:val="00A116FA"/>
    <w:rsid w:val="00A11733"/>
    <w:rsid w:val="00A11C22"/>
    <w:rsid w:val="00A12841"/>
    <w:rsid w:val="00A12A6E"/>
    <w:rsid w:val="00A131B6"/>
    <w:rsid w:val="00A15693"/>
    <w:rsid w:val="00A21266"/>
    <w:rsid w:val="00A243B6"/>
    <w:rsid w:val="00A24F43"/>
    <w:rsid w:val="00A25414"/>
    <w:rsid w:val="00A25C72"/>
    <w:rsid w:val="00A2727C"/>
    <w:rsid w:val="00A313D3"/>
    <w:rsid w:val="00A331F7"/>
    <w:rsid w:val="00A35EF1"/>
    <w:rsid w:val="00A37037"/>
    <w:rsid w:val="00A400CB"/>
    <w:rsid w:val="00A4099B"/>
    <w:rsid w:val="00A46051"/>
    <w:rsid w:val="00A50E53"/>
    <w:rsid w:val="00A513D2"/>
    <w:rsid w:val="00A5498F"/>
    <w:rsid w:val="00A5527F"/>
    <w:rsid w:val="00A553E6"/>
    <w:rsid w:val="00A57893"/>
    <w:rsid w:val="00A57AB9"/>
    <w:rsid w:val="00A634A1"/>
    <w:rsid w:val="00A64C92"/>
    <w:rsid w:val="00A701A1"/>
    <w:rsid w:val="00A722F2"/>
    <w:rsid w:val="00A767D5"/>
    <w:rsid w:val="00A77674"/>
    <w:rsid w:val="00A80488"/>
    <w:rsid w:val="00A816FE"/>
    <w:rsid w:val="00A81D37"/>
    <w:rsid w:val="00A820B8"/>
    <w:rsid w:val="00A843D3"/>
    <w:rsid w:val="00A843E9"/>
    <w:rsid w:val="00A87D00"/>
    <w:rsid w:val="00A904A3"/>
    <w:rsid w:val="00A91AA7"/>
    <w:rsid w:val="00A93DC1"/>
    <w:rsid w:val="00A941C7"/>
    <w:rsid w:val="00A960D2"/>
    <w:rsid w:val="00A9722C"/>
    <w:rsid w:val="00AA0D29"/>
    <w:rsid w:val="00AA1A19"/>
    <w:rsid w:val="00AA60D5"/>
    <w:rsid w:val="00AA677C"/>
    <w:rsid w:val="00AA70D1"/>
    <w:rsid w:val="00AA7510"/>
    <w:rsid w:val="00AA7E7B"/>
    <w:rsid w:val="00AA7F31"/>
    <w:rsid w:val="00AB0ECA"/>
    <w:rsid w:val="00AB3C0E"/>
    <w:rsid w:val="00AB5281"/>
    <w:rsid w:val="00AB58C4"/>
    <w:rsid w:val="00AB60DE"/>
    <w:rsid w:val="00AB6442"/>
    <w:rsid w:val="00AB7501"/>
    <w:rsid w:val="00AC0F9C"/>
    <w:rsid w:val="00AC152F"/>
    <w:rsid w:val="00AC280A"/>
    <w:rsid w:val="00AC6B58"/>
    <w:rsid w:val="00AC6E8D"/>
    <w:rsid w:val="00AD03ED"/>
    <w:rsid w:val="00AD05B8"/>
    <w:rsid w:val="00AD1999"/>
    <w:rsid w:val="00AD19DA"/>
    <w:rsid w:val="00AD4194"/>
    <w:rsid w:val="00AD463C"/>
    <w:rsid w:val="00AD47F5"/>
    <w:rsid w:val="00AD588E"/>
    <w:rsid w:val="00AD7875"/>
    <w:rsid w:val="00AD7C8E"/>
    <w:rsid w:val="00AE188F"/>
    <w:rsid w:val="00AE3951"/>
    <w:rsid w:val="00AE421C"/>
    <w:rsid w:val="00AE5FC6"/>
    <w:rsid w:val="00AE5FD1"/>
    <w:rsid w:val="00AF1BE7"/>
    <w:rsid w:val="00AF36A0"/>
    <w:rsid w:val="00AF4019"/>
    <w:rsid w:val="00AF4AC3"/>
    <w:rsid w:val="00AF4D76"/>
    <w:rsid w:val="00B00C81"/>
    <w:rsid w:val="00B02868"/>
    <w:rsid w:val="00B038B2"/>
    <w:rsid w:val="00B058B5"/>
    <w:rsid w:val="00B07278"/>
    <w:rsid w:val="00B12A41"/>
    <w:rsid w:val="00B12CC8"/>
    <w:rsid w:val="00B15079"/>
    <w:rsid w:val="00B15094"/>
    <w:rsid w:val="00B16F81"/>
    <w:rsid w:val="00B17105"/>
    <w:rsid w:val="00B1712A"/>
    <w:rsid w:val="00B2091A"/>
    <w:rsid w:val="00B22D66"/>
    <w:rsid w:val="00B23B49"/>
    <w:rsid w:val="00B263CD"/>
    <w:rsid w:val="00B31152"/>
    <w:rsid w:val="00B36375"/>
    <w:rsid w:val="00B41847"/>
    <w:rsid w:val="00B42DD2"/>
    <w:rsid w:val="00B4382B"/>
    <w:rsid w:val="00B50195"/>
    <w:rsid w:val="00B5056C"/>
    <w:rsid w:val="00B50D70"/>
    <w:rsid w:val="00B539C5"/>
    <w:rsid w:val="00B56325"/>
    <w:rsid w:val="00B56819"/>
    <w:rsid w:val="00B57FBC"/>
    <w:rsid w:val="00B6101C"/>
    <w:rsid w:val="00B641CA"/>
    <w:rsid w:val="00B66280"/>
    <w:rsid w:val="00B66D83"/>
    <w:rsid w:val="00B702A2"/>
    <w:rsid w:val="00B821F4"/>
    <w:rsid w:val="00B82A31"/>
    <w:rsid w:val="00B82CC3"/>
    <w:rsid w:val="00B83614"/>
    <w:rsid w:val="00B83BBA"/>
    <w:rsid w:val="00B850DB"/>
    <w:rsid w:val="00B862BC"/>
    <w:rsid w:val="00B873CB"/>
    <w:rsid w:val="00B9051B"/>
    <w:rsid w:val="00B915C9"/>
    <w:rsid w:val="00B93211"/>
    <w:rsid w:val="00B94673"/>
    <w:rsid w:val="00B964EB"/>
    <w:rsid w:val="00B96751"/>
    <w:rsid w:val="00BA1F47"/>
    <w:rsid w:val="00BA3628"/>
    <w:rsid w:val="00BA4068"/>
    <w:rsid w:val="00BB2B2A"/>
    <w:rsid w:val="00BB3920"/>
    <w:rsid w:val="00BB554B"/>
    <w:rsid w:val="00BB5C7C"/>
    <w:rsid w:val="00BB7460"/>
    <w:rsid w:val="00BC1EC7"/>
    <w:rsid w:val="00BC5143"/>
    <w:rsid w:val="00BC601C"/>
    <w:rsid w:val="00BC7949"/>
    <w:rsid w:val="00BD1306"/>
    <w:rsid w:val="00BD586F"/>
    <w:rsid w:val="00BD59F7"/>
    <w:rsid w:val="00BD6015"/>
    <w:rsid w:val="00BD7631"/>
    <w:rsid w:val="00BE07E4"/>
    <w:rsid w:val="00BE1173"/>
    <w:rsid w:val="00BE20FF"/>
    <w:rsid w:val="00BE3CFF"/>
    <w:rsid w:val="00BE674F"/>
    <w:rsid w:val="00BE6F4C"/>
    <w:rsid w:val="00BE7E47"/>
    <w:rsid w:val="00BF01A9"/>
    <w:rsid w:val="00BF27FA"/>
    <w:rsid w:val="00BF2E10"/>
    <w:rsid w:val="00BF52C1"/>
    <w:rsid w:val="00BF666C"/>
    <w:rsid w:val="00C01759"/>
    <w:rsid w:val="00C02C48"/>
    <w:rsid w:val="00C03492"/>
    <w:rsid w:val="00C041E3"/>
    <w:rsid w:val="00C068B4"/>
    <w:rsid w:val="00C072F6"/>
    <w:rsid w:val="00C07360"/>
    <w:rsid w:val="00C07B0C"/>
    <w:rsid w:val="00C10151"/>
    <w:rsid w:val="00C11819"/>
    <w:rsid w:val="00C11F0E"/>
    <w:rsid w:val="00C140D6"/>
    <w:rsid w:val="00C14254"/>
    <w:rsid w:val="00C16853"/>
    <w:rsid w:val="00C1748B"/>
    <w:rsid w:val="00C17E61"/>
    <w:rsid w:val="00C207F4"/>
    <w:rsid w:val="00C20BB2"/>
    <w:rsid w:val="00C21499"/>
    <w:rsid w:val="00C241A6"/>
    <w:rsid w:val="00C262D1"/>
    <w:rsid w:val="00C30DA2"/>
    <w:rsid w:val="00C328DB"/>
    <w:rsid w:val="00C342B4"/>
    <w:rsid w:val="00C3632A"/>
    <w:rsid w:val="00C36371"/>
    <w:rsid w:val="00C43C65"/>
    <w:rsid w:val="00C43CEE"/>
    <w:rsid w:val="00C44AB3"/>
    <w:rsid w:val="00C4555E"/>
    <w:rsid w:val="00C46FA7"/>
    <w:rsid w:val="00C53456"/>
    <w:rsid w:val="00C5509E"/>
    <w:rsid w:val="00C55D57"/>
    <w:rsid w:val="00C578CD"/>
    <w:rsid w:val="00C6051C"/>
    <w:rsid w:val="00C6284D"/>
    <w:rsid w:val="00C62A26"/>
    <w:rsid w:val="00C63068"/>
    <w:rsid w:val="00C70A64"/>
    <w:rsid w:val="00C720DE"/>
    <w:rsid w:val="00C72276"/>
    <w:rsid w:val="00C7364E"/>
    <w:rsid w:val="00C7596B"/>
    <w:rsid w:val="00C76E4E"/>
    <w:rsid w:val="00C772F1"/>
    <w:rsid w:val="00C77372"/>
    <w:rsid w:val="00C7775D"/>
    <w:rsid w:val="00C77E77"/>
    <w:rsid w:val="00C805DA"/>
    <w:rsid w:val="00C80EDF"/>
    <w:rsid w:val="00C8117F"/>
    <w:rsid w:val="00C83A2E"/>
    <w:rsid w:val="00C87368"/>
    <w:rsid w:val="00C87563"/>
    <w:rsid w:val="00C9079A"/>
    <w:rsid w:val="00C921F2"/>
    <w:rsid w:val="00C94ACA"/>
    <w:rsid w:val="00C94D72"/>
    <w:rsid w:val="00C968AA"/>
    <w:rsid w:val="00C97C5C"/>
    <w:rsid w:val="00CA20FF"/>
    <w:rsid w:val="00CA23D9"/>
    <w:rsid w:val="00CA2935"/>
    <w:rsid w:val="00CA3E98"/>
    <w:rsid w:val="00CA5650"/>
    <w:rsid w:val="00CA57F0"/>
    <w:rsid w:val="00CA5949"/>
    <w:rsid w:val="00CA5AC2"/>
    <w:rsid w:val="00CA6505"/>
    <w:rsid w:val="00CB1B6D"/>
    <w:rsid w:val="00CB2805"/>
    <w:rsid w:val="00CB3047"/>
    <w:rsid w:val="00CB4B86"/>
    <w:rsid w:val="00CB4C24"/>
    <w:rsid w:val="00CC14F0"/>
    <w:rsid w:val="00CC1BD1"/>
    <w:rsid w:val="00CC2994"/>
    <w:rsid w:val="00CC2B31"/>
    <w:rsid w:val="00CC55B5"/>
    <w:rsid w:val="00CD1EB4"/>
    <w:rsid w:val="00CD470E"/>
    <w:rsid w:val="00CE3010"/>
    <w:rsid w:val="00CE390A"/>
    <w:rsid w:val="00CE4191"/>
    <w:rsid w:val="00CE4864"/>
    <w:rsid w:val="00CE65AB"/>
    <w:rsid w:val="00CE6AFC"/>
    <w:rsid w:val="00CE6CF0"/>
    <w:rsid w:val="00CE7F9D"/>
    <w:rsid w:val="00CF013E"/>
    <w:rsid w:val="00CF4766"/>
    <w:rsid w:val="00CF5662"/>
    <w:rsid w:val="00CF6371"/>
    <w:rsid w:val="00CF72FD"/>
    <w:rsid w:val="00CF74AC"/>
    <w:rsid w:val="00D0077C"/>
    <w:rsid w:val="00D01F86"/>
    <w:rsid w:val="00D039C1"/>
    <w:rsid w:val="00D05A38"/>
    <w:rsid w:val="00D06CB7"/>
    <w:rsid w:val="00D07C34"/>
    <w:rsid w:val="00D163FE"/>
    <w:rsid w:val="00D17097"/>
    <w:rsid w:val="00D175A4"/>
    <w:rsid w:val="00D21F60"/>
    <w:rsid w:val="00D24C66"/>
    <w:rsid w:val="00D260C9"/>
    <w:rsid w:val="00D30C8D"/>
    <w:rsid w:val="00D31367"/>
    <w:rsid w:val="00D322D0"/>
    <w:rsid w:val="00D34EF4"/>
    <w:rsid w:val="00D35619"/>
    <w:rsid w:val="00D372B9"/>
    <w:rsid w:val="00D44F19"/>
    <w:rsid w:val="00D450C0"/>
    <w:rsid w:val="00D45A64"/>
    <w:rsid w:val="00D465D7"/>
    <w:rsid w:val="00D51B1D"/>
    <w:rsid w:val="00D54098"/>
    <w:rsid w:val="00D5529F"/>
    <w:rsid w:val="00D55CC5"/>
    <w:rsid w:val="00D55D77"/>
    <w:rsid w:val="00D5604D"/>
    <w:rsid w:val="00D5637A"/>
    <w:rsid w:val="00D5764A"/>
    <w:rsid w:val="00D601D7"/>
    <w:rsid w:val="00D60544"/>
    <w:rsid w:val="00D70592"/>
    <w:rsid w:val="00D708BD"/>
    <w:rsid w:val="00D709B8"/>
    <w:rsid w:val="00D70FEE"/>
    <w:rsid w:val="00D718CC"/>
    <w:rsid w:val="00D7218C"/>
    <w:rsid w:val="00D74830"/>
    <w:rsid w:val="00D7793B"/>
    <w:rsid w:val="00D81A16"/>
    <w:rsid w:val="00D869BC"/>
    <w:rsid w:val="00D87039"/>
    <w:rsid w:val="00D87FAC"/>
    <w:rsid w:val="00D90D38"/>
    <w:rsid w:val="00D939D1"/>
    <w:rsid w:val="00D940D2"/>
    <w:rsid w:val="00D959C2"/>
    <w:rsid w:val="00D95EE9"/>
    <w:rsid w:val="00D96F8E"/>
    <w:rsid w:val="00DA1590"/>
    <w:rsid w:val="00DA5B7A"/>
    <w:rsid w:val="00DB1B4F"/>
    <w:rsid w:val="00DB2F3E"/>
    <w:rsid w:val="00DB3C42"/>
    <w:rsid w:val="00DB4FEF"/>
    <w:rsid w:val="00DB5A2E"/>
    <w:rsid w:val="00DC1733"/>
    <w:rsid w:val="00DC18BC"/>
    <w:rsid w:val="00DC1FE1"/>
    <w:rsid w:val="00DC3F75"/>
    <w:rsid w:val="00DC4AED"/>
    <w:rsid w:val="00DC5761"/>
    <w:rsid w:val="00DC5C63"/>
    <w:rsid w:val="00DC64D7"/>
    <w:rsid w:val="00DD156C"/>
    <w:rsid w:val="00DD2426"/>
    <w:rsid w:val="00DD34CF"/>
    <w:rsid w:val="00DD3526"/>
    <w:rsid w:val="00DD4728"/>
    <w:rsid w:val="00DD4871"/>
    <w:rsid w:val="00DD50A7"/>
    <w:rsid w:val="00DD7868"/>
    <w:rsid w:val="00DE1E09"/>
    <w:rsid w:val="00DE4367"/>
    <w:rsid w:val="00DE47F8"/>
    <w:rsid w:val="00DF14CC"/>
    <w:rsid w:val="00DF19D7"/>
    <w:rsid w:val="00DF4111"/>
    <w:rsid w:val="00DF6517"/>
    <w:rsid w:val="00DF6DB1"/>
    <w:rsid w:val="00E006A9"/>
    <w:rsid w:val="00E010A9"/>
    <w:rsid w:val="00E025B9"/>
    <w:rsid w:val="00E035F5"/>
    <w:rsid w:val="00E03F2E"/>
    <w:rsid w:val="00E062A7"/>
    <w:rsid w:val="00E078C6"/>
    <w:rsid w:val="00E12FC0"/>
    <w:rsid w:val="00E14A39"/>
    <w:rsid w:val="00E14DE8"/>
    <w:rsid w:val="00E16464"/>
    <w:rsid w:val="00E17E95"/>
    <w:rsid w:val="00E20407"/>
    <w:rsid w:val="00E22716"/>
    <w:rsid w:val="00E25786"/>
    <w:rsid w:val="00E27A1C"/>
    <w:rsid w:val="00E3174F"/>
    <w:rsid w:val="00E31DEC"/>
    <w:rsid w:val="00E33423"/>
    <w:rsid w:val="00E343C8"/>
    <w:rsid w:val="00E34924"/>
    <w:rsid w:val="00E34A5F"/>
    <w:rsid w:val="00E34D51"/>
    <w:rsid w:val="00E34F11"/>
    <w:rsid w:val="00E34F9F"/>
    <w:rsid w:val="00E35111"/>
    <w:rsid w:val="00E35EA1"/>
    <w:rsid w:val="00E422B9"/>
    <w:rsid w:val="00E435D9"/>
    <w:rsid w:val="00E4428F"/>
    <w:rsid w:val="00E460B5"/>
    <w:rsid w:val="00E461E2"/>
    <w:rsid w:val="00E46620"/>
    <w:rsid w:val="00E473DA"/>
    <w:rsid w:val="00E474E8"/>
    <w:rsid w:val="00E52246"/>
    <w:rsid w:val="00E524DA"/>
    <w:rsid w:val="00E5256F"/>
    <w:rsid w:val="00E55F14"/>
    <w:rsid w:val="00E567F9"/>
    <w:rsid w:val="00E57C4F"/>
    <w:rsid w:val="00E60E04"/>
    <w:rsid w:val="00E61567"/>
    <w:rsid w:val="00E62E3B"/>
    <w:rsid w:val="00E72272"/>
    <w:rsid w:val="00E72D12"/>
    <w:rsid w:val="00E72F14"/>
    <w:rsid w:val="00E73BDC"/>
    <w:rsid w:val="00E743C3"/>
    <w:rsid w:val="00E75094"/>
    <w:rsid w:val="00E77DD6"/>
    <w:rsid w:val="00E77E5C"/>
    <w:rsid w:val="00E81084"/>
    <w:rsid w:val="00E82393"/>
    <w:rsid w:val="00E83E57"/>
    <w:rsid w:val="00E8714C"/>
    <w:rsid w:val="00E874C4"/>
    <w:rsid w:val="00E90F11"/>
    <w:rsid w:val="00E92074"/>
    <w:rsid w:val="00E92868"/>
    <w:rsid w:val="00E94694"/>
    <w:rsid w:val="00E94D2E"/>
    <w:rsid w:val="00E951BB"/>
    <w:rsid w:val="00E967BB"/>
    <w:rsid w:val="00E972D8"/>
    <w:rsid w:val="00E97E82"/>
    <w:rsid w:val="00EA451A"/>
    <w:rsid w:val="00EA6688"/>
    <w:rsid w:val="00EA7099"/>
    <w:rsid w:val="00EB082E"/>
    <w:rsid w:val="00EB16F4"/>
    <w:rsid w:val="00EB57AA"/>
    <w:rsid w:val="00EB63F3"/>
    <w:rsid w:val="00EC0CD9"/>
    <w:rsid w:val="00EC0F86"/>
    <w:rsid w:val="00EC16DE"/>
    <w:rsid w:val="00EC1CDC"/>
    <w:rsid w:val="00EC2CA0"/>
    <w:rsid w:val="00EC328A"/>
    <w:rsid w:val="00EC47DF"/>
    <w:rsid w:val="00EC6610"/>
    <w:rsid w:val="00EC6BD4"/>
    <w:rsid w:val="00EC7305"/>
    <w:rsid w:val="00EC7FA1"/>
    <w:rsid w:val="00ED0B65"/>
    <w:rsid w:val="00ED3350"/>
    <w:rsid w:val="00ED5D20"/>
    <w:rsid w:val="00ED62E0"/>
    <w:rsid w:val="00ED7037"/>
    <w:rsid w:val="00ED76A5"/>
    <w:rsid w:val="00EE0AA0"/>
    <w:rsid w:val="00EE38F5"/>
    <w:rsid w:val="00EE46EC"/>
    <w:rsid w:val="00EE4AC2"/>
    <w:rsid w:val="00EE7730"/>
    <w:rsid w:val="00EF0941"/>
    <w:rsid w:val="00EF096E"/>
    <w:rsid w:val="00EF1B9C"/>
    <w:rsid w:val="00EF3C5A"/>
    <w:rsid w:val="00EF45C6"/>
    <w:rsid w:val="00EF5054"/>
    <w:rsid w:val="00EF747B"/>
    <w:rsid w:val="00EF7CD1"/>
    <w:rsid w:val="00F01B49"/>
    <w:rsid w:val="00F02A55"/>
    <w:rsid w:val="00F03DD5"/>
    <w:rsid w:val="00F045A8"/>
    <w:rsid w:val="00F04BBC"/>
    <w:rsid w:val="00F058DF"/>
    <w:rsid w:val="00F06B95"/>
    <w:rsid w:val="00F07875"/>
    <w:rsid w:val="00F07B96"/>
    <w:rsid w:val="00F109AB"/>
    <w:rsid w:val="00F10B85"/>
    <w:rsid w:val="00F10E86"/>
    <w:rsid w:val="00F10EBB"/>
    <w:rsid w:val="00F112D7"/>
    <w:rsid w:val="00F1320B"/>
    <w:rsid w:val="00F1339A"/>
    <w:rsid w:val="00F13BC4"/>
    <w:rsid w:val="00F15EB2"/>
    <w:rsid w:val="00F169E1"/>
    <w:rsid w:val="00F17B54"/>
    <w:rsid w:val="00F218DC"/>
    <w:rsid w:val="00F25CF5"/>
    <w:rsid w:val="00F30F7F"/>
    <w:rsid w:val="00F32487"/>
    <w:rsid w:val="00F32FFD"/>
    <w:rsid w:val="00F35DE5"/>
    <w:rsid w:val="00F37ECE"/>
    <w:rsid w:val="00F40F4A"/>
    <w:rsid w:val="00F42F58"/>
    <w:rsid w:val="00F44B6A"/>
    <w:rsid w:val="00F44D01"/>
    <w:rsid w:val="00F473C0"/>
    <w:rsid w:val="00F47960"/>
    <w:rsid w:val="00F47AFF"/>
    <w:rsid w:val="00F47E2F"/>
    <w:rsid w:val="00F509B1"/>
    <w:rsid w:val="00F51AD4"/>
    <w:rsid w:val="00F51C46"/>
    <w:rsid w:val="00F52959"/>
    <w:rsid w:val="00F60555"/>
    <w:rsid w:val="00F65FEF"/>
    <w:rsid w:val="00F66C5F"/>
    <w:rsid w:val="00F70033"/>
    <w:rsid w:val="00F71C8C"/>
    <w:rsid w:val="00F73B49"/>
    <w:rsid w:val="00F77398"/>
    <w:rsid w:val="00F81485"/>
    <w:rsid w:val="00F8775D"/>
    <w:rsid w:val="00F909B4"/>
    <w:rsid w:val="00F90C03"/>
    <w:rsid w:val="00F9218F"/>
    <w:rsid w:val="00F93093"/>
    <w:rsid w:val="00F95B59"/>
    <w:rsid w:val="00F963D8"/>
    <w:rsid w:val="00F968C5"/>
    <w:rsid w:val="00FA1E76"/>
    <w:rsid w:val="00FA2304"/>
    <w:rsid w:val="00FA2333"/>
    <w:rsid w:val="00FA2334"/>
    <w:rsid w:val="00FA29BC"/>
    <w:rsid w:val="00FA36A3"/>
    <w:rsid w:val="00FA36E9"/>
    <w:rsid w:val="00FA3819"/>
    <w:rsid w:val="00FA43F4"/>
    <w:rsid w:val="00FA44BA"/>
    <w:rsid w:val="00FA595E"/>
    <w:rsid w:val="00FB01DE"/>
    <w:rsid w:val="00FB03D4"/>
    <w:rsid w:val="00FB0685"/>
    <w:rsid w:val="00FB31F4"/>
    <w:rsid w:val="00FB3B98"/>
    <w:rsid w:val="00FB43D5"/>
    <w:rsid w:val="00FB5025"/>
    <w:rsid w:val="00FB6AA4"/>
    <w:rsid w:val="00FB7257"/>
    <w:rsid w:val="00FB73DB"/>
    <w:rsid w:val="00FB7CAF"/>
    <w:rsid w:val="00FC1A01"/>
    <w:rsid w:val="00FC26F9"/>
    <w:rsid w:val="00FC3F8F"/>
    <w:rsid w:val="00FC4EBF"/>
    <w:rsid w:val="00FC5D43"/>
    <w:rsid w:val="00FC5E8A"/>
    <w:rsid w:val="00FD0D5A"/>
    <w:rsid w:val="00FD317C"/>
    <w:rsid w:val="00FD7891"/>
    <w:rsid w:val="00FE0CDD"/>
    <w:rsid w:val="00FE1C93"/>
    <w:rsid w:val="00FE2061"/>
    <w:rsid w:val="00FE377A"/>
    <w:rsid w:val="00FE64C4"/>
    <w:rsid w:val="00FF05B0"/>
    <w:rsid w:val="00FF0DE0"/>
    <w:rsid w:val="00FF140B"/>
    <w:rsid w:val="00FF258F"/>
    <w:rsid w:val="00FF35C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hapeDefaults>
    <o:shapedefaults v:ext="edit" spidmax="2049"/>
    <o:shapelayout v:ext="edit">
      <o:idmap v:ext="edit" data="1"/>
    </o:shapelayout>
  </w:shapeDefaults>
  <w:decimalSymbol w:val="."/>
  <w:listSeparator w:val=","/>
  <w14:docId w14:val="1367AE45"/>
  <w15:docId w15:val="{60BFC25E-19EC-4966-ABDE-A17266F3D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rsid w:val="005B3C58"/>
    <w:pPr>
      <w:widowControl w:val="0"/>
    </w:pPr>
  </w:style>
  <w:style w:type="paragraph" w:styleId="1">
    <w:name w:val="heading 1"/>
    <w:basedOn w:val="a"/>
    <w:next w:val="a"/>
    <w:link w:val="10"/>
    <w:uiPriority w:val="9"/>
    <w:qFormat/>
    <w:rsid w:val="002D5ACE"/>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unhideWhenUsed/>
    <w:qFormat/>
    <w:rsid w:val="007E5721"/>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semiHidden/>
    <w:unhideWhenUsed/>
    <w:qFormat/>
    <w:rsid w:val="002D5ACE"/>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
    <w:next w:val="a"/>
    <w:link w:val="40"/>
    <w:uiPriority w:val="9"/>
    <w:semiHidden/>
    <w:unhideWhenUsed/>
    <w:qFormat/>
    <w:rsid w:val="00D81A16"/>
    <w:pPr>
      <w:keepNext/>
      <w:spacing w:line="720" w:lineRule="auto"/>
      <w:outlineLvl w:val="3"/>
    </w:pPr>
    <w:rPr>
      <w:rFonts w:asciiTheme="majorHAnsi" w:eastAsiaTheme="majorEastAsia" w:hAnsiTheme="majorHAnsi" w:cstheme="majorBidi"/>
      <w:sz w:val="36"/>
      <w:szCs w:val="36"/>
    </w:rPr>
  </w:style>
  <w:style w:type="paragraph" w:styleId="9">
    <w:name w:val="heading 9"/>
    <w:basedOn w:val="a"/>
    <w:next w:val="a"/>
    <w:link w:val="90"/>
    <w:uiPriority w:val="9"/>
    <w:semiHidden/>
    <w:unhideWhenUsed/>
    <w:qFormat/>
    <w:rsid w:val="007E5721"/>
    <w:pPr>
      <w:keepNext/>
      <w:spacing w:line="720" w:lineRule="auto"/>
      <w:ind w:leftChars="400" w:left="400"/>
      <w:outlineLvl w:val="8"/>
    </w:pPr>
    <w:rPr>
      <w:rFonts w:asciiTheme="majorHAnsi" w:eastAsiaTheme="majorEastAsia" w:hAnsiTheme="majorHAnsi" w:cstheme="majorBidi"/>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2D5ACE"/>
    <w:rPr>
      <w:rFonts w:asciiTheme="majorHAnsi" w:eastAsiaTheme="majorEastAsia" w:hAnsiTheme="majorHAnsi" w:cstheme="majorBidi"/>
      <w:b/>
      <w:bCs/>
      <w:kern w:val="52"/>
      <w:sz w:val="52"/>
      <w:szCs w:val="52"/>
    </w:rPr>
  </w:style>
  <w:style w:type="character" w:customStyle="1" w:styleId="20">
    <w:name w:val="標題 2 字元"/>
    <w:basedOn w:val="a0"/>
    <w:link w:val="2"/>
    <w:uiPriority w:val="9"/>
    <w:rsid w:val="007E5721"/>
    <w:rPr>
      <w:rFonts w:asciiTheme="majorHAnsi" w:eastAsiaTheme="majorEastAsia" w:hAnsiTheme="majorHAnsi" w:cstheme="majorBidi"/>
      <w:b/>
      <w:bCs/>
      <w:sz w:val="48"/>
      <w:szCs w:val="48"/>
    </w:rPr>
  </w:style>
  <w:style w:type="character" w:customStyle="1" w:styleId="30">
    <w:name w:val="標題 3 字元"/>
    <w:basedOn w:val="a0"/>
    <w:link w:val="3"/>
    <w:uiPriority w:val="9"/>
    <w:semiHidden/>
    <w:rsid w:val="002D5ACE"/>
    <w:rPr>
      <w:rFonts w:asciiTheme="majorHAnsi" w:eastAsiaTheme="majorEastAsia" w:hAnsiTheme="majorHAnsi" w:cstheme="majorBidi"/>
      <w:b/>
      <w:bCs/>
      <w:sz w:val="36"/>
      <w:szCs w:val="36"/>
    </w:rPr>
  </w:style>
  <w:style w:type="character" w:customStyle="1" w:styleId="90">
    <w:name w:val="標題 9 字元"/>
    <w:basedOn w:val="a0"/>
    <w:link w:val="9"/>
    <w:uiPriority w:val="9"/>
    <w:semiHidden/>
    <w:rsid w:val="007E5721"/>
    <w:rPr>
      <w:rFonts w:asciiTheme="majorHAnsi" w:eastAsiaTheme="majorEastAsia" w:hAnsiTheme="majorHAnsi" w:cstheme="majorBidi"/>
      <w:sz w:val="36"/>
      <w:szCs w:val="36"/>
    </w:rPr>
  </w:style>
  <w:style w:type="paragraph" w:styleId="a3">
    <w:name w:val="Body Text"/>
    <w:basedOn w:val="a"/>
    <w:link w:val="a4"/>
    <w:semiHidden/>
    <w:rsid w:val="005B3C58"/>
    <w:pPr>
      <w:jc w:val="center"/>
    </w:pPr>
    <w:rPr>
      <w:rFonts w:ascii="Times New Roman" w:eastAsia="標楷體" w:hAnsi="Times New Roman" w:cs="Times New Roman"/>
      <w:b/>
      <w:bCs/>
      <w:sz w:val="72"/>
      <w:szCs w:val="24"/>
    </w:rPr>
  </w:style>
  <w:style w:type="character" w:customStyle="1" w:styleId="a4">
    <w:name w:val="本文 字元"/>
    <w:basedOn w:val="a0"/>
    <w:link w:val="a3"/>
    <w:semiHidden/>
    <w:rsid w:val="005B3C58"/>
    <w:rPr>
      <w:rFonts w:ascii="Times New Roman" w:eastAsia="標楷體" w:hAnsi="Times New Roman" w:cs="Times New Roman"/>
      <w:b/>
      <w:bCs/>
      <w:sz w:val="72"/>
      <w:szCs w:val="24"/>
    </w:rPr>
  </w:style>
  <w:style w:type="paragraph" w:styleId="a5">
    <w:name w:val="Date"/>
    <w:basedOn w:val="a"/>
    <w:next w:val="a"/>
    <w:link w:val="a6"/>
    <w:unhideWhenUsed/>
    <w:rsid w:val="005B3C58"/>
    <w:pPr>
      <w:jc w:val="right"/>
    </w:pPr>
  </w:style>
  <w:style w:type="character" w:customStyle="1" w:styleId="a6">
    <w:name w:val="日期 字元"/>
    <w:basedOn w:val="a0"/>
    <w:link w:val="a5"/>
    <w:rsid w:val="005B3C58"/>
  </w:style>
  <w:style w:type="paragraph" w:styleId="a7">
    <w:name w:val="footnote text"/>
    <w:basedOn w:val="a"/>
    <w:link w:val="a8"/>
    <w:uiPriority w:val="99"/>
    <w:unhideWhenUsed/>
    <w:rsid w:val="002D5ACE"/>
    <w:pPr>
      <w:snapToGrid w:val="0"/>
    </w:pPr>
    <w:rPr>
      <w:sz w:val="20"/>
      <w:szCs w:val="20"/>
    </w:rPr>
  </w:style>
  <w:style w:type="character" w:customStyle="1" w:styleId="a8">
    <w:name w:val="註腳文字 字元"/>
    <w:basedOn w:val="a0"/>
    <w:link w:val="a7"/>
    <w:uiPriority w:val="99"/>
    <w:rsid w:val="002D5ACE"/>
    <w:rPr>
      <w:sz w:val="20"/>
      <w:szCs w:val="20"/>
    </w:rPr>
  </w:style>
  <w:style w:type="character" w:styleId="a9">
    <w:name w:val="footnote reference"/>
    <w:aliases w:val="FR,Ref,de nota al pie,註腳內容"/>
    <w:basedOn w:val="a0"/>
    <w:uiPriority w:val="99"/>
    <w:unhideWhenUsed/>
    <w:rsid w:val="002D5ACE"/>
    <w:rPr>
      <w:vertAlign w:val="superscript"/>
    </w:rPr>
  </w:style>
  <w:style w:type="character" w:styleId="aa">
    <w:name w:val="Hyperlink"/>
    <w:basedOn w:val="a0"/>
    <w:uiPriority w:val="99"/>
    <w:unhideWhenUsed/>
    <w:rsid w:val="002D5ACE"/>
    <w:rPr>
      <w:color w:val="0563C1" w:themeColor="hyperlink"/>
      <w:u w:val="single"/>
    </w:rPr>
  </w:style>
  <w:style w:type="paragraph" w:styleId="ab">
    <w:name w:val="List Paragraph"/>
    <w:basedOn w:val="a"/>
    <w:link w:val="ac"/>
    <w:uiPriority w:val="34"/>
    <w:qFormat/>
    <w:rsid w:val="002D5ACE"/>
    <w:pPr>
      <w:ind w:leftChars="200" w:left="480"/>
    </w:pPr>
  </w:style>
  <w:style w:type="character" w:customStyle="1" w:styleId="ac">
    <w:name w:val="清單段落 字元"/>
    <w:basedOn w:val="a0"/>
    <w:link w:val="ab"/>
    <w:uiPriority w:val="34"/>
    <w:rsid w:val="007754DF"/>
  </w:style>
  <w:style w:type="paragraph" w:styleId="11">
    <w:name w:val="toc 1"/>
    <w:basedOn w:val="a"/>
    <w:next w:val="a"/>
    <w:autoRedefine/>
    <w:uiPriority w:val="39"/>
    <w:unhideWhenUsed/>
    <w:rsid w:val="006859D5"/>
    <w:pPr>
      <w:tabs>
        <w:tab w:val="right" w:leader="dot" w:pos="9202"/>
      </w:tabs>
      <w:jc w:val="center"/>
    </w:pPr>
    <w:rPr>
      <w:rFonts w:ascii="Times New Roman" w:eastAsia="標楷體" w:hAnsi="Times New Roman" w:cs="Times New Roman"/>
      <w:b/>
      <w:noProof/>
      <w:sz w:val="36"/>
      <w:szCs w:val="36"/>
    </w:rPr>
  </w:style>
  <w:style w:type="paragraph" w:styleId="21">
    <w:name w:val="toc 2"/>
    <w:basedOn w:val="a"/>
    <w:next w:val="a"/>
    <w:autoRedefine/>
    <w:uiPriority w:val="39"/>
    <w:unhideWhenUsed/>
    <w:rsid w:val="006859D5"/>
    <w:pPr>
      <w:tabs>
        <w:tab w:val="left" w:pos="1680"/>
        <w:tab w:val="right" w:leader="dot" w:pos="9202"/>
      </w:tabs>
      <w:ind w:leftChars="200" w:left="480"/>
    </w:pPr>
  </w:style>
  <w:style w:type="paragraph" w:styleId="ad">
    <w:name w:val="header"/>
    <w:basedOn w:val="a"/>
    <w:link w:val="ae"/>
    <w:uiPriority w:val="99"/>
    <w:unhideWhenUsed/>
    <w:rsid w:val="002D5ACE"/>
    <w:pPr>
      <w:tabs>
        <w:tab w:val="center" w:pos="4153"/>
        <w:tab w:val="right" w:pos="8306"/>
      </w:tabs>
      <w:snapToGrid w:val="0"/>
    </w:pPr>
    <w:rPr>
      <w:sz w:val="20"/>
      <w:szCs w:val="20"/>
    </w:rPr>
  </w:style>
  <w:style w:type="character" w:customStyle="1" w:styleId="ae">
    <w:name w:val="頁首 字元"/>
    <w:basedOn w:val="a0"/>
    <w:link w:val="ad"/>
    <w:uiPriority w:val="99"/>
    <w:rsid w:val="002D5ACE"/>
    <w:rPr>
      <w:sz w:val="20"/>
      <w:szCs w:val="20"/>
    </w:rPr>
  </w:style>
  <w:style w:type="paragraph" w:styleId="af">
    <w:name w:val="footer"/>
    <w:basedOn w:val="a"/>
    <w:link w:val="af0"/>
    <w:uiPriority w:val="99"/>
    <w:unhideWhenUsed/>
    <w:rsid w:val="002D5ACE"/>
    <w:pPr>
      <w:tabs>
        <w:tab w:val="center" w:pos="4153"/>
        <w:tab w:val="right" w:pos="8306"/>
      </w:tabs>
      <w:snapToGrid w:val="0"/>
    </w:pPr>
    <w:rPr>
      <w:sz w:val="20"/>
      <w:szCs w:val="20"/>
    </w:rPr>
  </w:style>
  <w:style w:type="character" w:customStyle="1" w:styleId="af0">
    <w:name w:val="頁尾 字元"/>
    <w:basedOn w:val="a0"/>
    <w:link w:val="af"/>
    <w:uiPriority w:val="99"/>
    <w:rsid w:val="002D5ACE"/>
    <w:rPr>
      <w:sz w:val="20"/>
      <w:szCs w:val="20"/>
    </w:rPr>
  </w:style>
  <w:style w:type="character" w:styleId="af1">
    <w:name w:val="FollowedHyperlink"/>
    <w:basedOn w:val="a0"/>
    <w:uiPriority w:val="99"/>
    <w:semiHidden/>
    <w:unhideWhenUsed/>
    <w:rsid w:val="00FA36A3"/>
    <w:rPr>
      <w:color w:val="954F72" w:themeColor="followedHyperlink"/>
      <w:u w:val="single"/>
    </w:rPr>
  </w:style>
  <w:style w:type="paragraph" w:styleId="af2">
    <w:name w:val="annotation text"/>
    <w:basedOn w:val="a"/>
    <w:link w:val="af3"/>
    <w:unhideWhenUsed/>
    <w:rsid w:val="007754DF"/>
    <w:pPr>
      <w:adjustRightInd w:val="0"/>
      <w:spacing w:line="360" w:lineRule="atLeast"/>
    </w:pPr>
    <w:rPr>
      <w:rFonts w:ascii="Times New Roman" w:eastAsia="新細明體" w:hAnsi="Times New Roman" w:cs="Times New Roman"/>
      <w:kern w:val="0"/>
      <w:szCs w:val="20"/>
    </w:rPr>
  </w:style>
  <w:style w:type="character" w:customStyle="1" w:styleId="af3">
    <w:name w:val="註解文字 字元"/>
    <w:basedOn w:val="a0"/>
    <w:link w:val="af2"/>
    <w:rsid w:val="007754DF"/>
    <w:rPr>
      <w:rFonts w:ascii="Times New Roman" w:eastAsia="新細明體" w:hAnsi="Times New Roman" w:cs="Times New Roman"/>
      <w:kern w:val="0"/>
      <w:szCs w:val="20"/>
    </w:rPr>
  </w:style>
  <w:style w:type="table" w:styleId="af4">
    <w:name w:val="Table Grid"/>
    <w:basedOn w:val="a1"/>
    <w:uiPriority w:val="39"/>
    <w:rsid w:val="007754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Balloon Text"/>
    <w:basedOn w:val="a"/>
    <w:link w:val="af6"/>
    <w:uiPriority w:val="99"/>
    <w:semiHidden/>
    <w:unhideWhenUsed/>
    <w:rsid w:val="007754DF"/>
    <w:pPr>
      <w:jc w:val="both"/>
    </w:pPr>
    <w:rPr>
      <w:rFonts w:asciiTheme="majorHAnsi" w:eastAsiaTheme="majorEastAsia" w:hAnsiTheme="majorHAnsi" w:cstheme="majorBidi"/>
      <w:sz w:val="18"/>
      <w:szCs w:val="18"/>
    </w:rPr>
  </w:style>
  <w:style w:type="character" w:customStyle="1" w:styleId="af6">
    <w:name w:val="註解方塊文字 字元"/>
    <w:basedOn w:val="a0"/>
    <w:link w:val="af5"/>
    <w:uiPriority w:val="99"/>
    <w:semiHidden/>
    <w:rsid w:val="007754DF"/>
    <w:rPr>
      <w:rFonts w:asciiTheme="majorHAnsi" w:eastAsiaTheme="majorEastAsia" w:hAnsiTheme="majorHAnsi" w:cstheme="majorBidi"/>
      <w:sz w:val="18"/>
      <w:szCs w:val="18"/>
    </w:rPr>
  </w:style>
  <w:style w:type="paragraph" w:customStyle="1" w:styleId="af7">
    <w:name w:val="圖"/>
    <w:basedOn w:val="a"/>
    <w:link w:val="af8"/>
    <w:qFormat/>
    <w:rsid w:val="00DB3C42"/>
    <w:pPr>
      <w:jc w:val="center"/>
    </w:pPr>
    <w:rPr>
      <w:rFonts w:ascii="Times New Roman" w:eastAsia="標楷體" w:hAnsi="Times New Roman" w:cs="Times New Roman"/>
      <w:b/>
      <w:sz w:val="28"/>
      <w:szCs w:val="28"/>
    </w:rPr>
  </w:style>
  <w:style w:type="character" w:customStyle="1" w:styleId="af8">
    <w:name w:val="圖 字元"/>
    <w:basedOn w:val="a0"/>
    <w:link w:val="af7"/>
    <w:rsid w:val="00DB3C42"/>
    <w:rPr>
      <w:rFonts w:ascii="Times New Roman" w:eastAsia="標楷體" w:hAnsi="Times New Roman" w:cs="Times New Roman"/>
      <w:b/>
      <w:sz w:val="28"/>
      <w:szCs w:val="28"/>
    </w:rPr>
  </w:style>
  <w:style w:type="paragraph" w:customStyle="1" w:styleId="af9">
    <w:name w:val="表"/>
    <w:basedOn w:val="a"/>
    <w:link w:val="afa"/>
    <w:qFormat/>
    <w:rsid w:val="00DB3C42"/>
    <w:pPr>
      <w:spacing w:line="0" w:lineRule="atLeast"/>
      <w:jc w:val="center"/>
    </w:pPr>
    <w:rPr>
      <w:rFonts w:ascii="Times New Roman" w:eastAsia="標楷體" w:hAnsi="Times New Roman" w:cs="Times New Roman"/>
      <w:b/>
      <w:color w:val="000000" w:themeColor="text1"/>
      <w:sz w:val="28"/>
      <w:szCs w:val="28"/>
    </w:rPr>
  </w:style>
  <w:style w:type="character" w:customStyle="1" w:styleId="afa">
    <w:name w:val="表 字元"/>
    <w:basedOn w:val="a0"/>
    <w:link w:val="af9"/>
    <w:rsid w:val="00DB3C42"/>
    <w:rPr>
      <w:rFonts w:ascii="Times New Roman" w:eastAsia="標楷體" w:hAnsi="Times New Roman" w:cs="Times New Roman"/>
      <w:b/>
      <w:color w:val="000000" w:themeColor="text1"/>
      <w:sz w:val="28"/>
      <w:szCs w:val="28"/>
    </w:rPr>
  </w:style>
  <w:style w:type="paragraph" w:styleId="afb">
    <w:name w:val="TOC Heading"/>
    <w:basedOn w:val="1"/>
    <w:next w:val="a"/>
    <w:uiPriority w:val="39"/>
    <w:unhideWhenUsed/>
    <w:qFormat/>
    <w:rsid w:val="001A3731"/>
    <w:pPr>
      <w:keepLines/>
      <w:widowControl/>
      <w:spacing w:before="240" w:after="0" w:line="259" w:lineRule="auto"/>
      <w:outlineLvl w:val="9"/>
    </w:pPr>
    <w:rPr>
      <w:b w:val="0"/>
      <w:bCs w:val="0"/>
      <w:color w:val="2E74B5" w:themeColor="accent1" w:themeShade="BF"/>
      <w:kern w:val="0"/>
      <w:sz w:val="32"/>
      <w:szCs w:val="32"/>
    </w:rPr>
  </w:style>
  <w:style w:type="paragraph" w:styleId="7">
    <w:name w:val="toc 7"/>
    <w:basedOn w:val="a"/>
    <w:next w:val="a"/>
    <w:autoRedefine/>
    <w:uiPriority w:val="39"/>
    <w:semiHidden/>
    <w:unhideWhenUsed/>
    <w:rsid w:val="001A3731"/>
    <w:pPr>
      <w:ind w:leftChars="1200" w:left="2880"/>
    </w:pPr>
  </w:style>
  <w:style w:type="character" w:customStyle="1" w:styleId="afc">
    <w:name w:val="章節附註文字 字元"/>
    <w:basedOn w:val="a0"/>
    <w:link w:val="afd"/>
    <w:uiPriority w:val="99"/>
    <w:semiHidden/>
    <w:rsid w:val="00793980"/>
    <w:rPr>
      <w:rFonts w:eastAsia="標楷體"/>
      <w:sz w:val="28"/>
    </w:rPr>
  </w:style>
  <w:style w:type="paragraph" w:styleId="afd">
    <w:name w:val="endnote text"/>
    <w:basedOn w:val="a"/>
    <w:link w:val="afc"/>
    <w:uiPriority w:val="99"/>
    <w:semiHidden/>
    <w:unhideWhenUsed/>
    <w:rsid w:val="00793980"/>
    <w:pPr>
      <w:snapToGrid w:val="0"/>
    </w:pPr>
    <w:rPr>
      <w:rFonts w:eastAsia="標楷體"/>
      <w:sz w:val="28"/>
    </w:rPr>
  </w:style>
  <w:style w:type="paragraph" w:customStyle="1" w:styleId="afe">
    <w:name w:val="標準內文"/>
    <w:basedOn w:val="a"/>
    <w:link w:val="aff"/>
    <w:qFormat/>
    <w:rsid w:val="00793980"/>
    <w:pPr>
      <w:tabs>
        <w:tab w:val="left" w:pos="567"/>
      </w:tabs>
      <w:spacing w:line="560" w:lineRule="exact"/>
      <w:ind w:firstLineChars="200" w:firstLine="200"/>
      <w:jc w:val="both"/>
    </w:pPr>
    <w:rPr>
      <w:rFonts w:ascii="Times New Roman" w:eastAsia="標楷體" w:hAnsi="Times New Roman" w:cs="Times New Roman"/>
      <w:color w:val="000000" w:themeColor="text1"/>
      <w:sz w:val="26"/>
      <w:szCs w:val="26"/>
    </w:rPr>
  </w:style>
  <w:style w:type="paragraph" w:styleId="aff0">
    <w:name w:val="No Spacing"/>
    <w:link w:val="aff1"/>
    <w:uiPriority w:val="1"/>
    <w:qFormat/>
    <w:rsid w:val="006F5CFF"/>
    <w:rPr>
      <w:kern w:val="0"/>
      <w:sz w:val="22"/>
    </w:rPr>
  </w:style>
  <w:style w:type="character" w:customStyle="1" w:styleId="aff1">
    <w:name w:val="無間距 字元"/>
    <w:basedOn w:val="a0"/>
    <w:link w:val="aff0"/>
    <w:uiPriority w:val="1"/>
    <w:rsid w:val="006F5CFF"/>
    <w:rPr>
      <w:kern w:val="0"/>
      <w:sz w:val="22"/>
    </w:rPr>
  </w:style>
  <w:style w:type="table" w:customStyle="1" w:styleId="110">
    <w:name w:val="格線表格 1 淺色1"/>
    <w:basedOn w:val="a1"/>
    <w:uiPriority w:val="46"/>
    <w:rsid w:val="00752D5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st">
    <w:name w:val="st"/>
    <w:basedOn w:val="a0"/>
    <w:rsid w:val="00A032B7"/>
  </w:style>
  <w:style w:type="character" w:styleId="aff2">
    <w:name w:val="Emphasis"/>
    <w:basedOn w:val="a0"/>
    <w:qFormat/>
    <w:rsid w:val="00A032B7"/>
    <w:rPr>
      <w:i/>
      <w:iCs/>
    </w:rPr>
  </w:style>
  <w:style w:type="paragraph" w:styleId="Web">
    <w:name w:val="Normal (Web)"/>
    <w:basedOn w:val="a"/>
    <w:uiPriority w:val="99"/>
    <w:unhideWhenUsed/>
    <w:rsid w:val="0097486E"/>
    <w:pPr>
      <w:widowControl/>
      <w:spacing w:before="100" w:beforeAutospacing="1" w:after="100" w:afterAutospacing="1"/>
    </w:pPr>
    <w:rPr>
      <w:rFonts w:ascii="新細明體" w:eastAsia="新細明體" w:hAnsi="新細明體" w:cs="新細明體"/>
      <w:kern w:val="0"/>
      <w:szCs w:val="24"/>
    </w:rPr>
  </w:style>
  <w:style w:type="paragraph" w:customStyle="1" w:styleId="Default">
    <w:name w:val="Default"/>
    <w:rsid w:val="00AC152F"/>
    <w:pPr>
      <w:widowControl w:val="0"/>
      <w:autoSpaceDE w:val="0"/>
      <w:autoSpaceDN w:val="0"/>
      <w:adjustRightInd w:val="0"/>
    </w:pPr>
    <w:rPr>
      <w:rFonts w:ascii="Times New Roman" w:hAnsi="Times New Roman" w:cs="Times New Roman"/>
      <w:color w:val="000000"/>
      <w:kern w:val="0"/>
      <w:szCs w:val="24"/>
    </w:rPr>
  </w:style>
  <w:style w:type="table" w:customStyle="1" w:styleId="12">
    <w:name w:val="格線表格 1 淺色2"/>
    <w:basedOn w:val="a1"/>
    <w:uiPriority w:val="46"/>
    <w:rsid w:val="006D2155"/>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13">
    <w:name w:val="清單段落1"/>
    <w:basedOn w:val="a"/>
    <w:rsid w:val="009664E4"/>
    <w:pPr>
      <w:ind w:leftChars="200" w:left="480"/>
    </w:pPr>
    <w:rPr>
      <w:rFonts w:ascii="Calibri" w:eastAsia="新細明體" w:hAnsi="Calibri" w:cs="Times New Roman"/>
    </w:rPr>
  </w:style>
  <w:style w:type="character" w:customStyle="1" w:styleId="40">
    <w:name w:val="標題 4 字元"/>
    <w:basedOn w:val="a0"/>
    <w:link w:val="4"/>
    <w:uiPriority w:val="9"/>
    <w:semiHidden/>
    <w:rsid w:val="00D81A16"/>
    <w:rPr>
      <w:rFonts w:asciiTheme="majorHAnsi" w:eastAsiaTheme="majorEastAsia" w:hAnsiTheme="majorHAnsi" w:cstheme="majorBidi"/>
      <w:sz w:val="36"/>
      <w:szCs w:val="36"/>
    </w:rPr>
  </w:style>
  <w:style w:type="paragraph" w:styleId="aff3">
    <w:name w:val="caption"/>
    <w:basedOn w:val="a"/>
    <w:next w:val="a"/>
    <w:uiPriority w:val="35"/>
    <w:unhideWhenUsed/>
    <w:qFormat/>
    <w:rsid w:val="00D81A16"/>
    <w:rPr>
      <w:rFonts w:ascii="Times New Roman" w:eastAsia="標楷體" w:hAnsi="Times New Roman"/>
      <w:sz w:val="20"/>
      <w:szCs w:val="20"/>
    </w:rPr>
  </w:style>
  <w:style w:type="character" w:customStyle="1" w:styleId="aff">
    <w:name w:val="標準內文 字元"/>
    <w:basedOn w:val="a0"/>
    <w:link w:val="afe"/>
    <w:rsid w:val="003C3DA7"/>
    <w:rPr>
      <w:rFonts w:ascii="Times New Roman" w:eastAsia="標楷體" w:hAnsi="Times New Roman" w:cs="Times New Roman"/>
      <w:color w:val="000000" w:themeColor="tex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1382380">
      <w:bodyDiv w:val="1"/>
      <w:marLeft w:val="0"/>
      <w:marRight w:val="0"/>
      <w:marTop w:val="0"/>
      <w:marBottom w:val="0"/>
      <w:divBdr>
        <w:top w:val="none" w:sz="0" w:space="0" w:color="auto"/>
        <w:left w:val="none" w:sz="0" w:space="0" w:color="auto"/>
        <w:bottom w:val="none" w:sz="0" w:space="0" w:color="auto"/>
        <w:right w:val="none" w:sz="0" w:space="0" w:color="auto"/>
      </w:divBdr>
    </w:div>
    <w:div w:id="206911957">
      <w:bodyDiv w:val="1"/>
      <w:marLeft w:val="0"/>
      <w:marRight w:val="0"/>
      <w:marTop w:val="0"/>
      <w:marBottom w:val="0"/>
      <w:divBdr>
        <w:top w:val="none" w:sz="0" w:space="0" w:color="auto"/>
        <w:left w:val="none" w:sz="0" w:space="0" w:color="auto"/>
        <w:bottom w:val="none" w:sz="0" w:space="0" w:color="auto"/>
        <w:right w:val="none" w:sz="0" w:space="0" w:color="auto"/>
      </w:divBdr>
    </w:div>
    <w:div w:id="642537768">
      <w:bodyDiv w:val="1"/>
      <w:marLeft w:val="0"/>
      <w:marRight w:val="0"/>
      <w:marTop w:val="0"/>
      <w:marBottom w:val="0"/>
      <w:divBdr>
        <w:top w:val="none" w:sz="0" w:space="0" w:color="auto"/>
        <w:left w:val="none" w:sz="0" w:space="0" w:color="auto"/>
        <w:bottom w:val="none" w:sz="0" w:space="0" w:color="auto"/>
        <w:right w:val="none" w:sz="0" w:space="0" w:color="auto"/>
      </w:divBdr>
    </w:div>
    <w:div w:id="1027171194">
      <w:bodyDiv w:val="1"/>
      <w:marLeft w:val="0"/>
      <w:marRight w:val="0"/>
      <w:marTop w:val="0"/>
      <w:marBottom w:val="0"/>
      <w:divBdr>
        <w:top w:val="none" w:sz="0" w:space="0" w:color="auto"/>
        <w:left w:val="none" w:sz="0" w:space="0" w:color="auto"/>
        <w:bottom w:val="none" w:sz="0" w:space="0" w:color="auto"/>
        <w:right w:val="none" w:sz="0" w:space="0" w:color="auto"/>
      </w:divBdr>
    </w:div>
    <w:div w:id="1772357323">
      <w:bodyDiv w:val="1"/>
      <w:marLeft w:val="0"/>
      <w:marRight w:val="0"/>
      <w:marTop w:val="0"/>
      <w:marBottom w:val="0"/>
      <w:divBdr>
        <w:top w:val="none" w:sz="0" w:space="0" w:color="auto"/>
        <w:left w:val="none" w:sz="0" w:space="0" w:color="auto"/>
        <w:bottom w:val="none" w:sz="0" w:space="0" w:color="auto"/>
        <w:right w:val="none" w:sz="0" w:space="0" w:color="auto"/>
      </w:divBdr>
    </w:div>
    <w:div w:id="1918785950">
      <w:bodyDiv w:val="1"/>
      <w:marLeft w:val="0"/>
      <w:marRight w:val="0"/>
      <w:marTop w:val="0"/>
      <w:marBottom w:val="0"/>
      <w:divBdr>
        <w:top w:val="none" w:sz="0" w:space="0" w:color="auto"/>
        <w:left w:val="none" w:sz="0" w:space="0" w:color="auto"/>
        <w:bottom w:val="none" w:sz="0" w:space="0" w:color="auto"/>
        <w:right w:val="none" w:sz="0" w:space="0" w:color="auto"/>
      </w:divBdr>
    </w:div>
    <w:div w:id="1949193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dc.gov.tw/Content_List.aspx?n=E0C48B7F39ACB61F" TargetMode="External"/><Relationship Id="rId21" Type="http://schemas.openxmlformats.org/officeDocument/2006/relationships/chart" Target="charts/chart7.xml"/><Relationship Id="rId42" Type="http://schemas.openxmlformats.org/officeDocument/2006/relationships/hyperlink" Target="http://www.npf.org.tw/12/7873" TargetMode="External"/><Relationship Id="rId63" Type="http://schemas.openxmlformats.org/officeDocument/2006/relationships/diagramColors" Target="diagrams/colors4.xml"/><Relationship Id="rId84" Type="http://schemas.openxmlformats.org/officeDocument/2006/relationships/hyperlink" Target="http://www.chinatimes.com/newspapers/20150331001210-260204" TargetMode="External"/><Relationship Id="rId138" Type="http://schemas.openxmlformats.org/officeDocument/2006/relationships/hyperlink" Target="http://www.sipa.org.tw/CHT/about_us.aspx" TargetMode="External"/><Relationship Id="rId159" Type="http://schemas.openxmlformats.org/officeDocument/2006/relationships/hyperlink" Target="http://info.taiwantrade.com/CH/bizsearchdetail/7279201/C?keyword0" TargetMode="External"/><Relationship Id="rId170" Type="http://schemas.openxmlformats.org/officeDocument/2006/relationships/hyperlink" Target="http://www.investindia.gov.in/" TargetMode="External"/><Relationship Id="rId191" Type="http://schemas.openxmlformats.org/officeDocument/2006/relationships/image" Target="media/image31.png"/><Relationship Id="rId205" Type="http://schemas.openxmlformats.org/officeDocument/2006/relationships/image" Target="media/image45.jpeg"/><Relationship Id="rId226" Type="http://schemas.openxmlformats.org/officeDocument/2006/relationships/hyperlink" Target="http://www.ndc.gov.tw/" TargetMode="External"/><Relationship Id="rId107" Type="http://schemas.openxmlformats.org/officeDocument/2006/relationships/hyperlink" Target="http://www.chinatimes.com/realtimenews/20160525002104-260410" TargetMode="External"/><Relationship Id="rId11" Type="http://schemas.openxmlformats.org/officeDocument/2006/relationships/image" Target="media/image1.png"/><Relationship Id="rId32" Type="http://schemas.openxmlformats.org/officeDocument/2006/relationships/hyperlink" Target="https://eshop.cht.com.tw/Web/Enterprise/Product/Details?megaID=05ACCAFA-D877-4FF2-BAB4-401CB6F472F3" TargetMode="External"/><Relationship Id="rId53" Type="http://schemas.openxmlformats.org/officeDocument/2006/relationships/diagramColors" Target="diagrams/colors2.xml"/><Relationship Id="rId74" Type="http://schemas.openxmlformats.org/officeDocument/2006/relationships/hyperlink" Target="http://www.ithome.com.tw/article/94084" TargetMode="External"/><Relationship Id="rId128" Type="http://schemas.openxmlformats.org/officeDocument/2006/relationships/hyperlink" Target="http://www.ntpu.edu.tw/~pa/news/95news/attachment/951215/951215-05.pdf" TargetMode="External"/><Relationship Id="rId149" Type="http://schemas.openxmlformats.org/officeDocument/2006/relationships/hyperlink" Target="http://pv.energytrend.com.tw/news/20150716-11682.html" TargetMode="External"/><Relationship Id="rId5" Type="http://schemas.openxmlformats.org/officeDocument/2006/relationships/webSettings" Target="webSettings.xml"/><Relationship Id="rId95" Type="http://schemas.openxmlformats.org/officeDocument/2006/relationships/hyperlink" Target="http://www.ledinside.com.tw/research/20160804-32888.html" TargetMode="External"/><Relationship Id="rId160" Type="http://schemas.openxmlformats.org/officeDocument/2006/relationships/hyperlink" Target="http://info.taiwantrade.com/CH/bizsearchdetail/7606521/C?keyword0" TargetMode="External"/><Relationship Id="rId181" Type="http://schemas.openxmlformats.org/officeDocument/2006/relationships/image" Target="media/image21.jpeg"/><Relationship Id="rId216" Type="http://schemas.openxmlformats.org/officeDocument/2006/relationships/image" Target="media/image56.jpeg"/><Relationship Id="rId211" Type="http://schemas.openxmlformats.org/officeDocument/2006/relationships/image" Target="media/image51.jpeg"/><Relationship Id="rId22" Type="http://schemas.openxmlformats.org/officeDocument/2006/relationships/diagramData" Target="diagrams/data1.xml"/><Relationship Id="rId27" Type="http://schemas.openxmlformats.org/officeDocument/2006/relationships/hyperlink" Target="http://www.fenc.com/magazine/show_faq_new.aspx?SN=6667" TargetMode="External"/><Relationship Id="rId43" Type="http://schemas.openxmlformats.org/officeDocument/2006/relationships/chart" Target="charts/chart8.xml"/><Relationship Id="rId48" Type="http://schemas.openxmlformats.org/officeDocument/2006/relationships/image" Target="media/image10.png"/><Relationship Id="rId64" Type="http://schemas.microsoft.com/office/2007/relationships/diagramDrawing" Target="diagrams/drawing4.xml"/><Relationship Id="rId69" Type="http://schemas.openxmlformats.org/officeDocument/2006/relationships/image" Target="media/image14.png"/><Relationship Id="rId113" Type="http://schemas.openxmlformats.org/officeDocument/2006/relationships/hyperlink" Target="http://www.mitac.com.tw/cn/pdf/P.21%20%E7%A5%9E%E9%80%9A%E6%99%BA%E6%85%A7%E6%A0%A1%E5%9C%92.pdf" TargetMode="External"/><Relationship Id="rId118" Type="http://schemas.openxmlformats.org/officeDocument/2006/relationships/hyperlink" Target="http://www.tier.org.tw/achievements/pec3010.aspx?GUID=bbe5f513-ed61-477d-ae77-9597c8e86aa2" TargetMode="External"/><Relationship Id="rId134" Type="http://schemas.openxmlformats.org/officeDocument/2006/relationships/hyperlink" Target="http://udn.com/news/story/7253/1418282" TargetMode="External"/><Relationship Id="rId139" Type="http://schemas.openxmlformats.org/officeDocument/2006/relationships/hyperlink" Target="http://twbusiness.nat.gov.tw/page.do?id=16" TargetMode="External"/><Relationship Id="rId80" Type="http://schemas.openxmlformats.org/officeDocument/2006/relationships/hyperlink" Target="http://workspace.unpan.org/sites/Internet/Documents/UNPAN96407.pdf" TargetMode="External"/><Relationship Id="rId85" Type="http://schemas.openxmlformats.org/officeDocument/2006/relationships/hyperlink" Target="http://www.chinatimes.com/realtimenews/20160425003998-260410" TargetMode="External"/><Relationship Id="rId150" Type="http://schemas.openxmlformats.org/officeDocument/2006/relationships/hyperlink" Target="http://pv.energytrend.com.tw/news/20140310-7983.html" TargetMode="External"/><Relationship Id="rId155" Type="http://schemas.openxmlformats.org/officeDocument/2006/relationships/hyperlink" Target="http://www.tier.org.tw/comment/pec1010.aspx?GUID=86c4a348-e5f9-410e-9c71-b036699f4ead" TargetMode="External"/><Relationship Id="rId171" Type="http://schemas.openxmlformats.org/officeDocument/2006/relationships/hyperlink" Target="http://twbusiness.nat.gov.tw/page.do?id=340983813" TargetMode="External"/><Relationship Id="rId176" Type="http://schemas.openxmlformats.org/officeDocument/2006/relationships/oleObject" Target="embeddings/oleObject1.bin"/><Relationship Id="rId192" Type="http://schemas.openxmlformats.org/officeDocument/2006/relationships/image" Target="media/image32.png"/><Relationship Id="rId197" Type="http://schemas.openxmlformats.org/officeDocument/2006/relationships/image" Target="media/image37.jpeg"/><Relationship Id="rId206" Type="http://schemas.openxmlformats.org/officeDocument/2006/relationships/image" Target="media/image46.jpeg"/><Relationship Id="rId227" Type="http://schemas.openxmlformats.org/officeDocument/2006/relationships/fontTable" Target="fontTable.xml"/><Relationship Id="rId201" Type="http://schemas.openxmlformats.org/officeDocument/2006/relationships/image" Target="media/image41.jpeg"/><Relationship Id="rId222" Type="http://schemas.openxmlformats.org/officeDocument/2006/relationships/image" Target="media/image62.jpeg"/><Relationship Id="rId12" Type="http://schemas.openxmlformats.org/officeDocument/2006/relationships/chart" Target="charts/chart1.xml"/><Relationship Id="rId17" Type="http://schemas.openxmlformats.org/officeDocument/2006/relationships/chart" Target="charts/chart3.xml"/><Relationship Id="rId33" Type="http://schemas.openxmlformats.org/officeDocument/2006/relationships/hyperlink" Target="http://www.taiwantrade.com.tw/" TargetMode="External"/><Relationship Id="rId38" Type="http://schemas.openxmlformats.org/officeDocument/2006/relationships/hyperlink" Target="https://www.wegoluck.com/" TargetMode="External"/><Relationship Id="rId59" Type="http://schemas.microsoft.com/office/2007/relationships/diagramDrawing" Target="diagrams/drawing3.xml"/><Relationship Id="rId103" Type="http://schemas.openxmlformats.org/officeDocument/2006/relationships/hyperlink" Target="http://udn.com/news/story/9485/1695707-%E6%96%B0%E5%8D%97%E5%90%91%E6%94%BF%E7%AD%96%E5%AE%9A%E8%AA%BF-%E9%BB%83%E5%BF%97%E8%8A%B3%EF%BC%9A%E6%8A%8A%E6%9D%B1%E5%8D%94%E7%95%B6%E5%85%A7%E9%9C%80%E5%BB%B6%E4%BC%B8" TargetMode="External"/><Relationship Id="rId108" Type="http://schemas.openxmlformats.org/officeDocument/2006/relationships/hyperlink" Target="https://www.artc.org.tw/chinese/03_service/03_02detail.aspx?pid=2380" TargetMode="External"/><Relationship Id="rId124" Type="http://schemas.openxmlformats.org/officeDocument/2006/relationships/hyperlink" Target="http://twbusiness.nat.gov.tw/epaperArticleFixed.do?id=265027588" TargetMode="External"/><Relationship Id="rId129" Type="http://schemas.openxmlformats.org/officeDocument/2006/relationships/hyperlink" Target="http://www.careernet.org.tw/n/Class-8480.html" TargetMode="External"/><Relationship Id="rId54" Type="http://schemas.microsoft.com/office/2007/relationships/diagramDrawing" Target="diagrams/drawing2.xml"/><Relationship Id="rId70" Type="http://schemas.openxmlformats.org/officeDocument/2006/relationships/image" Target="media/image15.png"/><Relationship Id="rId75" Type="http://schemas.openxmlformats.org/officeDocument/2006/relationships/hyperlink" Target="http://www.ledinside.com.tw/research/20160412-32372.html" TargetMode="External"/><Relationship Id="rId91" Type="http://schemas.openxmlformats.org/officeDocument/2006/relationships/hyperlink" Target="http://www.ey.gov.tw/News_Content2.aspx?n=F8BAEBE9491FC830&amp;s=82400B39366A678A" TargetMode="External"/><Relationship Id="rId96" Type="http://schemas.openxmlformats.org/officeDocument/2006/relationships/hyperlink" Target="http://info.taiwantrade.com/CH/bizsearchdetail/358241/I" TargetMode="External"/><Relationship Id="rId140" Type="http://schemas.openxmlformats.org/officeDocument/2006/relationships/hyperlink" Target="http://www.moeaic.gov.tw/system_external/ctlr?PRO=PubsCateLoad&amp;MET=&amp;page=1&amp;lang=0" TargetMode="External"/><Relationship Id="rId145" Type="http://schemas.openxmlformats.org/officeDocument/2006/relationships/hyperlink" Target="http://news.cnyes.com/Content/20151223/20151223155617683993812.shtml?c=headline_sitehead&amp;utm_source=fbfan&amp;utm_medium=news&amp;utm_campaign=2015122322e1" TargetMode="External"/><Relationship Id="rId161" Type="http://schemas.openxmlformats.org/officeDocument/2006/relationships/hyperlink" Target="http://www.fenc.com/magazine/show_faq_new.aspx?SN=6667" TargetMode="External"/><Relationship Id="rId166" Type="http://schemas.openxmlformats.org/officeDocument/2006/relationships/hyperlink" Target="http://udn.com/news/story/7240/1830828-%E5%8D%B0%E5%BA%A6%E6%8B%9A%E7%85%A7%E6%98%8E-%E5%8F%B0%E5%BB%A0%E6%90%B6%E5%95%86%E6%A9%9F" TargetMode="External"/><Relationship Id="rId182" Type="http://schemas.openxmlformats.org/officeDocument/2006/relationships/image" Target="media/image22.jpeg"/><Relationship Id="rId187" Type="http://schemas.openxmlformats.org/officeDocument/2006/relationships/image" Target="media/image27.png"/><Relationship Id="rId217"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52.jpeg"/><Relationship Id="rId23" Type="http://schemas.openxmlformats.org/officeDocument/2006/relationships/diagramLayout" Target="diagrams/layout1.xml"/><Relationship Id="rId28" Type="http://schemas.openxmlformats.org/officeDocument/2006/relationships/image" Target="media/image2.png"/><Relationship Id="rId49" Type="http://schemas.openxmlformats.org/officeDocument/2006/relationships/image" Target="media/image11.png"/><Relationship Id="rId114" Type="http://schemas.openxmlformats.org/officeDocument/2006/relationships/hyperlink" Target="http://www.iii.org.tw/Press/NewsDtl.aspx?nsp_sqno=1738&amp;fm_sqno=14" TargetMode="External"/><Relationship Id="rId119" Type="http://schemas.openxmlformats.org/officeDocument/2006/relationships/hyperlink" Target="http://ids.asianmedia.com.tw/new_article.asp?ar_id=24639" TargetMode="External"/><Relationship Id="rId44" Type="http://schemas.openxmlformats.org/officeDocument/2006/relationships/image" Target="media/image6.png"/><Relationship Id="rId60" Type="http://schemas.openxmlformats.org/officeDocument/2006/relationships/diagramData" Target="diagrams/data4.xml"/><Relationship Id="rId65" Type="http://schemas.openxmlformats.org/officeDocument/2006/relationships/hyperlink" Target="http://workspace.unpan.org/sites/Internet/Documents/UNPAN96407.pdf" TargetMode="External"/><Relationship Id="rId81" Type="http://schemas.openxmlformats.org/officeDocument/2006/relationships/hyperlink" Target="https://publicadministration.un.org/egovkb/Portals/egovkb/Documents/un/2014-Survey/E-Gov_Complete_Survey-2014.pdf" TargetMode="External"/><Relationship Id="rId86" Type="http://schemas.openxmlformats.org/officeDocument/2006/relationships/hyperlink" Target="http://www.chinatimes.com/newspapers/20160223000050-260202" TargetMode="External"/><Relationship Id="rId130" Type="http://schemas.openxmlformats.org/officeDocument/2006/relationships/hyperlink" Target="http://www.careernet.org.tw/n/Class-8480.html" TargetMode="External"/><Relationship Id="rId135" Type="http://schemas.openxmlformats.org/officeDocument/2006/relationships/hyperlink" Target="http://money.udn.com/money/story/561&#12290;/1756088-%E9%81%A0%E9%80%9AETC-%E6%8B%9A%E6%95%B4%E5%BB%A0%E8%BC%B8%E5%87%BA%E6%B5%B7%E5%A4%96" TargetMode="External"/><Relationship Id="rId151" Type="http://schemas.openxmlformats.org/officeDocument/2006/relationships/hyperlink" Target="http://pv.energytrend.com.tw/news/20150911-12097.html" TargetMode="External"/><Relationship Id="rId156" Type="http://schemas.openxmlformats.org/officeDocument/2006/relationships/hyperlink" Target="http://www.tier.org.tw/comment/pec1010.aspx?GUID=958a7dfc-9a96-4e17-89b4-fac1d3debea8" TargetMode="External"/><Relationship Id="rId177" Type="http://schemas.openxmlformats.org/officeDocument/2006/relationships/image" Target="media/image19.png"/><Relationship Id="rId198" Type="http://schemas.openxmlformats.org/officeDocument/2006/relationships/image" Target="media/image38.jpeg"/><Relationship Id="rId172" Type="http://schemas.openxmlformats.org/officeDocument/2006/relationships/hyperlink" Target="http://www.koanadvisory.com/index.php" TargetMode="External"/><Relationship Id="rId193" Type="http://schemas.openxmlformats.org/officeDocument/2006/relationships/image" Target="media/image33.jpeg"/><Relationship Id="rId202" Type="http://schemas.openxmlformats.org/officeDocument/2006/relationships/image" Target="media/image42.jpeg"/><Relationship Id="rId207" Type="http://schemas.openxmlformats.org/officeDocument/2006/relationships/image" Target="media/image47.jpeg"/><Relationship Id="rId223" Type="http://schemas.openxmlformats.org/officeDocument/2006/relationships/image" Target="media/image63.jpeg"/><Relationship Id="rId228" Type="http://schemas.openxmlformats.org/officeDocument/2006/relationships/theme" Target="theme/theme1.xml"/><Relationship Id="rId13" Type="http://schemas.openxmlformats.org/officeDocument/2006/relationships/chart" Target="charts/chart2.xml"/><Relationship Id="rId18" Type="http://schemas.openxmlformats.org/officeDocument/2006/relationships/chart" Target="charts/chart4.xml"/><Relationship Id="rId39" Type="http://schemas.openxmlformats.org/officeDocument/2006/relationships/hyperlink" Target="http://www.careernet.org.tw/n/Class-8480.html" TargetMode="External"/><Relationship Id="rId109" Type="http://schemas.openxmlformats.org/officeDocument/2006/relationships/hyperlink" Target="http://www.find.org.tw/market_info.aspx?n_ID=4398" TargetMode="External"/><Relationship Id="rId34" Type="http://schemas.openxmlformats.org/officeDocument/2006/relationships/hyperlink" Target="http://www.alibaba.com/countrysearch/TW-Taiwan.html?tracelog=ggs_tw" TargetMode="External"/><Relationship Id="rId50" Type="http://schemas.openxmlformats.org/officeDocument/2006/relationships/diagramData" Target="diagrams/data2.xml"/><Relationship Id="rId55" Type="http://schemas.openxmlformats.org/officeDocument/2006/relationships/diagramData" Target="diagrams/data3.xml"/><Relationship Id="rId76" Type="http://schemas.openxmlformats.org/officeDocument/2006/relationships/hyperlink" Target="https://www.smartm.com.tw/article/31343731cea3" TargetMode="External"/><Relationship Id="rId97" Type="http://schemas.openxmlformats.org/officeDocument/2006/relationships/hyperlink" Target="http://news.ltn.com.tw/news/business/paper/1003346" TargetMode="External"/><Relationship Id="rId104" Type="http://schemas.openxmlformats.org/officeDocument/2006/relationships/hyperlink" Target="http://ejournal.stpi.narl.org.tw/NSC_INDEX/Journal/EJ0001/10012/10012-04.pdf" TargetMode="External"/><Relationship Id="rId120" Type="http://schemas.openxmlformats.org/officeDocument/2006/relationships/hyperlink" Target="http://www.ctasc.org.tw/02publication/APEC-172-p06-10.pdf" TargetMode="External"/><Relationship Id="rId125" Type="http://schemas.openxmlformats.org/officeDocument/2006/relationships/hyperlink" Target="http://www.i-likesun.com/news.php?store=energy&amp;no=no&amp;id=1470&amp;sub=PV+News&amp;sub1=%E5%A4%AA%E9%99%BD%E8%83%BD&amp;sub2=%E5%8F%AF%E5%86%8D%E7%94%9F%E8%83%BD%E6%BA%90%E9%81%94%E5%88%B0%E5%8D%B0%E5%BA%A6%E8%83%BD%E6%BA%90%E7%B5%90%E6%A7%8B%E7%9A%845.7%EF%BC%85" TargetMode="External"/><Relationship Id="rId141" Type="http://schemas.openxmlformats.org/officeDocument/2006/relationships/hyperlink" Target="http://web3.moeaboe.gov.tw/ecw/populace/content/wHandMenuFile.ashx?menu_id=110" TargetMode="External"/><Relationship Id="rId146" Type="http://schemas.openxmlformats.org/officeDocument/2006/relationships/hyperlink" Target="http://www.taiwangreenenergy.org.tw/Domain/domain-6.aspx" TargetMode="External"/><Relationship Id="rId167" Type="http://schemas.openxmlformats.org/officeDocument/2006/relationships/hyperlink" Target="http://udn.com/news/story/7241/1839502" TargetMode="External"/><Relationship Id="rId188" Type="http://schemas.openxmlformats.org/officeDocument/2006/relationships/image" Target="media/image28.png"/><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hyperlink" Target="https://www.moea.gov.tw/MNS/populace/news/News.aspx?kind=1&amp;menu_id=40&amp;news_id=40520" TargetMode="External"/><Relationship Id="rId162" Type="http://schemas.openxmlformats.org/officeDocument/2006/relationships/hyperlink" Target="http://www.fenc.com/magazine/show_faq_new.aspx?SN=8493" TargetMode="External"/><Relationship Id="rId183" Type="http://schemas.openxmlformats.org/officeDocument/2006/relationships/image" Target="media/image23.jpeg"/><Relationship Id="rId213" Type="http://schemas.openxmlformats.org/officeDocument/2006/relationships/image" Target="media/image53.jpeg"/><Relationship Id="rId218"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yperlink" Target="http://www.ndc.gov.tw/Content_List.aspx?n=E0C48B7F39ACB61F" TargetMode="External"/><Relationship Id="rId24" Type="http://schemas.openxmlformats.org/officeDocument/2006/relationships/diagramQuickStyle" Target="diagrams/quickStyle1.xml"/><Relationship Id="rId40" Type="http://schemas.openxmlformats.org/officeDocument/2006/relationships/image" Target="media/image4.emf"/><Relationship Id="rId45" Type="http://schemas.openxmlformats.org/officeDocument/2006/relationships/image" Target="media/image7.png"/><Relationship Id="rId66" Type="http://schemas.openxmlformats.org/officeDocument/2006/relationships/hyperlink" Target="https://publicadministration.un.org/egovkb/Portals/egovkb/Documents/un/2014-Survey/E-Gov_Complete_Survey-2014.pdf" TargetMode="External"/><Relationship Id="rId87" Type="http://schemas.openxmlformats.org/officeDocument/2006/relationships/hyperlink" Target="http://udn.com/news/story/3/1626007" TargetMode="External"/><Relationship Id="rId110" Type="http://schemas.openxmlformats.org/officeDocument/2006/relationships/hyperlink" Target="http://www.logisticnet.com.tw/newsCaseRunDetail.asp?id=150" TargetMode="External"/><Relationship Id="rId115" Type="http://schemas.openxmlformats.org/officeDocument/2006/relationships/hyperlink" Target="http://www.cdri.org.tw/content/news/news01_in.aspx?sid=118" TargetMode="External"/><Relationship Id="rId131" Type="http://schemas.openxmlformats.org/officeDocument/2006/relationships/hyperlink" Target="http://www.chinatimes.com/realtimenews/20140312004400-260407" TargetMode="External"/><Relationship Id="rId136" Type="http://schemas.openxmlformats.org/officeDocument/2006/relationships/hyperlink" Target="http://udn.com/news/story/7338/1686578-%E7%B6%93%E6%BF%9F%EF%BC%8F%E6%96%B0%E5%8D%97%E5%90%91%E6%94%BF%E7%AD%96-%E6%93%B4%E5%A4%A7%E6%A0%BC%E5%B1%80%E5%89%B5%E9%80%A0%E9%9B%99%E8%B4%8F" TargetMode="External"/><Relationship Id="rId157" Type="http://schemas.openxmlformats.org/officeDocument/2006/relationships/hyperlink" Target="http://info.taiwantrade.com/CH/bizsearchdetail/7731318/C?keyword0" TargetMode="External"/><Relationship Id="rId178" Type="http://schemas.openxmlformats.org/officeDocument/2006/relationships/image" Target="https://aseanplus.files.wordpress.com/2016/06/kunming-singapore.png?w=800" TargetMode="External"/><Relationship Id="rId61" Type="http://schemas.openxmlformats.org/officeDocument/2006/relationships/diagramLayout" Target="diagrams/layout4.xml"/><Relationship Id="rId82" Type="http://schemas.openxmlformats.org/officeDocument/2006/relationships/hyperlink" Target="https://publicadministration.un.org/publications/content/PDFs/E-Library%20Archives/World%20Public%20Sector%20Report%20series/World%20Public%20Sector%20Report.2003.pdf" TargetMode="External"/><Relationship Id="rId152" Type="http://schemas.openxmlformats.org/officeDocument/2006/relationships/hyperlink" Target="http://pv.energytrend.com.tw/news/20150123-10415.html" TargetMode="External"/><Relationship Id="rId173" Type="http://schemas.openxmlformats.org/officeDocument/2006/relationships/hyperlink" Target="http://smartcity.jakarta.go.id/" TargetMode="External"/><Relationship Id="rId194" Type="http://schemas.openxmlformats.org/officeDocument/2006/relationships/image" Target="media/image34.jpeg"/><Relationship Id="rId199" Type="http://schemas.openxmlformats.org/officeDocument/2006/relationships/image" Target="media/image39.jpeg"/><Relationship Id="rId203" Type="http://schemas.openxmlformats.org/officeDocument/2006/relationships/image" Target="media/image43.jpeg"/><Relationship Id="rId208" Type="http://schemas.openxmlformats.org/officeDocument/2006/relationships/image" Target="media/image48.jpeg"/><Relationship Id="rId19" Type="http://schemas.openxmlformats.org/officeDocument/2006/relationships/chart" Target="charts/chart5.xml"/><Relationship Id="rId224" Type="http://schemas.openxmlformats.org/officeDocument/2006/relationships/image" Target="media/image64.jpeg"/><Relationship Id="rId14" Type="http://schemas.openxmlformats.org/officeDocument/2006/relationships/hyperlink" Target="http://twbusiness.nat.gov.tw/page.do?id=16" TargetMode="External"/><Relationship Id="rId30" Type="http://schemas.openxmlformats.org/officeDocument/2006/relationships/footer" Target="footer4.xml"/><Relationship Id="rId35" Type="http://schemas.openxmlformats.org/officeDocument/2006/relationships/hyperlink" Target="http://www.qtrade-b2b.com/" TargetMode="External"/><Relationship Id="rId56" Type="http://schemas.openxmlformats.org/officeDocument/2006/relationships/diagramLayout" Target="diagrams/layout3.xml"/><Relationship Id="rId77" Type="http://schemas.openxmlformats.org/officeDocument/2006/relationships/hyperlink" Target="http://technews.tw/2014/08/06/microsoft-expected-set-data-center-in-india/" TargetMode="External"/><Relationship Id="rId100" Type="http://schemas.openxmlformats.org/officeDocument/2006/relationships/hyperlink" Target="http://www.ey.gov.tw/policy8/cp.aspx?n=8E8DE47D1B703E07" TargetMode="External"/><Relationship Id="rId105" Type="http://schemas.openxmlformats.org/officeDocument/2006/relationships/hyperlink" Target="https://tw.news.yahoo.com/%E6%9D%8E%E6%B7%B3%E5%B0%88%E6%AC%84-%E6%96%B0%E5%8D%97%E5%90%91%E6%94%BF%E7%AD%96-%E9%97%9C%E9%8D%B5%E5%9C%A8%E6%96%BC-%E5%BF%83-%E8%80%8C%E4%B8%8D%E6%98%AF-%E6%96%B0-224000850.html" TargetMode="External"/><Relationship Id="rId126" Type="http://schemas.openxmlformats.org/officeDocument/2006/relationships/hyperlink" Target="http://www.i-likesun.com/news.php?store=energy&amp;no=no&amp;id=1013&amp;sub=PV%20News&amp;sub1=%E5%A4%AA%E9%99%BD%E8%83%BD&amp;sub2=%E6%9D%B1%E5%8D%97%E4%BA%9E%E5%A4%AA%E9%99%BD%E8%83%BD%E5%89%8D%E6%99%AF%E7%9C%8B%E5%A5%BD%E5%B8%B6%E5%8B%95%E6%B3%B0%E5%9C%8B%E5%A4%A7%E5%9E%8B%E9%9B%BB%E5%BB%A0%E5%BB%BA%E8%A8%AD%E6%BD%AE" TargetMode="External"/><Relationship Id="rId147" Type="http://schemas.openxmlformats.org/officeDocument/2006/relationships/hyperlink" Target="http://www.taiwangreenenergy.org.tw/Domain/domain-7.aspx" TargetMode="External"/><Relationship Id="rId168" Type="http://schemas.openxmlformats.org/officeDocument/2006/relationships/hyperlink" Target="http://www.nownews.com/n/2016/04/22/2072763" TargetMode="External"/><Relationship Id="rId8" Type="http://schemas.openxmlformats.org/officeDocument/2006/relationships/footer" Target="footer1.xml"/><Relationship Id="rId51" Type="http://schemas.openxmlformats.org/officeDocument/2006/relationships/diagramLayout" Target="diagrams/layout2.xml"/><Relationship Id="rId72" Type="http://schemas.openxmlformats.org/officeDocument/2006/relationships/image" Target="media/image17.png"/><Relationship Id="rId93" Type="http://schemas.openxmlformats.org/officeDocument/2006/relationships/hyperlink" Target="https://www.moea.gov.tw/MNS/populace/news/News.aspx?kind=1&amp;menu_id=40&amp;news_id=40520" TargetMode="External"/><Relationship Id="rId98" Type="http://schemas.openxmlformats.org/officeDocument/2006/relationships/hyperlink" Target="http://news.ltn.com.tw/news/life/breakingnews/1860805" TargetMode="External"/><Relationship Id="rId121" Type="http://schemas.openxmlformats.org/officeDocument/2006/relationships/hyperlink" Target="http://cii.nthu.edu.tw/index.php?option=com_wrapper&amp;view=wrapper&amp;Itemid=334" TargetMode="External"/><Relationship Id="rId142" Type="http://schemas.openxmlformats.org/officeDocument/2006/relationships/hyperlink" Target="http://info.taiwantrade.com/CH/bizsearchdetail/8288317/C?keyword0=" TargetMode="External"/><Relationship Id="rId163" Type="http://schemas.openxmlformats.org/officeDocument/2006/relationships/hyperlink" Target="http://www2.itis.org.tw/netreport/NetReport_Detail.aspx?rpno=28868166" TargetMode="External"/><Relationship Id="rId184" Type="http://schemas.openxmlformats.org/officeDocument/2006/relationships/image" Target="media/image24.jpeg"/><Relationship Id="rId189" Type="http://schemas.openxmlformats.org/officeDocument/2006/relationships/image" Target="media/image29.png"/><Relationship Id="rId219" Type="http://schemas.openxmlformats.org/officeDocument/2006/relationships/image" Target="media/image59.jpeg"/><Relationship Id="rId3" Type="http://schemas.openxmlformats.org/officeDocument/2006/relationships/styles" Target="styles.xml"/><Relationship Id="rId214" Type="http://schemas.openxmlformats.org/officeDocument/2006/relationships/image" Target="media/image54.jpeg"/><Relationship Id="rId25" Type="http://schemas.openxmlformats.org/officeDocument/2006/relationships/diagramColors" Target="diagrams/colors1.xml"/><Relationship Id="rId46" Type="http://schemas.openxmlformats.org/officeDocument/2006/relationships/image" Target="media/image8.png"/><Relationship Id="rId67" Type="http://schemas.openxmlformats.org/officeDocument/2006/relationships/image" Target="media/image12.png"/><Relationship Id="rId116" Type="http://schemas.openxmlformats.org/officeDocument/2006/relationships/hyperlink" Target="http://www.cdri.org.tw/content/news/news01_in.aspx?sid=118" TargetMode="External"/><Relationship Id="rId137" Type="http://schemas.openxmlformats.org/officeDocument/2006/relationships/hyperlink" Target="http://npl.ly.gov.tw/npl/report/900425/5.pdf" TargetMode="External"/><Relationship Id="rId158" Type="http://schemas.openxmlformats.org/officeDocument/2006/relationships/hyperlink" Target="http://info.taiwantrade.com/CH/bizsearchdetail/7812189/C?keyword0" TargetMode="External"/><Relationship Id="rId20" Type="http://schemas.openxmlformats.org/officeDocument/2006/relationships/chart" Target="charts/chart6.xml"/><Relationship Id="rId41" Type="http://schemas.openxmlformats.org/officeDocument/2006/relationships/image" Target="media/image5.jpeg"/><Relationship Id="rId62" Type="http://schemas.openxmlformats.org/officeDocument/2006/relationships/diagramQuickStyle" Target="diagrams/quickStyle4.xml"/><Relationship Id="rId83" Type="http://schemas.openxmlformats.org/officeDocument/2006/relationships/hyperlink" Target="http://www.egov4dev.org/success/definitions.shtml" TargetMode="External"/><Relationship Id="rId88" Type="http://schemas.openxmlformats.org/officeDocument/2006/relationships/hyperlink" Target="http://www.chinatimes.com/newspapers/20150504000170-260204" TargetMode="External"/><Relationship Id="rId111" Type="http://schemas.openxmlformats.org/officeDocument/2006/relationships/hyperlink" Target="http://www.coolloud.org.tw/node/66265" TargetMode="External"/><Relationship Id="rId132" Type="http://schemas.openxmlformats.org/officeDocument/2006/relationships/hyperlink" Target="http://udn.com/news/story/7253/1767085-%E6%96%B0%E6%97%A5%E5%85%89%EF%BC%9A%E4%B8%8B%E5%8D%8A%E5%B9%B4%E6%B2%92%E6%82%B2%E8%A7%80%E7%90%86%E7%94%B1" TargetMode="External"/><Relationship Id="rId153" Type="http://schemas.openxmlformats.org/officeDocument/2006/relationships/hyperlink" Target="http://www.tier.org.tw/comment/tiermon201508.aspx" TargetMode="External"/><Relationship Id="rId174" Type="http://schemas.openxmlformats.org/officeDocument/2006/relationships/hyperlink" Target="http://smartcity.jakarta.go.id/" TargetMode="External"/><Relationship Id="rId179" Type="http://schemas.openxmlformats.org/officeDocument/2006/relationships/image" Target="media/image20.png"/><Relationship Id="rId195" Type="http://schemas.openxmlformats.org/officeDocument/2006/relationships/image" Target="media/image35.jpeg"/><Relationship Id="rId209" Type="http://schemas.openxmlformats.org/officeDocument/2006/relationships/image" Target="media/image49.jpeg"/><Relationship Id="rId190" Type="http://schemas.openxmlformats.org/officeDocument/2006/relationships/image" Target="media/image30.png"/><Relationship Id="rId204" Type="http://schemas.openxmlformats.org/officeDocument/2006/relationships/image" Target="media/image44.jpeg"/><Relationship Id="rId220" Type="http://schemas.openxmlformats.org/officeDocument/2006/relationships/image" Target="media/image60.jpeg"/><Relationship Id="rId225" Type="http://schemas.openxmlformats.org/officeDocument/2006/relationships/image" Target="media/image65.jpeg"/><Relationship Id="rId15" Type="http://schemas.openxmlformats.org/officeDocument/2006/relationships/hyperlink" Target="http://www.moeaic.gov.tw/system_external/ctlr?PRO=PubsCateLoad&amp;MET=&amp;page=1&amp;lang=0" TargetMode="External"/><Relationship Id="rId36" Type="http://schemas.openxmlformats.org/officeDocument/2006/relationships/hyperlink" Target="http://www.lazada.com.ph/" TargetMode="External"/><Relationship Id="rId57" Type="http://schemas.openxmlformats.org/officeDocument/2006/relationships/diagramQuickStyle" Target="diagrams/quickStyle3.xml"/><Relationship Id="rId106" Type="http://schemas.openxmlformats.org/officeDocument/2006/relationships/hyperlink" Target="http://www.nextmag.com.tw/breaking-news/news/20150225/15260745" TargetMode="External"/><Relationship Id="rId127" Type="http://schemas.openxmlformats.org/officeDocument/2006/relationships/hyperlink" Target="http://www.taitraesource.com/total01.asp" TargetMode="External"/><Relationship Id="rId10" Type="http://schemas.openxmlformats.org/officeDocument/2006/relationships/footer" Target="footer2.xml"/><Relationship Id="rId31" Type="http://schemas.openxmlformats.org/officeDocument/2006/relationships/image" Target="media/image3.png"/><Relationship Id="rId52" Type="http://schemas.openxmlformats.org/officeDocument/2006/relationships/diagramQuickStyle" Target="diagrams/quickStyle2.xml"/><Relationship Id="rId73" Type="http://schemas.openxmlformats.org/officeDocument/2006/relationships/hyperlink" Target="http://www.gartner.com/newsroom/id/3308117" TargetMode="External"/><Relationship Id="rId78" Type="http://schemas.openxmlformats.org/officeDocument/2006/relationships/hyperlink" Target="https://www.cia.gov/library/publications/the-world-factbook/geos/print_in.html" TargetMode="External"/><Relationship Id="rId94" Type="http://schemas.openxmlformats.org/officeDocument/2006/relationships/hyperlink" Target="https://eshop.cht.com.tw/Web/Enterprise/Product/Details?megaID=05ACCAFA-D877-4FF2-BAB4-401CB6F472F3" TargetMode="External"/><Relationship Id="rId99" Type="http://schemas.openxmlformats.org/officeDocument/2006/relationships/hyperlink" Target="http://www.ey.gov.tw/state/News_Content3.aspx?n=3F00F60B9FC304D7&amp;s=2FE35E5B857F7A92" TargetMode="External"/><Relationship Id="rId101" Type="http://schemas.openxmlformats.org/officeDocument/2006/relationships/hyperlink" Target="http://info.taiwantrade.com/CH/bizsearchdetail/371821/I?keyword0=%E9%9B%BB%E5%AD%90%E5%95%86%E5%8B%99%E5%90%8D%E5%AE%B6%E5%B0%88%E6%AC%84" TargetMode="External"/><Relationship Id="rId122" Type="http://schemas.openxmlformats.org/officeDocument/2006/relationships/hyperlink" Target="http://www.asmag.com.tw/article/article_detail.aspx?aid=9797" TargetMode="External"/><Relationship Id="rId143" Type="http://schemas.openxmlformats.org/officeDocument/2006/relationships/hyperlink" Target="https://mic.iii.org.tw/micnew/IndustryObservations_PressRelease02.aspx?sqno=393" TargetMode="External"/><Relationship Id="rId148" Type="http://schemas.openxmlformats.org/officeDocument/2006/relationships/hyperlink" Target="http://www.energytrend.com.tw/news/20150521-11330.html" TargetMode="External"/><Relationship Id="rId164" Type="http://schemas.openxmlformats.org/officeDocument/2006/relationships/hyperlink" Target="http://www2.itis.org.tw/netReport/NetReport_Detail.aspx?rpno=701876721" TargetMode="External"/><Relationship Id="rId169" Type="http://schemas.openxmlformats.org/officeDocument/2006/relationships/hyperlink" Target="http://www.appledaily.com.tw/appledaily/article/finance/20160524/37230742/" TargetMode="External"/><Relationship Id="rId185"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https://upload.wikimedia.org/wikipedia/commons/thumb/6/6d/Java_High-speed_Rail_Indonesia.svg/842px-Java_High-speed_Rail_Indonesia.svg.png" TargetMode="External"/><Relationship Id="rId210" Type="http://schemas.openxmlformats.org/officeDocument/2006/relationships/image" Target="media/image50.jpeg"/><Relationship Id="rId215" Type="http://schemas.openxmlformats.org/officeDocument/2006/relationships/image" Target="media/image55.jpeg"/><Relationship Id="rId26" Type="http://schemas.microsoft.com/office/2007/relationships/diagramDrawing" Target="diagrams/drawing1.xml"/><Relationship Id="rId47" Type="http://schemas.openxmlformats.org/officeDocument/2006/relationships/image" Target="media/image9.png"/><Relationship Id="rId68" Type="http://schemas.openxmlformats.org/officeDocument/2006/relationships/image" Target="media/image13.png"/><Relationship Id="rId89" Type="http://schemas.openxmlformats.org/officeDocument/2006/relationships/hyperlink" Target="https://www.freeway.gov.tw/UserFiles/File/2016%E5%B9%B4%E5%90%84%E6%9C%88%E4%BB%BDETC%E9%81%8B%E4%BD%9C%E7%8B%80%E6%B3%81%E7%B8%BD%E8%A1%A81050704.pdf" TargetMode="External"/><Relationship Id="rId112" Type="http://schemas.openxmlformats.org/officeDocument/2006/relationships/hyperlink" Target="http://oplab.im.ntu.edu.tw/csimweb/index.php/Web/ICIMPublishInquiry?currentpage=26" TargetMode="External"/><Relationship Id="rId133" Type="http://schemas.openxmlformats.org/officeDocument/2006/relationships/hyperlink" Target="http://udn.com/news/story/7238/1225944-ETC%E5%BE%81%E5%8D%B0%E5%B0%BC-%E9%9B%85%E5%8A%A0%E9%81%94%E3%80%8C%E5%A0%B5%E5%9F%8E%E3%80%8D%E6%9C%89%E8%A7%A3" TargetMode="External"/><Relationship Id="rId154" Type="http://schemas.openxmlformats.org/officeDocument/2006/relationships/hyperlink" Target="http://www.tier.org.tw/comment/pec5010.aspx?GUID=affe38d2-d3c5-4d0f-9621-e9fccbdb4bb4" TargetMode="External"/><Relationship Id="rId175" Type="http://schemas.openxmlformats.org/officeDocument/2006/relationships/image" Target="media/image18.png"/><Relationship Id="rId196" Type="http://schemas.openxmlformats.org/officeDocument/2006/relationships/image" Target="media/image36.jpeg"/><Relationship Id="rId200" Type="http://schemas.openxmlformats.org/officeDocument/2006/relationships/image" Target="media/image40.jpeg"/><Relationship Id="rId16" Type="http://schemas.openxmlformats.org/officeDocument/2006/relationships/footer" Target="footer3.xml"/><Relationship Id="rId221" Type="http://schemas.openxmlformats.org/officeDocument/2006/relationships/image" Target="media/image61.jpeg"/><Relationship Id="rId37" Type="http://schemas.openxmlformats.org/officeDocument/2006/relationships/hyperlink" Target="http://www.ebay.com/" TargetMode="External"/><Relationship Id="rId58" Type="http://schemas.openxmlformats.org/officeDocument/2006/relationships/diagramColors" Target="diagrams/colors3.xml"/><Relationship Id="rId79" Type="http://schemas.openxmlformats.org/officeDocument/2006/relationships/hyperlink" Target="http://www.economist.com/news/leaders/21693925-battle-indias-e-commerce-market-about-much-more-retailing-india-online" TargetMode="External"/><Relationship Id="rId102" Type="http://schemas.openxmlformats.org/officeDocument/2006/relationships/hyperlink" Target="http://www.naipo.com/Portals/1/web_tw/Knowledge_Center/Industry_Economy/IPNC_160401_0702.htm" TargetMode="External"/><Relationship Id="rId123" Type="http://schemas.openxmlformats.org/officeDocument/2006/relationships/hyperlink" Target="http://www.nspark.org.tw/webfiles/files/MIC_0914_02.pdf" TargetMode="External"/><Relationship Id="rId144" Type="http://schemas.openxmlformats.org/officeDocument/2006/relationships/hyperlink" Target="https://tw.stock.yahoo.com/news_content/url/d/a/20150714/%E4%B8%8D%E8%AE%93%E4%B8%AD%E7%BE%8E%E6%99%B6%E5%B0%88%E7%BE%8E-%E4%BA%94%E9%82%A6%E8%83%BD%E6%BA%90%E6%8A%95%E8%B3%87%E8%8F%B2%E5%BE%8B%E8%B3%9330mw%E9%9B%BB%E5%BB%A0-5%E5%B9%B4%E5%9B%9E%E6%94%B6-091024258.html" TargetMode="External"/><Relationship Id="rId90" Type="http://schemas.openxmlformats.org/officeDocument/2006/relationships/hyperlink" Target="https://www.freeway.gov.tw/Publish.aspx?cnid=193&amp;p=6396" TargetMode="External"/><Relationship Id="rId165" Type="http://schemas.openxmlformats.org/officeDocument/2006/relationships/hyperlink" Target="http://talk.ltn.com.tw/article/paper/970713" TargetMode="External"/><Relationship Id="rId186" Type="http://schemas.openxmlformats.org/officeDocument/2006/relationships/image" Target="media/image26.jpeg"/></Relationships>
</file>

<file path=word/_rels/footnotes.xml.rels><?xml version="1.0" encoding="UTF-8" standalone="yes"?>
<Relationships xmlns="http://schemas.openxmlformats.org/package/2006/relationships"><Relationship Id="rId13" Type="http://schemas.openxmlformats.org/officeDocument/2006/relationships/hyperlink" Target="http://www.tier.org.tw/achievements/pec3010.aspx?GUID=bbe5f513-ed61-477d-ae77-9597c8e86aa2" TargetMode="External"/><Relationship Id="rId18" Type="http://schemas.openxmlformats.org/officeDocument/2006/relationships/hyperlink" Target="http://www.fenc.com/magazine/show_faq_new.aspx?SN=8493" TargetMode="External"/><Relationship Id="rId26" Type="http://schemas.openxmlformats.org/officeDocument/2006/relationships/hyperlink" Target="http://ids.asianmedia.com.tw/new_article.asp?ar_id=24639" TargetMode="External"/><Relationship Id="rId39" Type="http://schemas.openxmlformats.org/officeDocument/2006/relationships/hyperlink" Target="http://www.ey.gov.tw/policy8/cp.aspx?n=8E8DE47D1B703E07" TargetMode="External"/><Relationship Id="rId21" Type="http://schemas.openxmlformats.org/officeDocument/2006/relationships/hyperlink" Target="http://www.egov4dev.org/success/definitions.shtml" TargetMode="External"/><Relationship Id="rId34" Type="http://schemas.openxmlformats.org/officeDocument/2006/relationships/hyperlink" Target="http://udn.com/news/story/3/1626007" TargetMode="External"/><Relationship Id="rId42" Type="http://schemas.openxmlformats.org/officeDocument/2006/relationships/hyperlink" Target="http://web3.moeaboe.gov.tw/ecw/populace/content/wHandMenuFile.ashx?menu_id=110" TargetMode="External"/><Relationship Id="rId47" Type="http://schemas.openxmlformats.org/officeDocument/2006/relationships/hyperlink" Target="http://news.ltn.com.tw/news/business/paper/1003346" TargetMode="External"/><Relationship Id="rId50" Type="http://schemas.openxmlformats.org/officeDocument/2006/relationships/hyperlink" Target="http://www.taiwangreenenergy.org.tw/Domain/domain-6.aspx" TargetMode="External"/><Relationship Id="rId55" Type="http://schemas.openxmlformats.org/officeDocument/2006/relationships/hyperlink" Target="http://www.naipo.com/Portals/1/web_tw/Knowledge_Center/Industry_Economy/IPNC_160401_0702.htm" TargetMode="External"/><Relationship Id="rId63" Type="http://schemas.openxmlformats.org/officeDocument/2006/relationships/hyperlink" Target="http://cii.nthu.edu.tw/index.php?option=com_wrapper&amp;view=wrapper&amp;Itemid=334" TargetMode="External"/><Relationship Id="rId68" Type="http://schemas.openxmlformats.org/officeDocument/2006/relationships/hyperlink" Target="http://www.i-likesun.com/news.php?store=energy&amp;no=no&amp;id=1013&amp;sub=PV%20News&amp;sub1=%E5%A4%AA%E9%99%BD%E8%83%BD&amp;sub2=%E6%9D%B1%E5%8D%97%E4%BA%9E%E5%A4%AA%E9%99%BD%E8%83%BD%E5%89%8D%E6%99%AF%E7%9C%8B%E5%A5%BD%E5%B8%B6%E5%8B%95%E6%B3%B0%E5%9C%8B%E5%A4%A7%E5%9E%8B%E9%9B%BB%E5%BB%A0%E5%BB%BA%E8%A8%AD%E6%BD%AE" TargetMode="External"/><Relationship Id="rId76" Type="http://schemas.openxmlformats.org/officeDocument/2006/relationships/hyperlink" Target="http://info.taiwantrade.com/CH/bizsearchdetail/7279201/C?keyword0" TargetMode="External"/><Relationship Id="rId84" Type="http://schemas.openxmlformats.org/officeDocument/2006/relationships/hyperlink" Target="http://www.nextmag.com.tw/breaking-news/news/20150225/15260745" TargetMode="External"/><Relationship Id="rId89" Type="http://schemas.openxmlformats.org/officeDocument/2006/relationships/hyperlink" Target="http://www.soul-tw.net/index/article/id/21656?&amp;page=1" TargetMode="External"/><Relationship Id="rId7" Type="http://schemas.openxmlformats.org/officeDocument/2006/relationships/hyperlink" Target="http://www.nownews.com/n/2016/04/22/2072763" TargetMode="External"/><Relationship Id="rId71" Type="http://schemas.openxmlformats.org/officeDocument/2006/relationships/hyperlink" Target="http://pv.energytrend.com.tw/news/20140310-7983.html" TargetMode="External"/><Relationship Id="rId2" Type="http://schemas.openxmlformats.org/officeDocument/2006/relationships/hyperlink" Target="http://www.sipa.org.tw/CHT/about_us.aspx" TargetMode="External"/><Relationship Id="rId16" Type="http://schemas.openxmlformats.org/officeDocument/2006/relationships/hyperlink" Target="https://www.freeway.gov.tw/Publish.aspx?cnid=193&amp;p=6396" TargetMode="External"/><Relationship Id="rId29" Type="http://schemas.openxmlformats.org/officeDocument/2006/relationships/hyperlink" Target="http://www.careernet.org.tw/n/Class-8480.html" TargetMode="External"/><Relationship Id="rId11" Type="http://schemas.openxmlformats.org/officeDocument/2006/relationships/hyperlink" Target="http://www.taitraesource.com/total01.asp" TargetMode="External"/><Relationship Id="rId24" Type="http://schemas.openxmlformats.org/officeDocument/2006/relationships/hyperlink" Target="http://oplab.im.ntu.edu.tw/csimweb/index.php/Web/ICIMPublishInquiry?currentpage=26" TargetMode="External"/><Relationship Id="rId32" Type="http://schemas.openxmlformats.org/officeDocument/2006/relationships/hyperlink" Target="http://www.tier.org.tw/comment/pec1010.aspx?GUID=958a7dfc-9a96-4e17-89b4-fac1d3debea8" TargetMode="External"/><Relationship Id="rId37" Type="http://schemas.openxmlformats.org/officeDocument/2006/relationships/hyperlink" Target="https://mic.iii.org.tw/micnew/IndustryObservations_PressRelease02.aspx?sqno=393" TargetMode="External"/><Relationship Id="rId40" Type="http://schemas.openxmlformats.org/officeDocument/2006/relationships/hyperlink" Target="http://www.tier.org.tw/comment/pec5010.aspx?GUID=affe38d2-d3c5-4d0f-9621-e9fccbdb4bb4" TargetMode="External"/><Relationship Id="rId45" Type="http://schemas.openxmlformats.org/officeDocument/2006/relationships/hyperlink" Target="http://www.appledaily.com.tw/appledaily/article/finance/20160524/37230742/" TargetMode="External"/><Relationship Id="rId53" Type="http://schemas.openxmlformats.org/officeDocument/2006/relationships/hyperlink" Target="http://www.chinatimes.com/realtimenews/20140312004400-260407" TargetMode="External"/><Relationship Id="rId58" Type="http://schemas.openxmlformats.org/officeDocument/2006/relationships/hyperlink" Target="http://www.mitac.com.tw/cn/pdf/P.21%20%E7%A5%9E%E9%80%9A%E6%99%BA%E6%85%A7%E6%A0%A1%E5%9C%92.pdf" TargetMode="External"/><Relationship Id="rId66" Type="http://schemas.openxmlformats.org/officeDocument/2006/relationships/hyperlink" Target="http://www.logisticnet.com.tw/newsCaseRunDetail.asp?id=150" TargetMode="External"/><Relationship Id="rId74" Type="http://schemas.openxmlformats.org/officeDocument/2006/relationships/hyperlink" Target="http://pv.energytrend.com.tw/news/20150911-12097.html" TargetMode="External"/><Relationship Id="rId79" Type="http://schemas.openxmlformats.org/officeDocument/2006/relationships/hyperlink" Target="https://www.artc.org.tw/chinese/03_service/03_02detail.aspx?pid=2380" TargetMode="External"/><Relationship Id="rId87" Type="http://schemas.openxmlformats.org/officeDocument/2006/relationships/hyperlink" Target="http://news.ltn.com.tw/news/life/breakingnews/1860805" TargetMode="External"/><Relationship Id="rId5" Type="http://schemas.openxmlformats.org/officeDocument/2006/relationships/hyperlink" Target="https://tw.news.yahoo.com/%E6%9D%8E%E6%B7%B3%E5%B0%88%E6%AC%84-%E6%96%B0%E5%8D%97%E5%90%91%E6%94%BF%E7%AD%96-%E9%97%9C%E9%8D%B5%E5%9C%A8%E6%96%BC-%E5%BF%83-%E8%80%8C%E4%B8%8D%E6%98%AF-%E6%96%B0-224000850.html" TargetMode="External"/><Relationship Id="rId61" Type="http://schemas.openxmlformats.org/officeDocument/2006/relationships/hyperlink" Target="http://www.tier.org.tw/comment/pec1010.aspx?GUID=86c4a348-e5f9-410e-9c71-b036699f4ead" TargetMode="External"/><Relationship Id="rId82" Type="http://schemas.openxmlformats.org/officeDocument/2006/relationships/hyperlink" Target="https://www.edb.gov.sg/content/edb/en/industries/industries/healthcare.html" TargetMode="External"/><Relationship Id="rId90" Type="http://schemas.openxmlformats.org/officeDocument/2006/relationships/hyperlink" Target="http://www.faobserver.com/NewsInfo.aspx?id=9269" TargetMode="External"/><Relationship Id="rId19" Type="http://schemas.openxmlformats.org/officeDocument/2006/relationships/hyperlink" Target="http://money.udn.com/money/story/561&#12290;/1756088-%E9%81%A0%E9%80%9AETC-%E6%8B%9A%E6%95%B4%E5%BB%A0%E8%BC%B8%E5%87%BA%E6%B5%B7%E5%A4%96" TargetMode="External"/><Relationship Id="rId14" Type="http://schemas.openxmlformats.org/officeDocument/2006/relationships/hyperlink" Target="http://www.ctasc.org.tw/02publication/APEC-172-p06-10.pdf" TargetMode="External"/><Relationship Id="rId22" Type="http://schemas.openxmlformats.org/officeDocument/2006/relationships/hyperlink" Target="http://www.ntpu.edu.tw/~pa/news/95news/attachment/951215/951215-05.pdf" TargetMode="External"/><Relationship Id="rId27" Type="http://schemas.openxmlformats.org/officeDocument/2006/relationships/hyperlink" Target="http://www.asmag.com.tw/article/article_detail.aspx?aid=9797" TargetMode="External"/><Relationship Id="rId30" Type="http://schemas.openxmlformats.org/officeDocument/2006/relationships/hyperlink" Target="http://www.chinatimes.com/realtimenews/20160525002104-260410" TargetMode="External"/><Relationship Id="rId35" Type="http://schemas.openxmlformats.org/officeDocument/2006/relationships/hyperlink" Target="http://www.chinatimes.com/newspapers/20150504000170-260204" TargetMode="External"/><Relationship Id="rId43" Type="http://schemas.openxmlformats.org/officeDocument/2006/relationships/hyperlink" Target="http://pv.energytrend.com.tw/news/20150123-10415.html" TargetMode="External"/><Relationship Id="rId48" Type="http://schemas.openxmlformats.org/officeDocument/2006/relationships/hyperlink" Target="http://web3.moeaboe.gov.tw/ecw/populace/content/wHandMenuFile.ashx?menu_id=110" TargetMode="External"/><Relationship Id="rId56" Type="http://schemas.openxmlformats.org/officeDocument/2006/relationships/hyperlink" Target="http://udn.com/news/story/7238/1225944-ETC%E5%BE%81%E5%8D%B0%E5%B0%BC-%E9%9B%85%E5%8A%A0%E9%81%94%E3%80%8C%E5%A0%B5%E5%9F%8E%E3%80%8D%E6%9C%89%E8%A7%A3" TargetMode="External"/><Relationship Id="rId64" Type="http://schemas.openxmlformats.org/officeDocument/2006/relationships/hyperlink" Target="http://info.taiwantrade.com/CH/bizsearchdetail/371821/I?keyword0=%E9%9B%BB%E5%AD%90%E5%95%86%E5%8B%99%E5%90%8D%E5%AE%B6%E5%B0%88%E6%AC%84%20" TargetMode="External"/><Relationship Id="rId69" Type="http://schemas.openxmlformats.org/officeDocument/2006/relationships/hyperlink" Target="http://pv.energytrend.com.tw/news/20150716-11682.html" TargetMode="External"/><Relationship Id="rId77" Type="http://schemas.openxmlformats.org/officeDocument/2006/relationships/hyperlink" Target="http://udn.com/news/story/7240/1830828-%E5%8D%B0%E5%BA%A6%E6%8B%9A%E7%85%A7%E6%98%8E-%E5%8F%B0%E5%BB%A0%E6%90%B6%E5%95%86%E6%A9%9F" TargetMode="External"/><Relationship Id="rId8" Type="http://schemas.openxmlformats.org/officeDocument/2006/relationships/hyperlink" Target="http://udn.com/news/story/9485/1695707-%E6%96%B0%E5%8D%97%E5%90%91%E6%94%BF%E7%AD%96%E5%AE%9A%E8%AA%BF-%E9%BB%83%E5%BF%97%E8%8A%B3%EF%BC%9A%E6%8A%8A%E6%9D%B1%E5%8D%94%E7%95%B6%E5%85%A7%E9%9C%80%E5%BB%B6%E4%BC%B8" TargetMode="External"/><Relationship Id="rId51" Type="http://schemas.openxmlformats.org/officeDocument/2006/relationships/hyperlink" Target="http://www.taiwangreenenergy.org.tw/Domain/domain-7.aspx" TargetMode="External"/><Relationship Id="rId72" Type="http://schemas.openxmlformats.org/officeDocument/2006/relationships/hyperlink" Target="https://tw.stock.yahoo.com/news_content/url/d/a/20150714/%E4%B8%8D%E8%AE%93%E4%B8%AD%E7%BE%8E%E6%99%B6%E5%B0%88%E7%BE%8E-%E4%BA%94%E9%82%A6%E8%83%BD%E6%BA%90%E6%8A%95%E8%B3%87%E8%8F%B2%E5%BE%8B%E8%B3%9330mw%E9%9B%BB%E5%BB%A0-5%E5%B9%B4%E5%9B%9E%E6%94%B6-091024258.html" TargetMode="External"/><Relationship Id="rId80" Type="http://schemas.openxmlformats.org/officeDocument/2006/relationships/hyperlink" Target="http://info.taiwantrade.com/CH/bizsearchdetail/7812189/C?keyword0" TargetMode="External"/><Relationship Id="rId85" Type="http://schemas.openxmlformats.org/officeDocument/2006/relationships/hyperlink" Target="http://www.tier.org.tw/comment/pec1010.aspx?GUID=e537295a-e0ec-4ae1-8240-6a0a4271f1d3" TargetMode="External"/><Relationship Id="rId3" Type="http://schemas.openxmlformats.org/officeDocument/2006/relationships/hyperlink" Target="http://www.cdri.org.tw/content/news/news01_in.aspx?sid=118" TargetMode="External"/><Relationship Id="rId12" Type="http://schemas.openxmlformats.org/officeDocument/2006/relationships/hyperlink" Target="https://www.cia.gov/library/publications/the-world-factbook/geos/print_in.html" TargetMode="External"/><Relationship Id="rId17" Type="http://schemas.openxmlformats.org/officeDocument/2006/relationships/hyperlink" Target="https://www.freeway.gov.tw/UserFiles/File/2016%E5%B9%B4%E5%90%84%E6%9C%88%E4%BB%BDETC%E9%81%8B%E4%BD%9C%E7%8B%80%E6%B3%81%E7%B8%BD%E8%A1%A81050704.pdf" TargetMode="External"/><Relationship Id="rId25" Type="http://schemas.openxmlformats.org/officeDocument/2006/relationships/hyperlink" Target="https://www.moea.gov.tw/MNS/populace/news/News.aspx?kind=1&amp;menu_id=40&amp;news_id=40520" TargetMode="External"/><Relationship Id="rId33" Type="http://schemas.openxmlformats.org/officeDocument/2006/relationships/hyperlink" Target="http://www.chinatimes.com/realtimenews/20160425003998-260410" TargetMode="External"/><Relationship Id="rId38" Type="http://schemas.openxmlformats.org/officeDocument/2006/relationships/hyperlink" Target="http://www.ithome.com.tw/article/94084" TargetMode="External"/><Relationship Id="rId46" Type="http://schemas.openxmlformats.org/officeDocument/2006/relationships/hyperlink" Target="http://news.ltn.com.tw/news/business/paper/1003346" TargetMode="External"/><Relationship Id="rId59" Type="http://schemas.openxmlformats.org/officeDocument/2006/relationships/hyperlink" Target="http://www.iii.org.tw/Press/NewsDtl.aspx?nsp_sqno=1738&amp;fm_sqno=14" TargetMode="External"/><Relationship Id="rId67" Type="http://schemas.openxmlformats.org/officeDocument/2006/relationships/hyperlink" Target="http://www.i-likesun.com/news.php?store=energy&amp;no=no&amp;id=1470&amp;sub=PV+News&amp;sub1=%E5%A4%AA%E9%99%BD%E8%83%BD&amp;sub2=%E5%8F%AF%E5%86%8D%E7%94%9F%E8%83%BD%E6%BA%90%E9%81%94%E5%88%B0%E5%8D%B0%E5%BA%A6%E8%83%BD%E6%BA%90%E7%B5%90%E6%A7%8B%E7%9A%845.7%EF%BC%85" TargetMode="External"/><Relationship Id="rId20" Type="http://schemas.openxmlformats.org/officeDocument/2006/relationships/hyperlink" Target="https://publicadministration.un.org/publications/content/PDFs/E-Library%20Archives/World%20Public%20Sector%20Report%20series/World%20Public%20Sector%20Report.2003.pdf" TargetMode="External"/><Relationship Id="rId41" Type="http://schemas.openxmlformats.org/officeDocument/2006/relationships/hyperlink" Target="http://web3.moeaboe.gov.tw/ecw/populace/content/wHandMenuFile.ashx?menu_id=110" TargetMode="External"/><Relationship Id="rId54" Type="http://schemas.openxmlformats.org/officeDocument/2006/relationships/hyperlink" Target="http://www.ey.gov.tw/state/News_Content3.aspx?n=3F00F60B9FC304D7&amp;s=2FE35E5B857F7A92" TargetMode="External"/><Relationship Id="rId62" Type="http://schemas.openxmlformats.org/officeDocument/2006/relationships/hyperlink" Target="http://www.economist.com/news/leaders/21693925-battle-indias-e-commerce-market-about-much-more-retailing-india-online" TargetMode="External"/><Relationship Id="rId70" Type="http://schemas.openxmlformats.org/officeDocument/2006/relationships/hyperlink" Target="http://info.taiwantrade.com/CH/bizsearchdetail/7606521/C?keyword0" TargetMode="External"/><Relationship Id="rId75" Type="http://schemas.openxmlformats.org/officeDocument/2006/relationships/hyperlink" Target="http://www.ledinside.com.tw/research/20160412-32372.html" TargetMode="External"/><Relationship Id="rId83" Type="http://schemas.openxmlformats.org/officeDocument/2006/relationships/hyperlink" Target="http://udn.com/news/story/7241/1839502" TargetMode="External"/><Relationship Id="rId88" Type="http://schemas.openxmlformats.org/officeDocument/2006/relationships/hyperlink" Target="http://cii.nthu.edu.tw/index.php?option=com_wrapper&amp;view=wrapper&amp;Itemid=334" TargetMode="External"/><Relationship Id="rId91" Type="http://schemas.openxmlformats.org/officeDocument/2006/relationships/hyperlink" Target="http://lw.xinhuanet.com/htm/content_2801.htm" TargetMode="External"/><Relationship Id="rId1" Type="http://schemas.openxmlformats.org/officeDocument/2006/relationships/hyperlink" Target="http://www.ey.gov.tw/News_Content2.aspx?n=F8BAEBE9491FC830&amp;s=82400B39366A678A" TargetMode="External"/><Relationship Id="rId6" Type="http://schemas.openxmlformats.org/officeDocument/2006/relationships/hyperlink" Target="http://talk.ltn.com.tw/article/paper/970713" TargetMode="External"/><Relationship Id="rId15" Type="http://schemas.openxmlformats.org/officeDocument/2006/relationships/hyperlink" Target="http://ejournal.stpi.narl.org.tw/NSC_INDEX/Journal/EJ0001/10012/10012-04.pdf" TargetMode="External"/><Relationship Id="rId23" Type="http://schemas.openxmlformats.org/officeDocument/2006/relationships/hyperlink" Target="http://www.ndc.gov.tw/Content_List.aspx?n=E0C48B7F39ACB61F" TargetMode="External"/><Relationship Id="rId28" Type="http://schemas.openxmlformats.org/officeDocument/2006/relationships/hyperlink" Target="https://www.moea.gov.tw/MNS/populace/news/News.aspx?kind=1&amp;menu_id=40&amp;news_id=40520" TargetMode="External"/><Relationship Id="rId36" Type="http://schemas.openxmlformats.org/officeDocument/2006/relationships/hyperlink" Target="http://www.tier.org.tw/comment/tiermon201508.aspx" TargetMode="External"/><Relationship Id="rId49" Type="http://schemas.openxmlformats.org/officeDocument/2006/relationships/hyperlink" Target="http://web3.moeaboe.gov.tw/ecw/populace/content/wHandMenuFile.ashx?menu_id=110" TargetMode="External"/><Relationship Id="rId57" Type="http://schemas.openxmlformats.org/officeDocument/2006/relationships/hyperlink" Target="http://www.find.org.tw/market_info.aspx?n_ID=4398" TargetMode="External"/><Relationship Id="rId10" Type="http://schemas.openxmlformats.org/officeDocument/2006/relationships/hyperlink" Target="http://www.chinatimes.com/newspapers/20160223000050-260202" TargetMode="External"/><Relationship Id="rId31" Type="http://schemas.openxmlformats.org/officeDocument/2006/relationships/hyperlink" Target="http://www.cdri.org.tw/content/news/news01_in.aspx?sid=118" TargetMode="External"/><Relationship Id="rId44" Type="http://schemas.openxmlformats.org/officeDocument/2006/relationships/hyperlink" Target="http://udn.com/news/story/7253/1767085-%E6%96%B0%E6%97%A5%E5%85%89%EF%BC%9A%E4%B8%8B%E5%8D%8A%E5%B9%B4%E6%B2%92%E6%82%B2%E8%A7%80%E7%90%86%E7%94%B1" TargetMode="External"/><Relationship Id="rId52" Type="http://schemas.openxmlformats.org/officeDocument/2006/relationships/hyperlink" Target="http://www.nspark.org.tw/webfiles/files/MIC_0914_02.pdf" TargetMode="External"/><Relationship Id="rId60" Type="http://schemas.openxmlformats.org/officeDocument/2006/relationships/hyperlink" Target="http://info.taiwantrade.com/CH/bizsearchdetail/8288317/C?keyword0=" TargetMode="External"/><Relationship Id="rId65" Type="http://schemas.openxmlformats.org/officeDocument/2006/relationships/hyperlink" Target="http://info.taiwantrade.com/CH/bizsearchdetail/358241/I%20" TargetMode="External"/><Relationship Id="rId73" Type="http://schemas.openxmlformats.org/officeDocument/2006/relationships/hyperlink" Target="http://info.taiwantrade.com/CH/bizsearchdetail/7731318/C?keyword0" TargetMode="External"/><Relationship Id="rId78" Type="http://schemas.openxmlformats.org/officeDocument/2006/relationships/hyperlink" Target="http://www.ledinside.com.tw/research/20160804-32888.html" TargetMode="External"/><Relationship Id="rId81" Type="http://schemas.openxmlformats.org/officeDocument/2006/relationships/hyperlink" Target="http://www.energytrend.com.tw/news/20150521-11330.html" TargetMode="External"/><Relationship Id="rId86" Type="http://schemas.openxmlformats.org/officeDocument/2006/relationships/hyperlink" Target="http://www.tier.org.tw/comment/pec5010.aspx?GUID=a8236e18-03fa-4a30-85f2-d3d021b2dd40" TargetMode="External"/><Relationship Id="rId4" Type="http://schemas.openxmlformats.org/officeDocument/2006/relationships/hyperlink" Target="http://npl.ly.gov.tw/npl/report/900425/5.pdf" TargetMode="External"/><Relationship Id="rId9" Type="http://schemas.openxmlformats.org/officeDocument/2006/relationships/hyperlink" Target="http://udn.com/news/story/7338/1686578-%E7%B6%93%E6%BF%9F%EF%BC%8F%E6%96%B0%E5%8D%97%E5%90%91%E6%94%BF%E7%AD%96-%E6%93%B4%E5%A4%A7%E6%A0%BC%E5%B1%80%E5%89%B5%E9%80%A0%E9%9B%99%E8%B4%8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ltLang="zh-TW"/>
          </a:p>
        </c:rich>
      </c:tx>
      <c:overlay val="0"/>
      <c:spPr>
        <a:noFill/>
        <a:ln>
          <a:noFill/>
        </a:ln>
        <a:effectLst/>
      </c:spPr>
    </c:title>
    <c:autoTitleDeleted val="0"/>
    <c:plotArea>
      <c:layout>
        <c:manualLayout>
          <c:layoutTarget val="inner"/>
          <c:xMode val="edge"/>
          <c:yMode val="edge"/>
          <c:x val="7.9675256099850031E-2"/>
          <c:y val="0.16394208313872025"/>
          <c:w val="0.89383786694373291"/>
          <c:h val="0.78468005604857538"/>
        </c:manualLayout>
      </c:layout>
      <c:barChart>
        <c:barDir val="bar"/>
        <c:grouping val="clustered"/>
        <c:varyColors val="0"/>
        <c:ser>
          <c:idx val="0"/>
          <c:order val="0"/>
          <c:tx>
            <c:strRef>
              <c:f>工作表1!$B$1</c:f>
              <c:strCache>
                <c:ptCount val="1"/>
                <c:pt idx="0">
                  <c:v>數列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工作表1!$A$2:$A$16</c:f>
              <c:numCache>
                <c:formatCode>General</c:formatCode>
                <c:ptCount val="14"/>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numCache>
            </c:numRef>
          </c:cat>
          <c:val>
            <c:numRef>
              <c:f>工作表1!$B$2:$B$16</c:f>
              <c:numCache>
                <c:formatCode>#,##0.0</c:formatCode>
                <c:ptCount val="14"/>
                <c:pt idx="0">
                  <c:v>20212.864862999999</c:v>
                </c:pt>
                <c:pt idx="1">
                  <c:v>25544.649150000001</c:v>
                </c:pt>
                <c:pt idx="2">
                  <c:v>26693.196383999999</c:v>
                </c:pt>
                <c:pt idx="3">
                  <c:v>29708.236409000001</c:v>
                </c:pt>
                <c:pt idx="4">
                  <c:v>24520.195511000002</c:v>
                </c:pt>
                <c:pt idx="5">
                  <c:v>28770.231325000001</c:v>
                </c:pt>
                <c:pt idx="6">
                  <c:v>38706.625044</c:v>
                </c:pt>
                <c:pt idx="7">
                  <c:v>30953.475130999999</c:v>
                </c:pt>
                <c:pt idx="8">
                  <c:v>32475.613697000001</c:v>
                </c:pt>
                <c:pt idx="9">
                  <c:v>34876.825092999999</c:v>
                </c:pt>
                <c:pt idx="10">
                  <c:v>43450.294806999998</c:v>
                </c:pt>
                <c:pt idx="11">
                  <c:v>47649.436821000003</c:v>
                </c:pt>
                <c:pt idx="12">
                  <c:v>53566.338319000002</c:v>
                </c:pt>
                <c:pt idx="13">
                  <c:v>58999.736321999997</c:v>
                </c:pt>
              </c:numCache>
            </c:numRef>
          </c:val>
          <c:extLst>
            <c:ext xmlns:c16="http://schemas.microsoft.com/office/drawing/2014/chart" uri="{C3380CC4-5D6E-409C-BE32-E72D297353CC}">
              <c16:uniqueId val="{00000000-5F58-4153-B886-F7F60115B219}"/>
            </c:ext>
          </c:extLst>
        </c:ser>
        <c:dLbls>
          <c:dLblPos val="outEnd"/>
          <c:showLegendKey val="0"/>
          <c:showVal val="1"/>
          <c:showCatName val="0"/>
          <c:showSerName val="0"/>
          <c:showPercent val="0"/>
          <c:showBubbleSize val="0"/>
        </c:dLbls>
        <c:gapWidth val="219"/>
        <c:axId val="531369056"/>
        <c:axId val="531368664"/>
        <c:extLst>
          <c:ext xmlns:c15="http://schemas.microsoft.com/office/drawing/2012/chart" uri="{02D57815-91ED-43cb-92C2-25804820EDAC}">
            <c15:filteredBarSeries>
              <c15:ser>
                <c:idx val="1"/>
                <c:order val="1"/>
                <c:tx>
                  <c:strRef>
                    <c:extLst>
                      <c:ext uri="{02D57815-91ED-43cb-92C2-25804820EDAC}">
                        <c15:formulaRef>
                          <c15:sqref>工作表1!$C$1</c15:sqref>
                        </c15:formulaRef>
                      </c:ext>
                    </c:extLst>
                    <c:strCache>
                      <c:ptCount val="1"/>
                      <c:pt idx="0">
                        <c:v>數列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TW"/>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工作表1!$A$2:$A$16</c15:sqref>
                        </c15:formulaRef>
                      </c:ext>
                    </c:extLst>
                    <c:numCache>
                      <c:formatCode>General</c:formatCode>
                      <c:ptCount val="14"/>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numCache>
                  </c:numRef>
                </c:cat>
                <c:val>
                  <c:numRef>
                    <c:extLst>
                      <c:ext uri="{02D57815-91ED-43cb-92C2-25804820EDAC}">
                        <c15:formulaRef>
                          <c15:sqref>工作表1!$C$2:$C$16</c15:sqref>
                        </c15:formulaRef>
                      </c:ext>
                    </c:extLst>
                    <c:numCache>
                      <c:formatCode>0.0_ </c:formatCode>
                      <c:ptCount val="14"/>
                      <c:pt idx="0">
                        <c:v>22.957000000000001</c:v>
                      </c:pt>
                      <c:pt idx="1">
                        <c:v>26.378</c:v>
                      </c:pt>
                      <c:pt idx="2">
                        <c:v>4.4960000000000004</c:v>
                      </c:pt>
                      <c:pt idx="3">
                        <c:v>11.295</c:v>
                      </c:pt>
                      <c:pt idx="4">
                        <c:v>-17.463000000000001</c:v>
                      </c:pt>
                      <c:pt idx="5">
                        <c:v>17.332999999999998</c:v>
                      </c:pt>
                      <c:pt idx="6">
                        <c:v>34.536999999999999</c:v>
                      </c:pt>
                      <c:pt idx="7">
                        <c:v>-20.030999999999999</c:v>
                      </c:pt>
                      <c:pt idx="8">
                        <c:v>4.9180000000000001</c:v>
                      </c:pt>
                      <c:pt idx="9">
                        <c:v>7.3940000000000001</c:v>
                      </c:pt>
                      <c:pt idx="10">
                        <c:v>24.582000000000001</c:v>
                      </c:pt>
                      <c:pt idx="11">
                        <c:v>9.6639999999999997</c:v>
                      </c:pt>
                      <c:pt idx="12">
                        <c:v>12.417999999999999</c:v>
                      </c:pt>
                      <c:pt idx="13">
                        <c:v>10.143000000000001</c:v>
                      </c:pt>
                    </c:numCache>
                  </c:numRef>
                </c:val>
                <c:extLst>
                  <c:ext xmlns:c16="http://schemas.microsoft.com/office/drawing/2014/chart" uri="{C3380CC4-5D6E-409C-BE32-E72D297353CC}">
                    <c16:uniqueId val="{00000001-5F58-4153-B886-F7F60115B219}"/>
                  </c:ext>
                </c:extLst>
              </c15:ser>
            </c15:filteredBarSeries>
          </c:ext>
        </c:extLst>
      </c:barChart>
      <c:valAx>
        <c:axId val="531368664"/>
        <c:scaling>
          <c:orientation val="minMax"/>
        </c:scaling>
        <c:delete val="1"/>
        <c:axPos val="t"/>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TW" altLang="en-US" sz="1000" b="0" i="0" u="none" strike="noStrike" kern="1200" baseline="0">
                    <a:solidFill>
                      <a:sysClr val="windowText" lastClr="000000">
                        <a:lumMod val="65000"/>
                        <a:lumOff val="35000"/>
                      </a:sysClr>
                    </a:solidFill>
                    <a:latin typeface="+mn-lt"/>
                    <a:ea typeface="+mn-ea"/>
                    <a:cs typeface="+mn-cs"/>
                  </a:rPr>
                  <a:t>單位：百萬美元</a:t>
                </a:r>
                <a:endParaRPr lang="zh-TW" altLang="en-US"/>
              </a:p>
            </c:rich>
          </c:tx>
          <c:layout>
            <c:manualLayout>
              <c:xMode val="edge"/>
              <c:yMode val="edge"/>
              <c:x val="0.71922602198202235"/>
              <c:y val="7.4783657647651602E-2"/>
            </c:manualLayout>
          </c:layout>
          <c:overlay val="0"/>
          <c:spPr>
            <a:noFill/>
            <a:ln>
              <a:noFill/>
            </a:ln>
            <a:effectLst/>
          </c:spPr>
        </c:title>
        <c:numFmt formatCode="#,##0.0" sourceLinked="1"/>
        <c:majorTickMark val="out"/>
        <c:minorTickMark val="none"/>
        <c:tickLblPos val="nextTo"/>
        <c:crossAx val="531369056"/>
        <c:crosses val="max"/>
        <c:crossBetween val="between"/>
      </c:valAx>
      <c:catAx>
        <c:axId val="53136905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531368664"/>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line3DChart>
        <c:grouping val="standard"/>
        <c:varyColors val="0"/>
        <c:ser>
          <c:idx val="0"/>
          <c:order val="0"/>
          <c:tx>
            <c:strRef>
              <c:f>工作表1!$B$1</c:f>
              <c:strCache>
                <c:ptCount val="1"/>
                <c:pt idx="0">
                  <c:v>對中國投資</c:v>
                </c:pt>
              </c:strCache>
            </c:strRef>
          </c:tx>
          <c:spPr>
            <a:solidFill>
              <a:schemeClr val="accent6"/>
            </a:solidFill>
            <a:ln>
              <a:noFill/>
            </a:ln>
            <a:effectLst/>
            <a:sp3d/>
          </c:spPr>
          <c:cat>
            <c:numRef>
              <c:f>工作表1!$A$2:$A$17</c:f>
              <c:numCache>
                <c:formatCode>General</c:formatCode>
                <c:ptCount val="14"/>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numCache>
            </c:numRef>
          </c:cat>
          <c:val>
            <c:numRef>
              <c:f>工作表1!$B$2:$B$17</c:f>
              <c:numCache>
                <c:formatCode>General</c:formatCode>
                <c:ptCount val="14"/>
                <c:pt idx="0">
                  <c:v>962</c:v>
                </c:pt>
                <c:pt idx="1">
                  <c:v>1093</c:v>
                </c:pt>
                <c:pt idx="2">
                  <c:v>1229</c:v>
                </c:pt>
                <c:pt idx="3">
                  <c:v>4334</c:v>
                </c:pt>
                <c:pt idx="4">
                  <c:v>2035</c:v>
                </c:pt>
                <c:pt idx="5">
                  <c:v>1253</c:v>
                </c:pt>
                <c:pt idx="6">
                  <c:v>2607</c:v>
                </c:pt>
                <c:pt idx="7">
                  <c:v>2784</c:v>
                </c:pt>
                <c:pt idx="8">
                  <c:v>6723</c:v>
                </c:pt>
                <c:pt idx="9">
                  <c:v>7699</c:v>
                </c:pt>
                <c:pt idx="10">
                  <c:v>6941</c:v>
                </c:pt>
                <c:pt idx="11">
                  <c:v>6007</c:v>
                </c:pt>
                <c:pt idx="12">
                  <c:v>7642</c:v>
                </c:pt>
                <c:pt idx="13">
                  <c:v>9971</c:v>
                </c:pt>
              </c:numCache>
            </c:numRef>
          </c:val>
          <c:smooth val="0"/>
          <c:extLst>
            <c:ext xmlns:c16="http://schemas.microsoft.com/office/drawing/2014/chart" uri="{C3380CC4-5D6E-409C-BE32-E72D297353CC}">
              <c16:uniqueId val="{00000000-0BF1-4462-AD3E-1907F84E35FA}"/>
            </c:ext>
          </c:extLst>
        </c:ser>
        <c:ser>
          <c:idx val="1"/>
          <c:order val="1"/>
          <c:tx>
            <c:strRef>
              <c:f>工作表1!$C$1</c:f>
              <c:strCache>
                <c:ptCount val="1"/>
                <c:pt idx="0">
                  <c:v>對東協投資</c:v>
                </c:pt>
              </c:strCache>
            </c:strRef>
          </c:tx>
          <c:spPr>
            <a:solidFill>
              <a:schemeClr val="accent5"/>
            </a:solidFill>
            <a:ln>
              <a:noFill/>
            </a:ln>
            <a:effectLst/>
            <a:sp3d/>
          </c:spPr>
          <c:cat>
            <c:numRef>
              <c:f>工作表1!$A$2:$A$17</c:f>
              <c:numCache>
                <c:formatCode>General</c:formatCode>
                <c:ptCount val="14"/>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numCache>
            </c:numRef>
          </c:cat>
          <c:val>
            <c:numRef>
              <c:f>工作表1!$C$2:$C$17</c:f>
              <c:numCache>
                <c:formatCode>General</c:formatCode>
                <c:ptCount val="14"/>
                <c:pt idx="0">
                  <c:v>398</c:v>
                </c:pt>
                <c:pt idx="1">
                  <c:v>326</c:v>
                </c:pt>
                <c:pt idx="2">
                  <c:v>587</c:v>
                </c:pt>
                <c:pt idx="3">
                  <c:v>641</c:v>
                </c:pt>
                <c:pt idx="4">
                  <c:v>477</c:v>
                </c:pt>
                <c:pt idx="5">
                  <c:v>522</c:v>
                </c:pt>
                <c:pt idx="6">
                  <c:v>389</c:v>
                </c:pt>
                <c:pt idx="7">
                  <c:v>523</c:v>
                </c:pt>
                <c:pt idx="8">
                  <c:v>211</c:v>
                </c:pt>
                <c:pt idx="9">
                  <c:v>298</c:v>
                </c:pt>
                <c:pt idx="10">
                  <c:v>966</c:v>
                </c:pt>
                <c:pt idx="11">
                  <c:v>264</c:v>
                </c:pt>
                <c:pt idx="12">
                  <c:v>1065</c:v>
                </c:pt>
                <c:pt idx="13">
                  <c:v>2094</c:v>
                </c:pt>
              </c:numCache>
            </c:numRef>
          </c:val>
          <c:smooth val="0"/>
          <c:extLst>
            <c:ext xmlns:c16="http://schemas.microsoft.com/office/drawing/2014/chart" uri="{C3380CC4-5D6E-409C-BE32-E72D297353CC}">
              <c16:uniqueId val="{00000001-0BF1-4462-AD3E-1907F84E35FA}"/>
            </c:ext>
          </c:extLst>
        </c:ser>
        <c:dLbls>
          <c:showLegendKey val="0"/>
          <c:showVal val="0"/>
          <c:showCatName val="0"/>
          <c:showSerName val="0"/>
          <c:showPercent val="0"/>
          <c:showBubbleSize val="0"/>
        </c:dLbls>
        <c:axId val="603257632"/>
        <c:axId val="603258024"/>
        <c:axId val="716628312"/>
        <c:extLst>
          <c:ext xmlns:c15="http://schemas.microsoft.com/office/drawing/2012/chart" uri="{02D57815-91ED-43cb-92C2-25804820EDAC}">
            <c15:filteredLineSeries>
              <c15:ser>
                <c:idx val="2"/>
                <c:order val="2"/>
                <c:tx>
                  <c:strRef>
                    <c:extLst>
                      <c:ext uri="{02D57815-91ED-43cb-92C2-25804820EDAC}">
                        <c15:formulaRef>
                          <c15:sqref>工作表1!$D$1</c15:sqref>
                        </c15:formulaRef>
                      </c:ext>
                    </c:extLst>
                    <c:strCache>
                      <c:ptCount val="1"/>
                      <c:pt idx="0">
                        <c:v>欄1</c:v>
                      </c:pt>
                    </c:strCache>
                  </c:strRef>
                </c:tx>
                <c:spPr>
                  <a:solidFill>
                    <a:schemeClr val="accent4"/>
                  </a:solidFill>
                  <a:ln>
                    <a:noFill/>
                  </a:ln>
                  <a:effectLst/>
                  <a:sp3d/>
                </c:spPr>
                <c:cat>
                  <c:numRef>
                    <c:extLst>
                      <c:ext uri="{02D57815-91ED-43cb-92C2-25804820EDAC}">
                        <c15:formulaRef>
                          <c15:sqref>工作表1!$A$2:$A$17</c15:sqref>
                        </c15:formulaRef>
                      </c:ext>
                    </c:extLst>
                    <c:numCache>
                      <c:formatCode>General</c:formatCode>
                      <c:ptCount val="14"/>
                      <c:pt idx="0">
                        <c:v>1994</c:v>
                      </c:pt>
                      <c:pt idx="1">
                        <c:v>1995</c:v>
                      </c:pt>
                      <c:pt idx="2">
                        <c:v>1996</c:v>
                      </c:pt>
                      <c:pt idx="3">
                        <c:v>1997</c:v>
                      </c:pt>
                      <c:pt idx="4">
                        <c:v>1998</c:v>
                      </c:pt>
                      <c:pt idx="5">
                        <c:v>1999</c:v>
                      </c:pt>
                      <c:pt idx="6">
                        <c:v>2000</c:v>
                      </c:pt>
                      <c:pt idx="7">
                        <c:v>2001</c:v>
                      </c:pt>
                      <c:pt idx="8">
                        <c:v>2002</c:v>
                      </c:pt>
                      <c:pt idx="9">
                        <c:v>2003</c:v>
                      </c:pt>
                      <c:pt idx="10">
                        <c:v>2004</c:v>
                      </c:pt>
                      <c:pt idx="11">
                        <c:v>2005</c:v>
                      </c:pt>
                      <c:pt idx="12">
                        <c:v>2006</c:v>
                      </c:pt>
                      <c:pt idx="13">
                        <c:v>2007</c:v>
                      </c:pt>
                    </c:numCache>
                  </c:numRef>
                </c:cat>
                <c:val>
                  <c:numRef>
                    <c:extLst>
                      <c:ext uri="{02D57815-91ED-43cb-92C2-25804820EDAC}">
                        <c15:formulaRef>
                          <c15:sqref>工作表1!$D$2:$D$17</c15:sqref>
                        </c15:formulaRef>
                      </c:ext>
                    </c:extLst>
                    <c:numCache>
                      <c:formatCode>General</c:formatCode>
                      <c:ptCount val="14"/>
                    </c:numCache>
                  </c:numRef>
                </c:val>
                <c:smooth val="0"/>
                <c:extLst>
                  <c:ext xmlns:c16="http://schemas.microsoft.com/office/drawing/2014/chart" uri="{C3380CC4-5D6E-409C-BE32-E72D297353CC}">
                    <c16:uniqueId val="{00000002-0BF1-4462-AD3E-1907F84E35FA}"/>
                  </c:ext>
                </c:extLst>
              </c15:ser>
            </c15:filteredLineSeries>
          </c:ext>
        </c:extLst>
      </c:line3DChart>
      <c:catAx>
        <c:axId val="603257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zh-TW"/>
          </a:p>
        </c:txPr>
        <c:crossAx val="603258024"/>
        <c:crosses val="autoZero"/>
        <c:auto val="1"/>
        <c:lblAlgn val="ctr"/>
        <c:lblOffset val="100"/>
        <c:noMultiLvlLbl val="0"/>
      </c:catAx>
      <c:valAx>
        <c:axId val="60325802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zh-TW" altLang="en-US" sz="900" b="1" i="0" u="none" strike="noStrike" kern="1200" cap="all" baseline="0">
                    <a:solidFill>
                      <a:schemeClr val="tx1"/>
                    </a:solidFill>
                    <a:latin typeface="+mn-lt"/>
                    <a:ea typeface="+mn-ea"/>
                    <a:cs typeface="+mn-cs"/>
                  </a:rPr>
                  <a:t>單位：百萬美元</a:t>
                </a:r>
                <a:endParaRPr lang="zh-TW" altLang="en-US" b="1">
                  <a:solidFill>
                    <a:schemeClr val="tx1"/>
                  </a:solidFill>
                </a:endParaRPr>
              </a:p>
            </c:rich>
          </c:tx>
          <c:overlay val="0"/>
          <c:spPr>
            <a:noFill/>
            <a:ln>
              <a:noFill/>
            </a:ln>
            <a:effectLst/>
          </c:spPr>
        </c:title>
        <c:numFmt formatCode="#,##0_);[Red]\(#,##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603257632"/>
        <c:crosses val="autoZero"/>
        <c:crossBetween val="between"/>
      </c:valAx>
      <c:serAx>
        <c:axId val="716628312"/>
        <c:scaling>
          <c:orientation val="minMax"/>
        </c:scaling>
        <c:delete val="1"/>
        <c:axPos val="b"/>
        <c:majorTickMark val="out"/>
        <c:minorTickMark val="none"/>
        <c:tickLblPos val="nextTo"/>
        <c:crossAx val="603258024"/>
        <c:crosses val="autoZero"/>
      </c:ser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zh-TW"/>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legend>
    <c:plotVisOnly val="1"/>
    <c:dispBlanksAs val="zero"/>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zh-TW"/>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進出口貿易!$B$7</c:f>
              <c:strCache>
                <c:ptCount val="1"/>
                <c:pt idx="0">
                  <c:v>金額</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進出口貿易!$A$8:$A$35</c:f>
              <c:strCache>
                <c:ptCount val="28"/>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pt idx="26">
                  <c:v>2015</c:v>
                </c:pt>
                <c:pt idx="27">
                  <c:v>2016(01~05)</c:v>
                </c:pt>
              </c:strCache>
            </c:strRef>
          </c:cat>
          <c:val>
            <c:numRef>
              <c:f>進出口貿易!$B$8:$B$35</c:f>
              <c:numCache>
                <c:formatCode>#,##0</c:formatCode>
                <c:ptCount val="28"/>
                <c:pt idx="0">
                  <c:v>349557215</c:v>
                </c:pt>
                <c:pt idx="1">
                  <c:v>443812563</c:v>
                </c:pt>
                <c:pt idx="2">
                  <c:v>399275283</c:v>
                </c:pt>
                <c:pt idx="3">
                  <c:v>391710669</c:v>
                </c:pt>
                <c:pt idx="4">
                  <c:v>530047093</c:v>
                </c:pt>
                <c:pt idx="5">
                  <c:v>756294530</c:v>
                </c:pt>
                <c:pt idx="6">
                  <c:v>934801687</c:v>
                </c:pt>
                <c:pt idx="7">
                  <c:v>931498228</c:v>
                </c:pt>
                <c:pt idx="8">
                  <c:v>1211762616</c:v>
                </c:pt>
                <c:pt idx="9">
                  <c:v>987121933</c:v>
                </c:pt>
                <c:pt idx="10">
                  <c:v>984101180</c:v>
                </c:pt>
                <c:pt idx="11">
                  <c:v>1231281469</c:v>
                </c:pt>
                <c:pt idx="12">
                  <c:v>1130185831</c:v>
                </c:pt>
                <c:pt idx="13">
                  <c:v>1206864555</c:v>
                </c:pt>
                <c:pt idx="14">
                  <c:v>1401268609</c:v>
                </c:pt>
                <c:pt idx="15">
                  <c:v>1945061461</c:v>
                </c:pt>
                <c:pt idx="16">
                  <c:v>2442424844</c:v>
                </c:pt>
                <c:pt idx="17">
                  <c:v>2716335260</c:v>
                </c:pt>
                <c:pt idx="18">
                  <c:v>4879231847</c:v>
                </c:pt>
                <c:pt idx="19">
                  <c:v>5340185715</c:v>
                </c:pt>
                <c:pt idx="20">
                  <c:v>4154578601</c:v>
                </c:pt>
                <c:pt idx="21">
                  <c:v>6465831708</c:v>
                </c:pt>
                <c:pt idx="22">
                  <c:v>7563843828</c:v>
                </c:pt>
                <c:pt idx="23">
                  <c:v>6008166600</c:v>
                </c:pt>
                <c:pt idx="24">
                  <c:v>6174260002</c:v>
                </c:pt>
                <c:pt idx="25">
                  <c:v>5911127632</c:v>
                </c:pt>
                <c:pt idx="26">
                  <c:v>4811342679</c:v>
                </c:pt>
                <c:pt idx="27">
                  <c:v>1889004932</c:v>
                </c:pt>
              </c:numCache>
            </c:numRef>
          </c:val>
          <c:smooth val="0"/>
          <c:extLst>
            <c:ext xmlns:c16="http://schemas.microsoft.com/office/drawing/2014/chart" uri="{C3380CC4-5D6E-409C-BE32-E72D297353CC}">
              <c16:uniqueId val="{00000000-E100-417B-B6ED-25175294991C}"/>
            </c:ext>
          </c:extLst>
        </c:ser>
        <c:dLbls>
          <c:showLegendKey val="0"/>
          <c:showVal val="0"/>
          <c:showCatName val="0"/>
          <c:showSerName val="0"/>
          <c:showPercent val="0"/>
          <c:showBubbleSize val="0"/>
        </c:dLbls>
        <c:marker val="1"/>
        <c:smooth val="0"/>
        <c:axId val="600684792"/>
        <c:axId val="594159560"/>
      </c:lineChart>
      <c:catAx>
        <c:axId val="6006847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594159560"/>
        <c:crosses val="autoZero"/>
        <c:auto val="1"/>
        <c:lblAlgn val="ctr"/>
        <c:lblOffset val="100"/>
        <c:noMultiLvlLbl val="0"/>
      </c:catAx>
      <c:valAx>
        <c:axId val="594159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6006847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進出口貿易!$D$7</c:f>
              <c:strCache>
                <c:ptCount val="1"/>
                <c:pt idx="0">
                  <c:v>出口金額</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進出口貿易!$A$8:$A$35</c:f>
              <c:strCache>
                <c:ptCount val="28"/>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pt idx="26">
                  <c:v>2015</c:v>
                </c:pt>
                <c:pt idx="27">
                  <c:v>2016(01~05)</c:v>
                </c:pt>
              </c:strCache>
            </c:strRef>
          </c:cat>
          <c:val>
            <c:numRef>
              <c:f>進出口貿易!$D$8:$D$35</c:f>
              <c:numCache>
                <c:formatCode>#,##0</c:formatCode>
                <c:ptCount val="28"/>
                <c:pt idx="0">
                  <c:v>214173179</c:v>
                </c:pt>
                <c:pt idx="1">
                  <c:v>229122275</c:v>
                </c:pt>
                <c:pt idx="2">
                  <c:v>158456490</c:v>
                </c:pt>
                <c:pt idx="3">
                  <c:v>173345912</c:v>
                </c:pt>
                <c:pt idx="4">
                  <c:v>211938886</c:v>
                </c:pt>
                <c:pt idx="5">
                  <c:v>344902107</c:v>
                </c:pt>
                <c:pt idx="6">
                  <c:v>520967966</c:v>
                </c:pt>
                <c:pt idx="7">
                  <c:v>463079020</c:v>
                </c:pt>
                <c:pt idx="8">
                  <c:v>549407437</c:v>
                </c:pt>
                <c:pt idx="9">
                  <c:v>526061508</c:v>
                </c:pt>
                <c:pt idx="10">
                  <c:v>594147522</c:v>
                </c:pt>
                <c:pt idx="11">
                  <c:v>717909053</c:v>
                </c:pt>
                <c:pt idx="12">
                  <c:v>635244749</c:v>
                </c:pt>
                <c:pt idx="13">
                  <c:v>654186183</c:v>
                </c:pt>
                <c:pt idx="14">
                  <c:v>775907754</c:v>
                </c:pt>
                <c:pt idx="15">
                  <c:v>1082292193</c:v>
                </c:pt>
                <c:pt idx="16">
                  <c:v>1582855583</c:v>
                </c:pt>
                <c:pt idx="17">
                  <c:v>1471065511</c:v>
                </c:pt>
                <c:pt idx="18">
                  <c:v>2341976657</c:v>
                </c:pt>
                <c:pt idx="19">
                  <c:v>3007047211</c:v>
                </c:pt>
                <c:pt idx="20">
                  <c:v>2531420438</c:v>
                </c:pt>
                <c:pt idx="21">
                  <c:v>3628381642</c:v>
                </c:pt>
                <c:pt idx="22">
                  <c:v>4427361083</c:v>
                </c:pt>
                <c:pt idx="23">
                  <c:v>3384504087</c:v>
                </c:pt>
                <c:pt idx="24">
                  <c:v>3422915347</c:v>
                </c:pt>
                <c:pt idx="25">
                  <c:v>3425788492</c:v>
                </c:pt>
                <c:pt idx="26">
                  <c:v>2933468022</c:v>
                </c:pt>
                <c:pt idx="27">
                  <c:v>1185487777</c:v>
                </c:pt>
              </c:numCache>
            </c:numRef>
          </c:val>
          <c:smooth val="0"/>
          <c:extLst>
            <c:ext xmlns:c16="http://schemas.microsoft.com/office/drawing/2014/chart" uri="{C3380CC4-5D6E-409C-BE32-E72D297353CC}">
              <c16:uniqueId val="{00000000-8C2A-4514-AB74-542AA3197E0A}"/>
            </c:ext>
          </c:extLst>
        </c:ser>
        <c:ser>
          <c:idx val="1"/>
          <c:order val="1"/>
          <c:tx>
            <c:strRef>
              <c:f>進出口貿易!$F$7</c:f>
              <c:strCache>
                <c:ptCount val="1"/>
                <c:pt idx="0">
                  <c:v>進口金額</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進出口貿易!$A$8:$A$35</c:f>
              <c:strCache>
                <c:ptCount val="28"/>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pt idx="26">
                  <c:v>2015</c:v>
                </c:pt>
                <c:pt idx="27">
                  <c:v>2016(01~05)</c:v>
                </c:pt>
              </c:strCache>
            </c:strRef>
          </c:cat>
          <c:val>
            <c:numRef>
              <c:f>進出口貿易!$F$8:$F$35</c:f>
              <c:numCache>
                <c:formatCode>#,##0</c:formatCode>
                <c:ptCount val="28"/>
                <c:pt idx="0">
                  <c:v>135384036</c:v>
                </c:pt>
                <c:pt idx="1">
                  <c:v>214690288</c:v>
                </c:pt>
                <c:pt idx="2">
                  <c:v>240818793</c:v>
                </c:pt>
                <c:pt idx="3">
                  <c:v>218364757</c:v>
                </c:pt>
                <c:pt idx="4">
                  <c:v>318108207</c:v>
                </c:pt>
                <c:pt idx="5">
                  <c:v>411392423</c:v>
                </c:pt>
                <c:pt idx="6">
                  <c:v>413833721</c:v>
                </c:pt>
                <c:pt idx="7">
                  <c:v>468419208</c:v>
                </c:pt>
                <c:pt idx="8">
                  <c:v>662355179</c:v>
                </c:pt>
                <c:pt idx="9">
                  <c:v>461060425</c:v>
                </c:pt>
                <c:pt idx="10">
                  <c:v>389953658</c:v>
                </c:pt>
                <c:pt idx="11">
                  <c:v>513372416</c:v>
                </c:pt>
                <c:pt idx="12">
                  <c:v>494941082</c:v>
                </c:pt>
                <c:pt idx="13">
                  <c:v>552678372</c:v>
                </c:pt>
                <c:pt idx="14">
                  <c:v>625360855</c:v>
                </c:pt>
                <c:pt idx="15">
                  <c:v>862769268</c:v>
                </c:pt>
                <c:pt idx="16">
                  <c:v>859569261</c:v>
                </c:pt>
                <c:pt idx="17">
                  <c:v>1245269749</c:v>
                </c:pt>
                <c:pt idx="18">
                  <c:v>2537255190</c:v>
                </c:pt>
                <c:pt idx="19">
                  <c:v>2333138504</c:v>
                </c:pt>
                <c:pt idx="20">
                  <c:v>1623158163</c:v>
                </c:pt>
                <c:pt idx="21">
                  <c:v>2837450066</c:v>
                </c:pt>
                <c:pt idx="22">
                  <c:v>3136482745</c:v>
                </c:pt>
                <c:pt idx="23">
                  <c:v>2623662513</c:v>
                </c:pt>
                <c:pt idx="24">
                  <c:v>2751344655</c:v>
                </c:pt>
                <c:pt idx="25">
                  <c:v>2485339140</c:v>
                </c:pt>
                <c:pt idx="26">
                  <c:v>1877874657</c:v>
                </c:pt>
                <c:pt idx="27">
                  <c:v>703517155</c:v>
                </c:pt>
              </c:numCache>
            </c:numRef>
          </c:val>
          <c:smooth val="0"/>
          <c:extLst>
            <c:ext xmlns:c16="http://schemas.microsoft.com/office/drawing/2014/chart" uri="{C3380CC4-5D6E-409C-BE32-E72D297353CC}">
              <c16:uniqueId val="{00000001-8C2A-4514-AB74-542AA3197E0A}"/>
            </c:ext>
          </c:extLst>
        </c:ser>
        <c:dLbls>
          <c:showLegendKey val="0"/>
          <c:showVal val="0"/>
          <c:showCatName val="0"/>
          <c:showSerName val="0"/>
          <c:showPercent val="0"/>
          <c:showBubbleSize val="0"/>
        </c:dLbls>
        <c:marker val="1"/>
        <c:smooth val="0"/>
        <c:axId val="600271864"/>
        <c:axId val="600258928"/>
      </c:lineChart>
      <c:catAx>
        <c:axId val="6002718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600258928"/>
        <c:crosses val="autoZero"/>
        <c:auto val="1"/>
        <c:lblAlgn val="ctr"/>
        <c:lblOffset val="100"/>
        <c:noMultiLvlLbl val="0"/>
      </c:catAx>
      <c:valAx>
        <c:axId val="600258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60027186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進出口貿易!$H$7</c:f>
              <c:strCache>
                <c:ptCount val="1"/>
                <c:pt idx="0">
                  <c:v>金額</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進出口貿易!$A$8:$A$35</c:f>
              <c:strCache>
                <c:ptCount val="28"/>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pt idx="26">
                  <c:v>2015</c:v>
                </c:pt>
                <c:pt idx="27">
                  <c:v>2016(01~05)</c:v>
                </c:pt>
              </c:strCache>
            </c:strRef>
          </c:cat>
          <c:val>
            <c:numRef>
              <c:f>進出口貿易!$H$8:$H$35</c:f>
              <c:numCache>
                <c:formatCode>#,##0</c:formatCode>
                <c:ptCount val="28"/>
                <c:pt idx="0">
                  <c:v>78789143</c:v>
                </c:pt>
                <c:pt idx="1">
                  <c:v>14431987</c:v>
                </c:pt>
                <c:pt idx="2">
                  <c:v>-82362303</c:v>
                </c:pt>
                <c:pt idx="3">
                  <c:v>-45018845</c:v>
                </c:pt>
                <c:pt idx="4">
                  <c:v>-106169321</c:v>
                </c:pt>
                <c:pt idx="5">
                  <c:v>-66490316</c:v>
                </c:pt>
                <c:pt idx="6">
                  <c:v>107134245</c:v>
                </c:pt>
                <c:pt idx="7">
                  <c:v>-5340188</c:v>
                </c:pt>
                <c:pt idx="8">
                  <c:v>-112947742</c:v>
                </c:pt>
                <c:pt idx="9">
                  <c:v>65001083</c:v>
                </c:pt>
                <c:pt idx="10">
                  <c:v>204193864</c:v>
                </c:pt>
                <c:pt idx="11">
                  <c:v>204536637</c:v>
                </c:pt>
                <c:pt idx="12">
                  <c:v>140303667</c:v>
                </c:pt>
                <c:pt idx="13">
                  <c:v>101507811</c:v>
                </c:pt>
                <c:pt idx="14">
                  <c:v>150546899</c:v>
                </c:pt>
                <c:pt idx="15">
                  <c:v>219522925</c:v>
                </c:pt>
                <c:pt idx="16">
                  <c:v>723286322</c:v>
                </c:pt>
                <c:pt idx="17">
                  <c:v>225795762</c:v>
                </c:pt>
                <c:pt idx="18">
                  <c:v>-195278533</c:v>
                </c:pt>
                <c:pt idx="19">
                  <c:v>673908707</c:v>
                </c:pt>
                <c:pt idx="20">
                  <c:v>908262275</c:v>
                </c:pt>
                <c:pt idx="21">
                  <c:v>790931576</c:v>
                </c:pt>
                <c:pt idx="22">
                  <c:v>1290878338</c:v>
                </c:pt>
                <c:pt idx="23">
                  <c:v>760841574</c:v>
                </c:pt>
                <c:pt idx="24">
                  <c:v>671570692</c:v>
                </c:pt>
                <c:pt idx="25">
                  <c:v>940449352</c:v>
                </c:pt>
                <c:pt idx="26">
                  <c:v>1055593365</c:v>
                </c:pt>
                <c:pt idx="27">
                  <c:v>481970622</c:v>
                </c:pt>
              </c:numCache>
            </c:numRef>
          </c:val>
          <c:smooth val="0"/>
          <c:extLst>
            <c:ext xmlns:c16="http://schemas.microsoft.com/office/drawing/2014/chart" uri="{C3380CC4-5D6E-409C-BE32-E72D297353CC}">
              <c16:uniqueId val="{00000000-85AB-418C-BC21-59129E4FBF2F}"/>
            </c:ext>
          </c:extLst>
        </c:ser>
        <c:dLbls>
          <c:showLegendKey val="0"/>
          <c:showVal val="0"/>
          <c:showCatName val="0"/>
          <c:showSerName val="0"/>
          <c:showPercent val="0"/>
          <c:showBubbleSize val="0"/>
        </c:dLbls>
        <c:marker val="1"/>
        <c:smooth val="0"/>
        <c:axId val="605575560"/>
        <c:axId val="595898640"/>
      </c:lineChart>
      <c:catAx>
        <c:axId val="6055755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595898640"/>
        <c:crossesAt val="-400000000"/>
        <c:auto val="1"/>
        <c:lblAlgn val="ctr"/>
        <c:lblOffset val="100"/>
        <c:noMultiLvlLbl val="0"/>
      </c:catAx>
      <c:valAx>
        <c:axId val="595898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6055755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工作表1!$B$1</c:f>
              <c:strCache>
                <c:ptCount val="1"/>
                <c:pt idx="0">
                  <c:v>件數</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工作表1!$A$2:$A$28</c:f>
              <c:strCache>
                <c:ptCount val="2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 01~06</c:v>
                </c:pt>
              </c:strCache>
            </c:strRef>
          </c:cat>
          <c:val>
            <c:numRef>
              <c:f>工作表1!$B$2:$B$28</c:f>
              <c:numCache>
                <c:formatCode>General</c:formatCode>
                <c:ptCount val="27"/>
                <c:pt idx="0">
                  <c:v>0</c:v>
                </c:pt>
                <c:pt idx="1">
                  <c:v>1</c:v>
                </c:pt>
                <c:pt idx="2">
                  <c:v>1</c:v>
                </c:pt>
                <c:pt idx="3">
                  <c:v>1</c:v>
                </c:pt>
                <c:pt idx="4">
                  <c:v>0</c:v>
                </c:pt>
                <c:pt idx="5">
                  <c:v>1</c:v>
                </c:pt>
                <c:pt idx="6">
                  <c:v>0</c:v>
                </c:pt>
                <c:pt idx="7">
                  <c:v>0</c:v>
                </c:pt>
                <c:pt idx="8">
                  <c:v>0</c:v>
                </c:pt>
                <c:pt idx="9">
                  <c:v>1</c:v>
                </c:pt>
                <c:pt idx="10">
                  <c:v>1</c:v>
                </c:pt>
                <c:pt idx="11">
                  <c:v>3</c:v>
                </c:pt>
                <c:pt idx="12">
                  <c:v>1</c:v>
                </c:pt>
                <c:pt idx="13">
                  <c:v>1</c:v>
                </c:pt>
                <c:pt idx="14">
                  <c:v>1</c:v>
                </c:pt>
                <c:pt idx="15">
                  <c:v>3</c:v>
                </c:pt>
                <c:pt idx="16">
                  <c:v>8</c:v>
                </c:pt>
                <c:pt idx="17">
                  <c:v>5</c:v>
                </c:pt>
                <c:pt idx="18">
                  <c:v>1</c:v>
                </c:pt>
                <c:pt idx="19">
                  <c:v>1</c:v>
                </c:pt>
                <c:pt idx="20">
                  <c:v>3</c:v>
                </c:pt>
                <c:pt idx="21">
                  <c:v>2</c:v>
                </c:pt>
                <c:pt idx="22">
                  <c:v>3</c:v>
                </c:pt>
                <c:pt idx="23">
                  <c:v>7</c:v>
                </c:pt>
                <c:pt idx="24">
                  <c:v>3</c:v>
                </c:pt>
                <c:pt idx="25">
                  <c:v>7</c:v>
                </c:pt>
                <c:pt idx="26">
                  <c:v>3</c:v>
                </c:pt>
              </c:numCache>
            </c:numRef>
          </c:val>
          <c:smooth val="0"/>
          <c:extLst>
            <c:ext xmlns:c16="http://schemas.microsoft.com/office/drawing/2014/chart" uri="{C3380CC4-5D6E-409C-BE32-E72D297353CC}">
              <c16:uniqueId val="{00000000-5E6B-4B50-B3DE-E46AD19D1CA7}"/>
            </c:ext>
          </c:extLst>
        </c:ser>
        <c:dLbls>
          <c:showLegendKey val="0"/>
          <c:showVal val="0"/>
          <c:showCatName val="0"/>
          <c:showSerName val="0"/>
          <c:showPercent val="0"/>
          <c:showBubbleSize val="0"/>
        </c:dLbls>
        <c:marker val="1"/>
        <c:smooth val="0"/>
        <c:axId val="703661736"/>
        <c:axId val="708959352"/>
      </c:lineChart>
      <c:catAx>
        <c:axId val="7036617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708959352"/>
        <c:crosses val="autoZero"/>
        <c:auto val="1"/>
        <c:lblAlgn val="ctr"/>
        <c:lblOffset val="100"/>
        <c:noMultiLvlLbl val="0"/>
      </c:catAx>
      <c:valAx>
        <c:axId val="708959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7036617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工作表1!$C$1</c:f>
              <c:strCache>
                <c:ptCount val="1"/>
                <c:pt idx="0">
                  <c:v>金額</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工作表1!$A$2:$A$28</c:f>
              <c:strCache>
                <c:ptCount val="2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 01~06</c:v>
                </c:pt>
              </c:strCache>
            </c:strRef>
          </c:cat>
          <c:val>
            <c:numRef>
              <c:f>工作表1!$C$2:$C$28</c:f>
              <c:numCache>
                <c:formatCode>General</c:formatCode>
                <c:ptCount val="27"/>
                <c:pt idx="0">
                  <c:v>0</c:v>
                </c:pt>
                <c:pt idx="1">
                  <c:v>200.738</c:v>
                </c:pt>
                <c:pt idx="2">
                  <c:v>1000</c:v>
                </c:pt>
                <c:pt idx="3">
                  <c:v>3810.9</c:v>
                </c:pt>
                <c:pt idx="4">
                  <c:v>80</c:v>
                </c:pt>
                <c:pt idx="5">
                  <c:v>1640</c:v>
                </c:pt>
                <c:pt idx="6">
                  <c:v>0</c:v>
                </c:pt>
                <c:pt idx="7">
                  <c:v>0</c:v>
                </c:pt>
                <c:pt idx="8">
                  <c:v>1072</c:v>
                </c:pt>
                <c:pt idx="9">
                  <c:v>437</c:v>
                </c:pt>
                <c:pt idx="10">
                  <c:v>115</c:v>
                </c:pt>
                <c:pt idx="11">
                  <c:v>3114</c:v>
                </c:pt>
                <c:pt idx="12">
                  <c:v>2520</c:v>
                </c:pt>
                <c:pt idx="13">
                  <c:v>923</c:v>
                </c:pt>
                <c:pt idx="14">
                  <c:v>880</c:v>
                </c:pt>
                <c:pt idx="15">
                  <c:v>1914</c:v>
                </c:pt>
                <c:pt idx="16">
                  <c:v>4296</c:v>
                </c:pt>
                <c:pt idx="17">
                  <c:v>7738.4152000000004</c:v>
                </c:pt>
                <c:pt idx="18">
                  <c:v>16249.99</c:v>
                </c:pt>
                <c:pt idx="19">
                  <c:v>3159.9850000000001</c:v>
                </c:pt>
                <c:pt idx="20">
                  <c:v>3620.3166000000001</c:v>
                </c:pt>
                <c:pt idx="21">
                  <c:v>67051.361999999994</c:v>
                </c:pt>
                <c:pt idx="22">
                  <c:v>20931.006700000002</c:v>
                </c:pt>
                <c:pt idx="23">
                  <c:v>65041.625500000002</c:v>
                </c:pt>
                <c:pt idx="24">
                  <c:v>33485.6227</c:v>
                </c:pt>
                <c:pt idx="25">
                  <c:v>72164.253599999996</c:v>
                </c:pt>
                <c:pt idx="26">
                  <c:v>7530.78</c:v>
                </c:pt>
              </c:numCache>
            </c:numRef>
          </c:val>
          <c:smooth val="0"/>
          <c:extLst>
            <c:ext xmlns:c16="http://schemas.microsoft.com/office/drawing/2014/chart" uri="{C3380CC4-5D6E-409C-BE32-E72D297353CC}">
              <c16:uniqueId val="{00000000-BEDD-4D6F-9762-3200F72AB137}"/>
            </c:ext>
          </c:extLst>
        </c:ser>
        <c:dLbls>
          <c:showLegendKey val="0"/>
          <c:showVal val="0"/>
          <c:showCatName val="0"/>
          <c:showSerName val="0"/>
          <c:showPercent val="0"/>
          <c:showBubbleSize val="0"/>
        </c:dLbls>
        <c:marker val="1"/>
        <c:smooth val="0"/>
        <c:axId val="722701480"/>
        <c:axId val="722697560"/>
      </c:lineChart>
      <c:catAx>
        <c:axId val="7227014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722697560"/>
        <c:crosses val="autoZero"/>
        <c:auto val="1"/>
        <c:lblAlgn val="ctr"/>
        <c:lblOffset val="100"/>
        <c:noMultiLvlLbl val="0"/>
      </c:catAx>
      <c:valAx>
        <c:axId val="722697560"/>
        <c:scaling>
          <c:orientation val="minMax"/>
        </c:scaling>
        <c:delete val="0"/>
        <c:axPos val="l"/>
        <c:majorGridlines>
          <c:spPr>
            <a:ln w="9525" cap="flat" cmpd="sng" algn="ctr">
              <a:solidFill>
                <a:schemeClr val="tx1">
                  <a:lumMod val="15000"/>
                  <a:lumOff val="85000"/>
                </a:schemeClr>
              </a:solidFill>
              <a:round/>
            </a:ln>
            <a:effectLst/>
          </c:spPr>
        </c:majorGridlines>
        <c:numFmt formatCode="#,##0_);[Red]\(#,##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7227014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TW"/>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191770383540801E-2"/>
          <c:y val="4.8245614035087717E-2"/>
          <c:w val="0.90115231563796427"/>
          <c:h val="0.82408654510291446"/>
        </c:manualLayout>
      </c:layout>
      <c:barChart>
        <c:barDir val="col"/>
        <c:grouping val="percentStacked"/>
        <c:varyColors val="0"/>
        <c:ser>
          <c:idx val="0"/>
          <c:order val="0"/>
          <c:tx>
            <c:strRef>
              <c:f>工作表1!$B$1</c:f>
              <c:strCache>
                <c:ptCount val="1"/>
                <c:pt idx="0">
                  <c:v>臺灣</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工作表1!$A$2:$A$3</c:f>
              <c:strCache>
                <c:ptCount val="2"/>
                <c:pt idx="0">
                  <c:v>2014Y</c:v>
                </c:pt>
                <c:pt idx="1">
                  <c:v>2015Y</c:v>
                </c:pt>
              </c:strCache>
            </c:strRef>
          </c:cat>
          <c:val>
            <c:numRef>
              <c:f>工作表1!$B$2:$B$3</c:f>
              <c:numCache>
                <c:formatCode>General</c:formatCode>
                <c:ptCount val="2"/>
                <c:pt idx="0">
                  <c:v>16.7</c:v>
                </c:pt>
                <c:pt idx="1">
                  <c:v>15.7</c:v>
                </c:pt>
              </c:numCache>
            </c:numRef>
          </c:val>
          <c:extLst>
            <c:ext xmlns:c16="http://schemas.microsoft.com/office/drawing/2014/chart" uri="{C3380CC4-5D6E-409C-BE32-E72D297353CC}">
              <c16:uniqueId val="{00000000-B9E5-42F4-849C-99D74A5FC7F9}"/>
            </c:ext>
          </c:extLst>
        </c:ser>
        <c:ser>
          <c:idx val="1"/>
          <c:order val="1"/>
          <c:tx>
            <c:strRef>
              <c:f>工作表1!$C$1</c:f>
              <c:strCache>
                <c:ptCount val="1"/>
                <c:pt idx="0">
                  <c:v>中國大陸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工作表1!$A$2:$A$3</c:f>
              <c:strCache>
                <c:ptCount val="2"/>
                <c:pt idx="0">
                  <c:v>2014Y</c:v>
                </c:pt>
                <c:pt idx="1">
                  <c:v>2015Y</c:v>
                </c:pt>
              </c:strCache>
            </c:strRef>
          </c:cat>
          <c:val>
            <c:numRef>
              <c:f>工作表1!$C$2:$C$3</c:f>
              <c:numCache>
                <c:formatCode>General</c:formatCode>
                <c:ptCount val="2"/>
                <c:pt idx="0">
                  <c:v>28.9</c:v>
                </c:pt>
                <c:pt idx="1">
                  <c:v>32</c:v>
                </c:pt>
              </c:numCache>
            </c:numRef>
          </c:val>
          <c:extLst>
            <c:ext xmlns:c16="http://schemas.microsoft.com/office/drawing/2014/chart" uri="{C3380CC4-5D6E-409C-BE32-E72D297353CC}">
              <c16:uniqueId val="{00000001-B9E5-42F4-849C-99D74A5FC7F9}"/>
            </c:ext>
          </c:extLst>
        </c:ser>
        <c:ser>
          <c:idx val="2"/>
          <c:order val="2"/>
          <c:tx>
            <c:strRef>
              <c:f>工作表1!$D$1</c:f>
              <c:strCache>
                <c:ptCount val="1"/>
                <c:pt idx="0">
                  <c:v>日本</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工作表1!$A$2:$A$3</c:f>
              <c:strCache>
                <c:ptCount val="2"/>
                <c:pt idx="0">
                  <c:v>2014Y</c:v>
                </c:pt>
                <c:pt idx="1">
                  <c:v>2015Y</c:v>
                </c:pt>
              </c:strCache>
            </c:strRef>
          </c:cat>
          <c:val>
            <c:numRef>
              <c:f>工作表1!$D$2:$D$3</c:f>
              <c:numCache>
                <c:formatCode>General</c:formatCode>
                <c:ptCount val="2"/>
                <c:pt idx="0">
                  <c:v>24.1</c:v>
                </c:pt>
                <c:pt idx="1">
                  <c:v>23.5</c:v>
                </c:pt>
              </c:numCache>
            </c:numRef>
          </c:val>
          <c:extLst>
            <c:ext xmlns:c16="http://schemas.microsoft.com/office/drawing/2014/chart" uri="{C3380CC4-5D6E-409C-BE32-E72D297353CC}">
              <c16:uniqueId val="{00000002-B9E5-42F4-849C-99D74A5FC7F9}"/>
            </c:ext>
          </c:extLst>
        </c:ser>
        <c:ser>
          <c:idx val="3"/>
          <c:order val="3"/>
          <c:tx>
            <c:strRef>
              <c:f>工作表1!$E$1</c:f>
              <c:strCache>
                <c:ptCount val="1"/>
                <c:pt idx="0">
                  <c:v>韓國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工作表1!$A$2:$A$3</c:f>
              <c:strCache>
                <c:ptCount val="2"/>
                <c:pt idx="0">
                  <c:v>2014Y</c:v>
                </c:pt>
                <c:pt idx="1">
                  <c:v>2015Y</c:v>
                </c:pt>
              </c:strCache>
            </c:strRef>
          </c:cat>
          <c:val>
            <c:numRef>
              <c:f>工作表1!$E$2:$E$3</c:f>
              <c:numCache>
                <c:formatCode>General</c:formatCode>
                <c:ptCount val="2"/>
                <c:pt idx="0">
                  <c:v>30.3</c:v>
                </c:pt>
                <c:pt idx="1">
                  <c:v>28.8</c:v>
                </c:pt>
              </c:numCache>
            </c:numRef>
          </c:val>
          <c:extLst>
            <c:ext xmlns:c16="http://schemas.microsoft.com/office/drawing/2014/chart" uri="{C3380CC4-5D6E-409C-BE32-E72D297353CC}">
              <c16:uniqueId val="{00000003-B9E5-42F4-849C-99D74A5FC7F9}"/>
            </c:ext>
          </c:extLst>
        </c:ser>
        <c:dLbls>
          <c:showLegendKey val="0"/>
          <c:showVal val="0"/>
          <c:showCatName val="0"/>
          <c:showSerName val="0"/>
          <c:showPercent val="0"/>
          <c:showBubbleSize val="0"/>
        </c:dLbls>
        <c:gapWidth val="150"/>
        <c:overlap val="100"/>
        <c:axId val="712981968"/>
        <c:axId val="712974912"/>
      </c:barChart>
      <c:catAx>
        <c:axId val="71298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TW"/>
          </a:p>
        </c:txPr>
        <c:crossAx val="712974912"/>
        <c:crosses val="autoZero"/>
        <c:auto val="1"/>
        <c:lblAlgn val="ctr"/>
        <c:lblOffset val="100"/>
        <c:noMultiLvlLbl val="0"/>
      </c:catAx>
      <c:valAx>
        <c:axId val="712974912"/>
        <c:scaling>
          <c:orientation val="minMax"/>
        </c:scaling>
        <c:delete val="0"/>
        <c:axPos val="l"/>
        <c:majorGridlines>
          <c:spPr>
            <a:ln w="9525" cap="flat" cmpd="sng" algn="ctr">
              <a:solidFill>
                <a:schemeClr val="tx1"/>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zh-TW"/>
          </a:p>
        </c:txPr>
        <c:crossAx val="712981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標楷體" panose="03000509000000000000" pitchFamily="65" charset="-120"/>
              <a:ea typeface="標楷體" panose="03000509000000000000" pitchFamily="65" charset="-120"/>
              <a:cs typeface="+mn-cs"/>
            </a:defRPr>
          </a:pPr>
          <a:endParaRPr lang="zh-TW"/>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zh-TW"/>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46DFF7B-F32F-427A-8E49-12FFC35489EF}" type="doc">
      <dgm:prSet loTypeId="urn:microsoft.com/office/officeart/2005/8/layout/radial5" loCatId="relationship" qsTypeId="urn:microsoft.com/office/officeart/2005/8/quickstyle/simple1" qsCatId="simple" csTypeId="urn:microsoft.com/office/officeart/2005/8/colors/accent1_2" csCatId="accent1" phldr="1"/>
      <dgm:spPr/>
      <dgm:t>
        <a:bodyPr/>
        <a:lstStyle/>
        <a:p>
          <a:endParaRPr lang="zh-TW" altLang="en-US"/>
        </a:p>
      </dgm:t>
    </dgm:pt>
    <dgm:pt modelId="{5FC1539F-61FB-4A94-A193-0EB14FDFF905}">
      <dgm:prSet phldrT="[文字]" custT="1"/>
      <dgm:spPr/>
      <dgm:t>
        <a:bodyPr/>
        <a:lstStyle/>
        <a:p>
          <a:pPr algn="ctr"/>
          <a:r>
            <a:rPr lang="zh-TW" altLang="en-US" sz="1400"/>
            <a:t>電子收費系統</a:t>
          </a:r>
        </a:p>
      </dgm:t>
    </dgm:pt>
    <dgm:pt modelId="{9CD1A578-362B-4E63-ADC3-DE45A52E6CF5}" type="parTrans" cxnId="{4BF1E328-025E-4170-9367-318C52350661}">
      <dgm:prSet/>
      <dgm:spPr/>
      <dgm:t>
        <a:bodyPr/>
        <a:lstStyle/>
        <a:p>
          <a:pPr algn="ctr"/>
          <a:endParaRPr lang="zh-TW" altLang="en-US"/>
        </a:p>
      </dgm:t>
    </dgm:pt>
    <dgm:pt modelId="{F940770F-49DA-40A5-816D-DBB4B6C8E185}" type="sibTrans" cxnId="{4BF1E328-025E-4170-9367-318C52350661}">
      <dgm:prSet/>
      <dgm:spPr/>
      <dgm:t>
        <a:bodyPr/>
        <a:lstStyle/>
        <a:p>
          <a:pPr algn="ctr"/>
          <a:endParaRPr lang="zh-TW" altLang="en-US"/>
        </a:p>
      </dgm:t>
    </dgm:pt>
    <dgm:pt modelId="{9633CF59-D113-4C23-8852-4A1C67C80B1B}">
      <dgm:prSet phldrT="[文字]"/>
      <dgm:spPr/>
      <dgm:t>
        <a:bodyPr/>
        <a:lstStyle/>
        <a:p>
          <a:pPr algn="ctr"/>
          <a:r>
            <a:rPr lang="zh-TW" altLang="en-US"/>
            <a:t>智慧型運輸系統應用</a:t>
          </a:r>
        </a:p>
      </dgm:t>
    </dgm:pt>
    <dgm:pt modelId="{D88CCE7C-7437-487D-BE4B-F28A4E5BC440}" type="parTrans" cxnId="{B1F06136-A5C0-49E3-A8D3-9050A8D28F37}">
      <dgm:prSet/>
      <dgm:spPr/>
      <dgm:t>
        <a:bodyPr/>
        <a:lstStyle/>
        <a:p>
          <a:pPr algn="ctr"/>
          <a:endParaRPr lang="zh-TW" altLang="en-US"/>
        </a:p>
      </dgm:t>
    </dgm:pt>
    <dgm:pt modelId="{3A7ACD7D-D18B-4625-956D-0AFEF259B9E5}" type="sibTrans" cxnId="{B1F06136-A5C0-49E3-A8D3-9050A8D28F37}">
      <dgm:prSet/>
      <dgm:spPr/>
      <dgm:t>
        <a:bodyPr/>
        <a:lstStyle/>
        <a:p>
          <a:pPr algn="ctr"/>
          <a:endParaRPr lang="zh-TW" altLang="en-US"/>
        </a:p>
      </dgm:t>
    </dgm:pt>
    <dgm:pt modelId="{E8CD3EAA-9B0A-4E3B-86AF-3CE4A14B16DE}">
      <dgm:prSet phldrT="[文字]"/>
      <dgm:spPr/>
      <dgm:t>
        <a:bodyPr/>
        <a:lstStyle/>
        <a:p>
          <a:pPr algn="ctr"/>
          <a:r>
            <a:rPr lang="zh-TW" altLang="en-US"/>
            <a:t>交通一卡通</a:t>
          </a:r>
        </a:p>
      </dgm:t>
    </dgm:pt>
    <dgm:pt modelId="{08717165-6C04-4DDE-8758-1A0B62CAEBA4}" type="parTrans" cxnId="{C0F49A17-64CF-4DC6-9738-D9D67454CF93}">
      <dgm:prSet/>
      <dgm:spPr/>
      <dgm:t>
        <a:bodyPr/>
        <a:lstStyle/>
        <a:p>
          <a:pPr algn="ctr"/>
          <a:endParaRPr lang="zh-TW" altLang="en-US"/>
        </a:p>
      </dgm:t>
    </dgm:pt>
    <dgm:pt modelId="{47712A08-5A51-4A6B-852B-3032D2BD485E}" type="sibTrans" cxnId="{C0F49A17-64CF-4DC6-9738-D9D67454CF93}">
      <dgm:prSet/>
      <dgm:spPr/>
      <dgm:t>
        <a:bodyPr/>
        <a:lstStyle/>
        <a:p>
          <a:pPr algn="ctr"/>
          <a:endParaRPr lang="zh-TW" altLang="en-US"/>
        </a:p>
      </dgm:t>
    </dgm:pt>
    <dgm:pt modelId="{02A8A086-1EBB-42BA-A63B-9DE2F5BCFF5A}">
      <dgm:prSet phldrT="[文字]"/>
      <dgm:spPr/>
      <dgm:t>
        <a:bodyPr/>
        <a:lstStyle/>
        <a:p>
          <a:pPr algn="just"/>
          <a:r>
            <a:rPr lang="en-US" altLang="zh-TW"/>
            <a:t>IC</a:t>
          </a:r>
          <a:r>
            <a:rPr lang="zh-TW" altLang="en-US"/>
            <a:t>智慧卡、電子錢包應用服務</a:t>
          </a:r>
        </a:p>
      </dgm:t>
    </dgm:pt>
    <dgm:pt modelId="{2457D0DA-B769-4612-B43C-62A54081814A}" type="parTrans" cxnId="{8AC51EE1-2B33-4C88-9F45-CD4DA2D8641F}">
      <dgm:prSet/>
      <dgm:spPr/>
      <dgm:t>
        <a:bodyPr/>
        <a:lstStyle/>
        <a:p>
          <a:pPr algn="ctr"/>
          <a:endParaRPr lang="zh-TW" altLang="en-US"/>
        </a:p>
      </dgm:t>
    </dgm:pt>
    <dgm:pt modelId="{A9920E8E-81AA-4DCC-A787-D09BF504715E}" type="sibTrans" cxnId="{8AC51EE1-2B33-4C88-9F45-CD4DA2D8641F}">
      <dgm:prSet/>
      <dgm:spPr/>
      <dgm:t>
        <a:bodyPr/>
        <a:lstStyle/>
        <a:p>
          <a:pPr algn="ctr"/>
          <a:endParaRPr lang="zh-TW" altLang="en-US"/>
        </a:p>
      </dgm:t>
    </dgm:pt>
    <dgm:pt modelId="{7CC80690-978F-43DA-A3CC-A1D011606D63}">
      <dgm:prSet phldrT="[文字]"/>
      <dgm:spPr/>
      <dgm:t>
        <a:bodyPr/>
        <a:lstStyle/>
        <a:p>
          <a:pPr algn="ctr"/>
          <a:r>
            <a:rPr lang="zh-TW" altLang="en-US"/>
            <a:t>智慧化停車場</a:t>
          </a:r>
        </a:p>
      </dgm:t>
    </dgm:pt>
    <dgm:pt modelId="{263C8091-F42A-4429-B2EF-3314D417760B}" type="parTrans" cxnId="{B0B0FC93-4662-4630-A228-44ACA01DABA4}">
      <dgm:prSet/>
      <dgm:spPr/>
      <dgm:t>
        <a:bodyPr/>
        <a:lstStyle/>
        <a:p>
          <a:pPr algn="ctr"/>
          <a:endParaRPr lang="zh-TW" altLang="en-US"/>
        </a:p>
      </dgm:t>
    </dgm:pt>
    <dgm:pt modelId="{5B500236-B068-4A48-87CB-1FA8BC354742}" type="sibTrans" cxnId="{B0B0FC93-4662-4630-A228-44ACA01DABA4}">
      <dgm:prSet/>
      <dgm:spPr/>
      <dgm:t>
        <a:bodyPr/>
        <a:lstStyle/>
        <a:p>
          <a:pPr algn="ctr"/>
          <a:endParaRPr lang="zh-TW" altLang="en-US"/>
        </a:p>
      </dgm:t>
    </dgm:pt>
    <dgm:pt modelId="{D7571DEB-10DE-4BEF-8FA0-1C875E162978}">
      <dgm:prSet phldrT="[文字]"/>
      <dgm:spPr/>
      <dgm:t>
        <a:bodyPr/>
        <a:lstStyle/>
        <a:p>
          <a:pPr algn="ctr"/>
          <a:r>
            <a:rPr lang="zh-TW" altLang="en-US"/>
            <a:t>會員卡服務</a:t>
          </a:r>
        </a:p>
      </dgm:t>
    </dgm:pt>
    <dgm:pt modelId="{9152731C-58CE-4E23-B252-048EB6A5FB60}" type="parTrans" cxnId="{745D141D-DFEB-4089-BC14-F4D3E2E127F9}">
      <dgm:prSet/>
      <dgm:spPr/>
      <dgm:t>
        <a:bodyPr/>
        <a:lstStyle/>
        <a:p>
          <a:pPr algn="ctr"/>
          <a:endParaRPr lang="zh-TW" altLang="en-US"/>
        </a:p>
      </dgm:t>
    </dgm:pt>
    <dgm:pt modelId="{C10956F3-AEA9-4B51-8007-1F3AEAA2ED62}" type="sibTrans" cxnId="{745D141D-DFEB-4089-BC14-F4D3E2E127F9}">
      <dgm:prSet/>
      <dgm:spPr/>
      <dgm:t>
        <a:bodyPr/>
        <a:lstStyle/>
        <a:p>
          <a:pPr algn="ctr"/>
          <a:endParaRPr lang="zh-TW" altLang="en-US"/>
        </a:p>
      </dgm:t>
    </dgm:pt>
    <dgm:pt modelId="{ACAAFA93-26D4-4578-843A-55064E0984A8}">
      <dgm:prSet phldrT="[文字]"/>
      <dgm:spPr/>
      <dgm:t>
        <a:bodyPr/>
        <a:lstStyle/>
        <a:p>
          <a:pPr algn="ctr"/>
          <a:r>
            <a:rPr lang="zh-TW" altLang="en-US"/>
            <a:t>車上寬頻與多媒體娛樂服務</a:t>
          </a:r>
        </a:p>
      </dgm:t>
    </dgm:pt>
    <dgm:pt modelId="{D1CED607-2EFE-482C-B41D-2EF0DCE5F767}" type="parTrans" cxnId="{3C2F50A5-E780-42DC-BA67-49238C8E5AD6}">
      <dgm:prSet/>
      <dgm:spPr/>
      <dgm:t>
        <a:bodyPr/>
        <a:lstStyle/>
        <a:p>
          <a:pPr algn="ctr"/>
          <a:endParaRPr lang="zh-TW" altLang="en-US"/>
        </a:p>
      </dgm:t>
    </dgm:pt>
    <dgm:pt modelId="{64E701BB-D2EE-43DF-9AE7-ED233778E049}" type="sibTrans" cxnId="{3C2F50A5-E780-42DC-BA67-49238C8E5AD6}">
      <dgm:prSet/>
      <dgm:spPr/>
      <dgm:t>
        <a:bodyPr/>
        <a:lstStyle/>
        <a:p>
          <a:pPr algn="ctr"/>
          <a:endParaRPr lang="zh-TW" altLang="en-US"/>
        </a:p>
      </dgm:t>
    </dgm:pt>
    <dgm:pt modelId="{361239ED-42B8-4832-901E-8CBE554F3537}">
      <dgm:prSet phldrT="[文字]"/>
      <dgm:spPr/>
      <dgm:t>
        <a:bodyPr/>
        <a:lstStyle/>
        <a:p>
          <a:pPr algn="ctr"/>
          <a:r>
            <a:rPr lang="zh-TW" altLang="en-US"/>
            <a:t>車隊管理服務</a:t>
          </a:r>
        </a:p>
      </dgm:t>
    </dgm:pt>
    <dgm:pt modelId="{CD8D186F-A366-479F-820C-6165FFDCDD67}" type="parTrans" cxnId="{83887E82-2826-4CD8-9384-E4C6AC586F0A}">
      <dgm:prSet/>
      <dgm:spPr/>
      <dgm:t>
        <a:bodyPr/>
        <a:lstStyle/>
        <a:p>
          <a:pPr algn="ctr"/>
          <a:endParaRPr lang="zh-TW" altLang="en-US"/>
        </a:p>
      </dgm:t>
    </dgm:pt>
    <dgm:pt modelId="{72311714-D493-4D13-80B4-82B7F6D493DD}" type="sibTrans" cxnId="{83887E82-2826-4CD8-9384-E4C6AC586F0A}">
      <dgm:prSet/>
      <dgm:spPr/>
      <dgm:t>
        <a:bodyPr/>
        <a:lstStyle/>
        <a:p>
          <a:pPr algn="ctr"/>
          <a:endParaRPr lang="zh-TW" altLang="en-US"/>
        </a:p>
      </dgm:t>
    </dgm:pt>
    <dgm:pt modelId="{1D872EEA-F971-4459-BC67-06AF80072848}">
      <dgm:prSet phldrT="[文字]"/>
      <dgm:spPr/>
      <dgm:t>
        <a:bodyPr/>
        <a:lstStyle/>
        <a:p>
          <a:pPr algn="ctr"/>
          <a:r>
            <a:rPr lang="zh-TW" altLang="en-US"/>
            <a:t>乘客安全與保全</a:t>
          </a:r>
        </a:p>
      </dgm:t>
    </dgm:pt>
    <dgm:pt modelId="{BCD48CEC-7715-4F93-BC88-927CC9017A9A}" type="parTrans" cxnId="{16BB5D3F-1968-4E05-A636-F6077882A441}">
      <dgm:prSet/>
      <dgm:spPr/>
      <dgm:t>
        <a:bodyPr/>
        <a:lstStyle/>
        <a:p>
          <a:pPr algn="ctr"/>
          <a:endParaRPr lang="zh-TW" altLang="en-US"/>
        </a:p>
      </dgm:t>
    </dgm:pt>
    <dgm:pt modelId="{0118BE5D-F983-40D6-BBE6-7FE6FB879677}" type="sibTrans" cxnId="{16BB5D3F-1968-4E05-A636-F6077882A441}">
      <dgm:prSet/>
      <dgm:spPr/>
      <dgm:t>
        <a:bodyPr/>
        <a:lstStyle/>
        <a:p>
          <a:pPr algn="ctr"/>
          <a:endParaRPr lang="zh-TW" altLang="en-US"/>
        </a:p>
      </dgm:t>
    </dgm:pt>
    <dgm:pt modelId="{DAE676F0-0588-4BA9-9893-A380AD5244D6}">
      <dgm:prSet phldrT="[文字]"/>
      <dgm:spPr/>
      <dgm:t>
        <a:bodyPr/>
        <a:lstStyle/>
        <a:p>
          <a:pPr algn="ctr"/>
          <a:r>
            <a:rPr lang="zh-TW" altLang="en-US"/>
            <a:t>車輛安全與保全</a:t>
          </a:r>
        </a:p>
      </dgm:t>
    </dgm:pt>
    <dgm:pt modelId="{90D5D0A6-07BD-4388-8861-BC31A201E3C5}" type="parTrans" cxnId="{327889B2-E0ED-4557-A560-746CB4009B49}">
      <dgm:prSet/>
      <dgm:spPr/>
      <dgm:t>
        <a:bodyPr/>
        <a:lstStyle/>
        <a:p>
          <a:pPr algn="ctr"/>
          <a:endParaRPr lang="zh-TW" altLang="en-US"/>
        </a:p>
      </dgm:t>
    </dgm:pt>
    <dgm:pt modelId="{D5D2238C-B022-43B5-B91B-963EDB1E8DA7}" type="sibTrans" cxnId="{327889B2-E0ED-4557-A560-746CB4009B49}">
      <dgm:prSet/>
      <dgm:spPr/>
      <dgm:t>
        <a:bodyPr/>
        <a:lstStyle/>
        <a:p>
          <a:pPr algn="ctr"/>
          <a:endParaRPr lang="zh-TW" altLang="en-US"/>
        </a:p>
      </dgm:t>
    </dgm:pt>
    <dgm:pt modelId="{D45B1D54-14F4-44D1-A5DE-D6444D6EFCF3}">
      <dgm:prSet phldrT="[文字]"/>
      <dgm:spPr/>
      <dgm:t>
        <a:bodyPr/>
        <a:lstStyle/>
        <a:p>
          <a:pPr algn="ctr"/>
          <a:r>
            <a:rPr lang="zh-TW" altLang="en-US"/>
            <a:t>行車導航與旅遊資訊服務</a:t>
          </a:r>
        </a:p>
      </dgm:t>
    </dgm:pt>
    <dgm:pt modelId="{EC1FE792-3AF0-4847-AC99-D4DCD7BDB752}" type="parTrans" cxnId="{AF1AEC42-0556-404A-A7CA-44E02075C146}">
      <dgm:prSet/>
      <dgm:spPr/>
      <dgm:t>
        <a:bodyPr/>
        <a:lstStyle/>
        <a:p>
          <a:pPr algn="ctr"/>
          <a:endParaRPr lang="zh-TW" altLang="en-US"/>
        </a:p>
      </dgm:t>
    </dgm:pt>
    <dgm:pt modelId="{DE54A8CB-B6A2-41A6-8253-9EE78B829D0C}" type="sibTrans" cxnId="{AF1AEC42-0556-404A-A7CA-44E02075C146}">
      <dgm:prSet/>
      <dgm:spPr/>
      <dgm:t>
        <a:bodyPr/>
        <a:lstStyle/>
        <a:p>
          <a:pPr algn="ctr"/>
          <a:endParaRPr lang="zh-TW" altLang="en-US"/>
        </a:p>
      </dgm:t>
    </dgm:pt>
    <dgm:pt modelId="{8CD934AE-F83E-4144-9794-ED6A0505144A}">
      <dgm:prSet phldrT="[文字]"/>
      <dgm:spPr/>
      <dgm:t>
        <a:bodyPr/>
        <a:lstStyle/>
        <a:p>
          <a:pPr algn="ctr"/>
          <a:r>
            <a:rPr lang="en-US" altLang="zh-TW"/>
            <a:t>e</a:t>
          </a:r>
          <a:r>
            <a:rPr lang="zh-TW" altLang="en-US"/>
            <a:t>化交通</a:t>
          </a:r>
        </a:p>
      </dgm:t>
    </dgm:pt>
    <dgm:pt modelId="{04E43B5C-5AE0-4248-925A-4F682FC7A9F5}" type="parTrans" cxnId="{C48B2E91-2E9A-4244-80AE-E3DFF9C9C318}">
      <dgm:prSet/>
      <dgm:spPr/>
      <dgm:t>
        <a:bodyPr/>
        <a:lstStyle/>
        <a:p>
          <a:pPr algn="ctr"/>
          <a:endParaRPr lang="zh-TW" altLang="en-US"/>
        </a:p>
      </dgm:t>
    </dgm:pt>
    <dgm:pt modelId="{98F83A26-9729-428B-984E-B2A43AC98BDB}" type="sibTrans" cxnId="{C48B2E91-2E9A-4244-80AE-E3DFF9C9C318}">
      <dgm:prSet/>
      <dgm:spPr/>
      <dgm:t>
        <a:bodyPr/>
        <a:lstStyle/>
        <a:p>
          <a:pPr algn="ctr"/>
          <a:endParaRPr lang="zh-TW" altLang="en-US"/>
        </a:p>
      </dgm:t>
    </dgm:pt>
    <dgm:pt modelId="{B6EAF6A3-C01C-4BA2-B906-28A1399D53E5}" type="pres">
      <dgm:prSet presAssocID="{346DFF7B-F32F-427A-8E49-12FFC35489EF}" presName="Name0" presStyleCnt="0">
        <dgm:presLayoutVars>
          <dgm:chMax val="1"/>
          <dgm:dir/>
          <dgm:animLvl val="ctr"/>
          <dgm:resizeHandles val="exact"/>
        </dgm:presLayoutVars>
      </dgm:prSet>
      <dgm:spPr/>
    </dgm:pt>
    <dgm:pt modelId="{95906CCC-4385-47BD-B8D3-DF5E6BCD0A25}" type="pres">
      <dgm:prSet presAssocID="{5FC1539F-61FB-4A94-A193-0EB14FDFF905}" presName="centerShape" presStyleLbl="node0" presStyleIdx="0" presStyleCnt="1" custScaleX="212020" custScaleY="132601"/>
      <dgm:spPr/>
    </dgm:pt>
    <dgm:pt modelId="{9A803409-FA05-490E-A6B3-C0B5A0C7BE0A}" type="pres">
      <dgm:prSet presAssocID="{D88CCE7C-7437-487D-BE4B-F28A4E5BC440}" presName="parTrans" presStyleLbl="sibTrans2D1" presStyleIdx="0" presStyleCnt="11"/>
      <dgm:spPr/>
    </dgm:pt>
    <dgm:pt modelId="{2F2B3C0D-172D-4EE9-861F-BA393B9080EE}" type="pres">
      <dgm:prSet presAssocID="{D88CCE7C-7437-487D-BE4B-F28A4E5BC440}" presName="connectorText" presStyleLbl="sibTrans2D1" presStyleIdx="0" presStyleCnt="11"/>
      <dgm:spPr/>
    </dgm:pt>
    <dgm:pt modelId="{4A857264-27B0-4A95-AF98-C4D8F5C344C7}" type="pres">
      <dgm:prSet presAssocID="{9633CF59-D113-4C23-8852-4A1C67C80B1B}" presName="node" presStyleLbl="node1" presStyleIdx="0" presStyleCnt="11">
        <dgm:presLayoutVars>
          <dgm:bulletEnabled val="1"/>
        </dgm:presLayoutVars>
      </dgm:prSet>
      <dgm:spPr/>
    </dgm:pt>
    <dgm:pt modelId="{DE616621-A85D-4A42-9BCE-3A115391986A}" type="pres">
      <dgm:prSet presAssocID="{08717165-6C04-4DDE-8758-1A0B62CAEBA4}" presName="parTrans" presStyleLbl="sibTrans2D1" presStyleIdx="1" presStyleCnt="11"/>
      <dgm:spPr/>
    </dgm:pt>
    <dgm:pt modelId="{1FC611ED-DA85-430C-BF5E-4543B9E6E8FC}" type="pres">
      <dgm:prSet presAssocID="{08717165-6C04-4DDE-8758-1A0B62CAEBA4}" presName="connectorText" presStyleLbl="sibTrans2D1" presStyleIdx="1" presStyleCnt="11"/>
      <dgm:spPr/>
    </dgm:pt>
    <dgm:pt modelId="{96298BC3-A556-40AD-8B11-BBD0B8DCC1E5}" type="pres">
      <dgm:prSet presAssocID="{E8CD3EAA-9B0A-4E3B-86AF-3CE4A14B16DE}" presName="node" presStyleLbl="node1" presStyleIdx="1" presStyleCnt="11">
        <dgm:presLayoutVars>
          <dgm:bulletEnabled val="1"/>
        </dgm:presLayoutVars>
      </dgm:prSet>
      <dgm:spPr/>
    </dgm:pt>
    <dgm:pt modelId="{E7DFF8C6-50C7-4DDF-9D92-A025DFF68886}" type="pres">
      <dgm:prSet presAssocID="{2457D0DA-B769-4612-B43C-62A54081814A}" presName="parTrans" presStyleLbl="sibTrans2D1" presStyleIdx="2" presStyleCnt="11"/>
      <dgm:spPr/>
    </dgm:pt>
    <dgm:pt modelId="{0DDC2886-911F-47D2-A10C-7B121312000A}" type="pres">
      <dgm:prSet presAssocID="{2457D0DA-B769-4612-B43C-62A54081814A}" presName="connectorText" presStyleLbl="sibTrans2D1" presStyleIdx="2" presStyleCnt="11"/>
      <dgm:spPr/>
    </dgm:pt>
    <dgm:pt modelId="{52E89F2B-BD41-45C4-A339-F57811EBF4E2}" type="pres">
      <dgm:prSet presAssocID="{02A8A086-1EBB-42BA-A63B-9DE2F5BCFF5A}" presName="node" presStyleLbl="node1" presStyleIdx="2" presStyleCnt="11">
        <dgm:presLayoutVars>
          <dgm:bulletEnabled val="1"/>
        </dgm:presLayoutVars>
      </dgm:prSet>
      <dgm:spPr/>
    </dgm:pt>
    <dgm:pt modelId="{67720342-D44F-4C6F-83EF-0A29454699FC}" type="pres">
      <dgm:prSet presAssocID="{263C8091-F42A-4429-B2EF-3314D417760B}" presName="parTrans" presStyleLbl="sibTrans2D1" presStyleIdx="3" presStyleCnt="11"/>
      <dgm:spPr/>
    </dgm:pt>
    <dgm:pt modelId="{E429D60C-B24A-444C-96A5-8A77DB28B442}" type="pres">
      <dgm:prSet presAssocID="{263C8091-F42A-4429-B2EF-3314D417760B}" presName="connectorText" presStyleLbl="sibTrans2D1" presStyleIdx="3" presStyleCnt="11"/>
      <dgm:spPr/>
    </dgm:pt>
    <dgm:pt modelId="{80C42032-DD1A-4A46-8AF2-2CA82153BFDC}" type="pres">
      <dgm:prSet presAssocID="{7CC80690-978F-43DA-A3CC-A1D011606D63}" presName="node" presStyleLbl="node1" presStyleIdx="3" presStyleCnt="11">
        <dgm:presLayoutVars>
          <dgm:bulletEnabled val="1"/>
        </dgm:presLayoutVars>
      </dgm:prSet>
      <dgm:spPr/>
    </dgm:pt>
    <dgm:pt modelId="{877FA883-68F0-4E17-8A2D-DFE3F48E1E5B}" type="pres">
      <dgm:prSet presAssocID="{9152731C-58CE-4E23-B252-048EB6A5FB60}" presName="parTrans" presStyleLbl="sibTrans2D1" presStyleIdx="4" presStyleCnt="11"/>
      <dgm:spPr/>
    </dgm:pt>
    <dgm:pt modelId="{60B6728D-97AE-49C7-BB68-66368785D770}" type="pres">
      <dgm:prSet presAssocID="{9152731C-58CE-4E23-B252-048EB6A5FB60}" presName="connectorText" presStyleLbl="sibTrans2D1" presStyleIdx="4" presStyleCnt="11"/>
      <dgm:spPr/>
    </dgm:pt>
    <dgm:pt modelId="{1A485BCC-E403-4D16-BF04-EB061793C408}" type="pres">
      <dgm:prSet presAssocID="{D7571DEB-10DE-4BEF-8FA0-1C875E162978}" presName="node" presStyleLbl="node1" presStyleIdx="4" presStyleCnt="11">
        <dgm:presLayoutVars>
          <dgm:bulletEnabled val="1"/>
        </dgm:presLayoutVars>
      </dgm:prSet>
      <dgm:spPr/>
    </dgm:pt>
    <dgm:pt modelId="{66034637-164A-44E3-B6E9-93C25C131ED2}" type="pres">
      <dgm:prSet presAssocID="{D1CED607-2EFE-482C-B41D-2EF0DCE5F767}" presName="parTrans" presStyleLbl="sibTrans2D1" presStyleIdx="5" presStyleCnt="11"/>
      <dgm:spPr/>
    </dgm:pt>
    <dgm:pt modelId="{4DBB504B-55D6-48A9-B380-8F02804536C6}" type="pres">
      <dgm:prSet presAssocID="{D1CED607-2EFE-482C-B41D-2EF0DCE5F767}" presName="connectorText" presStyleLbl="sibTrans2D1" presStyleIdx="5" presStyleCnt="11"/>
      <dgm:spPr/>
    </dgm:pt>
    <dgm:pt modelId="{4EA929EC-017F-4B49-B5DB-B20EE6324FE4}" type="pres">
      <dgm:prSet presAssocID="{ACAAFA93-26D4-4578-843A-55064E0984A8}" presName="node" presStyleLbl="node1" presStyleIdx="5" presStyleCnt="11">
        <dgm:presLayoutVars>
          <dgm:bulletEnabled val="1"/>
        </dgm:presLayoutVars>
      </dgm:prSet>
      <dgm:spPr/>
    </dgm:pt>
    <dgm:pt modelId="{60D60D26-ED4A-489B-9220-9F1B02D63211}" type="pres">
      <dgm:prSet presAssocID="{CD8D186F-A366-479F-820C-6165FFDCDD67}" presName="parTrans" presStyleLbl="sibTrans2D1" presStyleIdx="6" presStyleCnt="11"/>
      <dgm:spPr/>
    </dgm:pt>
    <dgm:pt modelId="{0517D31D-85BD-4ECF-BAA4-4C0896DA159C}" type="pres">
      <dgm:prSet presAssocID="{CD8D186F-A366-479F-820C-6165FFDCDD67}" presName="connectorText" presStyleLbl="sibTrans2D1" presStyleIdx="6" presStyleCnt="11"/>
      <dgm:spPr/>
    </dgm:pt>
    <dgm:pt modelId="{1D059D8C-0209-4645-9EE6-6903F12A8A54}" type="pres">
      <dgm:prSet presAssocID="{361239ED-42B8-4832-901E-8CBE554F3537}" presName="node" presStyleLbl="node1" presStyleIdx="6" presStyleCnt="11">
        <dgm:presLayoutVars>
          <dgm:bulletEnabled val="1"/>
        </dgm:presLayoutVars>
      </dgm:prSet>
      <dgm:spPr/>
    </dgm:pt>
    <dgm:pt modelId="{0FBE566E-059A-4FA6-8196-3DA87BB8DD72}" type="pres">
      <dgm:prSet presAssocID="{BCD48CEC-7715-4F93-BC88-927CC9017A9A}" presName="parTrans" presStyleLbl="sibTrans2D1" presStyleIdx="7" presStyleCnt="11"/>
      <dgm:spPr/>
    </dgm:pt>
    <dgm:pt modelId="{FEC0C502-5EE1-476F-A816-DE4439A09BD0}" type="pres">
      <dgm:prSet presAssocID="{BCD48CEC-7715-4F93-BC88-927CC9017A9A}" presName="connectorText" presStyleLbl="sibTrans2D1" presStyleIdx="7" presStyleCnt="11"/>
      <dgm:spPr/>
    </dgm:pt>
    <dgm:pt modelId="{CA290A0C-2D6D-4937-BB6D-3E1E7867677E}" type="pres">
      <dgm:prSet presAssocID="{1D872EEA-F971-4459-BC67-06AF80072848}" presName="node" presStyleLbl="node1" presStyleIdx="7" presStyleCnt="11">
        <dgm:presLayoutVars>
          <dgm:bulletEnabled val="1"/>
        </dgm:presLayoutVars>
      </dgm:prSet>
      <dgm:spPr/>
    </dgm:pt>
    <dgm:pt modelId="{51B48F61-1498-4AE7-95BE-ACEE49C1251A}" type="pres">
      <dgm:prSet presAssocID="{90D5D0A6-07BD-4388-8861-BC31A201E3C5}" presName="parTrans" presStyleLbl="sibTrans2D1" presStyleIdx="8" presStyleCnt="11"/>
      <dgm:spPr/>
    </dgm:pt>
    <dgm:pt modelId="{1F8D9E10-3CCC-4530-B915-765D6A3EA843}" type="pres">
      <dgm:prSet presAssocID="{90D5D0A6-07BD-4388-8861-BC31A201E3C5}" presName="connectorText" presStyleLbl="sibTrans2D1" presStyleIdx="8" presStyleCnt="11"/>
      <dgm:spPr/>
    </dgm:pt>
    <dgm:pt modelId="{B9BA739F-A1E2-4374-9326-3ECDA50BCDF8}" type="pres">
      <dgm:prSet presAssocID="{DAE676F0-0588-4BA9-9893-A380AD5244D6}" presName="node" presStyleLbl="node1" presStyleIdx="8" presStyleCnt="11">
        <dgm:presLayoutVars>
          <dgm:bulletEnabled val="1"/>
        </dgm:presLayoutVars>
      </dgm:prSet>
      <dgm:spPr/>
    </dgm:pt>
    <dgm:pt modelId="{2D251DAD-62C3-4052-8311-85553ACAF0FA}" type="pres">
      <dgm:prSet presAssocID="{EC1FE792-3AF0-4847-AC99-D4DCD7BDB752}" presName="parTrans" presStyleLbl="sibTrans2D1" presStyleIdx="9" presStyleCnt="11"/>
      <dgm:spPr/>
    </dgm:pt>
    <dgm:pt modelId="{89C0A9C3-59AD-4C23-86CB-2BC9319A27F1}" type="pres">
      <dgm:prSet presAssocID="{EC1FE792-3AF0-4847-AC99-D4DCD7BDB752}" presName="connectorText" presStyleLbl="sibTrans2D1" presStyleIdx="9" presStyleCnt="11"/>
      <dgm:spPr/>
    </dgm:pt>
    <dgm:pt modelId="{83EDFCB6-9C3A-4BDB-A280-2ACCE87E9510}" type="pres">
      <dgm:prSet presAssocID="{D45B1D54-14F4-44D1-A5DE-D6444D6EFCF3}" presName="node" presStyleLbl="node1" presStyleIdx="9" presStyleCnt="11">
        <dgm:presLayoutVars>
          <dgm:bulletEnabled val="1"/>
        </dgm:presLayoutVars>
      </dgm:prSet>
      <dgm:spPr/>
    </dgm:pt>
    <dgm:pt modelId="{2695EA9F-E19B-4500-83FB-769453256F58}" type="pres">
      <dgm:prSet presAssocID="{04E43B5C-5AE0-4248-925A-4F682FC7A9F5}" presName="parTrans" presStyleLbl="sibTrans2D1" presStyleIdx="10" presStyleCnt="11"/>
      <dgm:spPr/>
    </dgm:pt>
    <dgm:pt modelId="{9C645BBE-A877-4C30-82D3-015F33BE4124}" type="pres">
      <dgm:prSet presAssocID="{04E43B5C-5AE0-4248-925A-4F682FC7A9F5}" presName="connectorText" presStyleLbl="sibTrans2D1" presStyleIdx="10" presStyleCnt="11"/>
      <dgm:spPr/>
    </dgm:pt>
    <dgm:pt modelId="{15FA0CC2-E04B-4FD7-9871-63BD73EFC854}" type="pres">
      <dgm:prSet presAssocID="{8CD934AE-F83E-4144-9794-ED6A0505144A}" presName="node" presStyleLbl="node1" presStyleIdx="10" presStyleCnt="11">
        <dgm:presLayoutVars>
          <dgm:bulletEnabled val="1"/>
        </dgm:presLayoutVars>
      </dgm:prSet>
      <dgm:spPr/>
    </dgm:pt>
  </dgm:ptLst>
  <dgm:cxnLst>
    <dgm:cxn modelId="{B1F06136-A5C0-49E3-A8D3-9050A8D28F37}" srcId="{5FC1539F-61FB-4A94-A193-0EB14FDFF905}" destId="{9633CF59-D113-4C23-8852-4A1C67C80B1B}" srcOrd="0" destOrd="0" parTransId="{D88CCE7C-7437-487D-BE4B-F28A4E5BC440}" sibTransId="{3A7ACD7D-D18B-4625-956D-0AFEF259B9E5}"/>
    <dgm:cxn modelId="{EFD14A76-85E4-4C81-84F9-01AEA208E6B7}" type="presOf" srcId="{08717165-6C04-4DDE-8758-1A0B62CAEBA4}" destId="{DE616621-A85D-4A42-9BCE-3A115391986A}" srcOrd="0" destOrd="0" presId="urn:microsoft.com/office/officeart/2005/8/layout/radial5"/>
    <dgm:cxn modelId="{16BB5D3F-1968-4E05-A636-F6077882A441}" srcId="{5FC1539F-61FB-4A94-A193-0EB14FDFF905}" destId="{1D872EEA-F971-4459-BC67-06AF80072848}" srcOrd="7" destOrd="0" parTransId="{BCD48CEC-7715-4F93-BC88-927CC9017A9A}" sibTransId="{0118BE5D-F983-40D6-BBE6-7FE6FB879677}"/>
    <dgm:cxn modelId="{745D141D-DFEB-4089-BC14-F4D3E2E127F9}" srcId="{5FC1539F-61FB-4A94-A193-0EB14FDFF905}" destId="{D7571DEB-10DE-4BEF-8FA0-1C875E162978}" srcOrd="4" destOrd="0" parTransId="{9152731C-58CE-4E23-B252-048EB6A5FB60}" sibTransId="{C10956F3-AEA9-4B51-8007-1F3AEAA2ED62}"/>
    <dgm:cxn modelId="{96AADFEC-6BF9-45EC-BBD8-B43D98103617}" type="presOf" srcId="{2457D0DA-B769-4612-B43C-62A54081814A}" destId="{0DDC2886-911F-47D2-A10C-7B121312000A}" srcOrd="1" destOrd="0" presId="urn:microsoft.com/office/officeart/2005/8/layout/radial5"/>
    <dgm:cxn modelId="{4EC70A8E-BF6F-48BC-829E-58792149377F}" type="presOf" srcId="{BCD48CEC-7715-4F93-BC88-927CC9017A9A}" destId="{0FBE566E-059A-4FA6-8196-3DA87BB8DD72}" srcOrd="0" destOrd="0" presId="urn:microsoft.com/office/officeart/2005/8/layout/radial5"/>
    <dgm:cxn modelId="{15F2D4AB-3851-4459-A26E-2A0AF18A31B2}" type="presOf" srcId="{8CD934AE-F83E-4144-9794-ED6A0505144A}" destId="{15FA0CC2-E04B-4FD7-9871-63BD73EFC854}" srcOrd="0" destOrd="0" presId="urn:microsoft.com/office/officeart/2005/8/layout/radial5"/>
    <dgm:cxn modelId="{FF7051DA-86D4-4ED4-8B06-6C7C5802AC8F}" type="presOf" srcId="{9152731C-58CE-4E23-B252-048EB6A5FB60}" destId="{60B6728D-97AE-49C7-BB68-66368785D770}" srcOrd="1" destOrd="0" presId="urn:microsoft.com/office/officeart/2005/8/layout/radial5"/>
    <dgm:cxn modelId="{63EDF648-8759-4E7C-90F1-C05F6C8C5329}" type="presOf" srcId="{D88CCE7C-7437-487D-BE4B-F28A4E5BC440}" destId="{2F2B3C0D-172D-4EE9-861F-BA393B9080EE}" srcOrd="1" destOrd="0" presId="urn:microsoft.com/office/officeart/2005/8/layout/radial5"/>
    <dgm:cxn modelId="{F9E97EDD-AA57-440D-8B50-14A5DB80B2BF}" type="presOf" srcId="{2457D0DA-B769-4612-B43C-62A54081814A}" destId="{E7DFF8C6-50C7-4DDF-9D92-A025DFF68886}" srcOrd="0" destOrd="0" presId="urn:microsoft.com/office/officeart/2005/8/layout/radial5"/>
    <dgm:cxn modelId="{836918C5-800A-4133-8935-DB3BA7D0F5FA}" type="presOf" srcId="{E8CD3EAA-9B0A-4E3B-86AF-3CE4A14B16DE}" destId="{96298BC3-A556-40AD-8B11-BBD0B8DCC1E5}" srcOrd="0" destOrd="0" presId="urn:microsoft.com/office/officeart/2005/8/layout/radial5"/>
    <dgm:cxn modelId="{C0F49A17-64CF-4DC6-9738-D9D67454CF93}" srcId="{5FC1539F-61FB-4A94-A193-0EB14FDFF905}" destId="{E8CD3EAA-9B0A-4E3B-86AF-3CE4A14B16DE}" srcOrd="1" destOrd="0" parTransId="{08717165-6C04-4DDE-8758-1A0B62CAEBA4}" sibTransId="{47712A08-5A51-4A6B-852B-3032D2BD485E}"/>
    <dgm:cxn modelId="{B0B0FC93-4662-4630-A228-44ACA01DABA4}" srcId="{5FC1539F-61FB-4A94-A193-0EB14FDFF905}" destId="{7CC80690-978F-43DA-A3CC-A1D011606D63}" srcOrd="3" destOrd="0" parTransId="{263C8091-F42A-4429-B2EF-3314D417760B}" sibTransId="{5B500236-B068-4A48-87CB-1FA8BC354742}"/>
    <dgm:cxn modelId="{B9D7DA7E-0794-4796-8D2C-4E294C3587D1}" type="presOf" srcId="{BCD48CEC-7715-4F93-BC88-927CC9017A9A}" destId="{FEC0C502-5EE1-476F-A816-DE4439A09BD0}" srcOrd="1" destOrd="0" presId="urn:microsoft.com/office/officeart/2005/8/layout/radial5"/>
    <dgm:cxn modelId="{08B38558-B2AC-4046-A8C2-C66368A6AE5D}" type="presOf" srcId="{EC1FE792-3AF0-4847-AC99-D4DCD7BDB752}" destId="{89C0A9C3-59AD-4C23-86CB-2BC9319A27F1}" srcOrd="1" destOrd="0" presId="urn:microsoft.com/office/officeart/2005/8/layout/radial5"/>
    <dgm:cxn modelId="{327889B2-E0ED-4557-A560-746CB4009B49}" srcId="{5FC1539F-61FB-4A94-A193-0EB14FDFF905}" destId="{DAE676F0-0588-4BA9-9893-A380AD5244D6}" srcOrd="8" destOrd="0" parTransId="{90D5D0A6-07BD-4388-8861-BC31A201E3C5}" sibTransId="{D5D2238C-B022-43B5-B91B-963EDB1E8DA7}"/>
    <dgm:cxn modelId="{AB40F8A6-3E60-4CEE-9747-E04E73599452}" type="presOf" srcId="{CD8D186F-A366-479F-820C-6165FFDCDD67}" destId="{0517D31D-85BD-4ECF-BAA4-4C0896DA159C}" srcOrd="1" destOrd="0" presId="urn:microsoft.com/office/officeart/2005/8/layout/radial5"/>
    <dgm:cxn modelId="{6311CA08-9547-4F60-A68C-B9E5D902A65D}" type="presOf" srcId="{08717165-6C04-4DDE-8758-1A0B62CAEBA4}" destId="{1FC611ED-DA85-430C-BF5E-4543B9E6E8FC}" srcOrd="1" destOrd="0" presId="urn:microsoft.com/office/officeart/2005/8/layout/radial5"/>
    <dgm:cxn modelId="{8AC51EE1-2B33-4C88-9F45-CD4DA2D8641F}" srcId="{5FC1539F-61FB-4A94-A193-0EB14FDFF905}" destId="{02A8A086-1EBB-42BA-A63B-9DE2F5BCFF5A}" srcOrd="2" destOrd="0" parTransId="{2457D0DA-B769-4612-B43C-62A54081814A}" sibTransId="{A9920E8E-81AA-4DCC-A787-D09BF504715E}"/>
    <dgm:cxn modelId="{D98D12A5-6C4C-4304-9470-1C8FCB7D3AC9}" type="presOf" srcId="{263C8091-F42A-4429-B2EF-3314D417760B}" destId="{E429D60C-B24A-444C-96A5-8A77DB28B442}" srcOrd="1" destOrd="0" presId="urn:microsoft.com/office/officeart/2005/8/layout/radial5"/>
    <dgm:cxn modelId="{3E3BF06B-226C-4CF7-B796-CE640CBC1392}" type="presOf" srcId="{D1CED607-2EFE-482C-B41D-2EF0DCE5F767}" destId="{4DBB504B-55D6-48A9-B380-8F02804536C6}" srcOrd="1" destOrd="0" presId="urn:microsoft.com/office/officeart/2005/8/layout/radial5"/>
    <dgm:cxn modelId="{A1ED02F0-ED0E-46AB-8E54-3BA3D716340E}" type="presOf" srcId="{ACAAFA93-26D4-4578-843A-55064E0984A8}" destId="{4EA929EC-017F-4B49-B5DB-B20EE6324FE4}" srcOrd="0" destOrd="0" presId="urn:microsoft.com/office/officeart/2005/8/layout/radial5"/>
    <dgm:cxn modelId="{4BF1E328-025E-4170-9367-318C52350661}" srcId="{346DFF7B-F32F-427A-8E49-12FFC35489EF}" destId="{5FC1539F-61FB-4A94-A193-0EB14FDFF905}" srcOrd="0" destOrd="0" parTransId="{9CD1A578-362B-4E63-ADC3-DE45A52E6CF5}" sibTransId="{F940770F-49DA-40A5-816D-DBB4B6C8E185}"/>
    <dgm:cxn modelId="{A282A48A-8839-4F78-8A6D-0E503B204BFA}" type="presOf" srcId="{D88CCE7C-7437-487D-BE4B-F28A4E5BC440}" destId="{9A803409-FA05-490E-A6B3-C0B5A0C7BE0A}" srcOrd="0" destOrd="0" presId="urn:microsoft.com/office/officeart/2005/8/layout/radial5"/>
    <dgm:cxn modelId="{3C2F50A5-E780-42DC-BA67-49238C8E5AD6}" srcId="{5FC1539F-61FB-4A94-A193-0EB14FDFF905}" destId="{ACAAFA93-26D4-4578-843A-55064E0984A8}" srcOrd="5" destOrd="0" parTransId="{D1CED607-2EFE-482C-B41D-2EF0DCE5F767}" sibTransId="{64E701BB-D2EE-43DF-9AE7-ED233778E049}"/>
    <dgm:cxn modelId="{6DF87D07-2578-4D55-8097-448BA4759B2F}" type="presOf" srcId="{D1CED607-2EFE-482C-B41D-2EF0DCE5F767}" destId="{66034637-164A-44E3-B6E9-93C25C131ED2}" srcOrd="0" destOrd="0" presId="urn:microsoft.com/office/officeart/2005/8/layout/radial5"/>
    <dgm:cxn modelId="{6B78533E-771C-4250-9512-01E72F86FD39}" type="presOf" srcId="{7CC80690-978F-43DA-A3CC-A1D011606D63}" destId="{80C42032-DD1A-4A46-8AF2-2CA82153BFDC}" srcOrd="0" destOrd="0" presId="urn:microsoft.com/office/officeart/2005/8/layout/radial5"/>
    <dgm:cxn modelId="{43710505-3E71-4D64-83F5-8936CD2EE636}" type="presOf" srcId="{5FC1539F-61FB-4A94-A193-0EB14FDFF905}" destId="{95906CCC-4385-47BD-B8D3-DF5E6BCD0A25}" srcOrd="0" destOrd="0" presId="urn:microsoft.com/office/officeart/2005/8/layout/radial5"/>
    <dgm:cxn modelId="{05550223-8380-4816-BD5F-1002459B93AB}" type="presOf" srcId="{263C8091-F42A-4429-B2EF-3314D417760B}" destId="{67720342-D44F-4C6F-83EF-0A29454699FC}" srcOrd="0" destOrd="0" presId="urn:microsoft.com/office/officeart/2005/8/layout/radial5"/>
    <dgm:cxn modelId="{36CA609C-ABAC-4E85-9D02-78FDD34BD581}" type="presOf" srcId="{1D872EEA-F971-4459-BC67-06AF80072848}" destId="{CA290A0C-2D6D-4937-BB6D-3E1E7867677E}" srcOrd="0" destOrd="0" presId="urn:microsoft.com/office/officeart/2005/8/layout/radial5"/>
    <dgm:cxn modelId="{D7CB9E9B-C8EB-4518-B049-59874AAB9B67}" type="presOf" srcId="{90D5D0A6-07BD-4388-8861-BC31A201E3C5}" destId="{51B48F61-1498-4AE7-95BE-ACEE49C1251A}" srcOrd="0" destOrd="0" presId="urn:microsoft.com/office/officeart/2005/8/layout/radial5"/>
    <dgm:cxn modelId="{181D8DEE-3906-417A-955F-42609D749786}" type="presOf" srcId="{9152731C-58CE-4E23-B252-048EB6A5FB60}" destId="{877FA883-68F0-4E17-8A2D-DFE3F48E1E5B}" srcOrd="0" destOrd="0" presId="urn:microsoft.com/office/officeart/2005/8/layout/radial5"/>
    <dgm:cxn modelId="{9AD0AA98-D087-4BDB-80A8-B951169D758F}" type="presOf" srcId="{DAE676F0-0588-4BA9-9893-A380AD5244D6}" destId="{B9BA739F-A1E2-4374-9326-3ECDA50BCDF8}" srcOrd="0" destOrd="0" presId="urn:microsoft.com/office/officeart/2005/8/layout/radial5"/>
    <dgm:cxn modelId="{C48B2E91-2E9A-4244-80AE-E3DFF9C9C318}" srcId="{5FC1539F-61FB-4A94-A193-0EB14FDFF905}" destId="{8CD934AE-F83E-4144-9794-ED6A0505144A}" srcOrd="10" destOrd="0" parTransId="{04E43B5C-5AE0-4248-925A-4F682FC7A9F5}" sibTransId="{98F83A26-9729-428B-984E-B2A43AC98BDB}"/>
    <dgm:cxn modelId="{83887E82-2826-4CD8-9384-E4C6AC586F0A}" srcId="{5FC1539F-61FB-4A94-A193-0EB14FDFF905}" destId="{361239ED-42B8-4832-901E-8CBE554F3537}" srcOrd="6" destOrd="0" parTransId="{CD8D186F-A366-479F-820C-6165FFDCDD67}" sibTransId="{72311714-D493-4D13-80B4-82B7F6D493DD}"/>
    <dgm:cxn modelId="{E21BB67D-F49A-49DF-BA82-1D71108EE54B}" type="presOf" srcId="{90D5D0A6-07BD-4388-8861-BC31A201E3C5}" destId="{1F8D9E10-3CCC-4530-B915-765D6A3EA843}" srcOrd="1" destOrd="0" presId="urn:microsoft.com/office/officeart/2005/8/layout/radial5"/>
    <dgm:cxn modelId="{6F7DD0B2-D872-44CF-9252-A419762DACC8}" type="presOf" srcId="{9633CF59-D113-4C23-8852-4A1C67C80B1B}" destId="{4A857264-27B0-4A95-AF98-C4D8F5C344C7}" srcOrd="0" destOrd="0" presId="urn:microsoft.com/office/officeart/2005/8/layout/radial5"/>
    <dgm:cxn modelId="{0C63250F-CFFE-4F78-B230-F5708340C004}" type="presOf" srcId="{346DFF7B-F32F-427A-8E49-12FFC35489EF}" destId="{B6EAF6A3-C01C-4BA2-B906-28A1399D53E5}" srcOrd="0" destOrd="0" presId="urn:microsoft.com/office/officeart/2005/8/layout/radial5"/>
    <dgm:cxn modelId="{46EBFF46-3C09-44FB-953A-C90A8FF74A7F}" type="presOf" srcId="{D7571DEB-10DE-4BEF-8FA0-1C875E162978}" destId="{1A485BCC-E403-4D16-BF04-EB061793C408}" srcOrd="0" destOrd="0" presId="urn:microsoft.com/office/officeart/2005/8/layout/radial5"/>
    <dgm:cxn modelId="{38479D44-6B5D-471B-94F2-5BCF0406AA18}" type="presOf" srcId="{04E43B5C-5AE0-4248-925A-4F682FC7A9F5}" destId="{9C645BBE-A877-4C30-82D3-015F33BE4124}" srcOrd="1" destOrd="0" presId="urn:microsoft.com/office/officeart/2005/8/layout/radial5"/>
    <dgm:cxn modelId="{B5FB9275-4962-47FA-AFC7-5B11D193D41A}" type="presOf" srcId="{EC1FE792-3AF0-4847-AC99-D4DCD7BDB752}" destId="{2D251DAD-62C3-4052-8311-85553ACAF0FA}" srcOrd="0" destOrd="0" presId="urn:microsoft.com/office/officeart/2005/8/layout/radial5"/>
    <dgm:cxn modelId="{5F9C6DE9-067E-4BF5-AFAC-5C2D34849EF7}" type="presOf" srcId="{D45B1D54-14F4-44D1-A5DE-D6444D6EFCF3}" destId="{83EDFCB6-9C3A-4BDB-A280-2ACCE87E9510}" srcOrd="0" destOrd="0" presId="urn:microsoft.com/office/officeart/2005/8/layout/radial5"/>
    <dgm:cxn modelId="{AF1AEC42-0556-404A-A7CA-44E02075C146}" srcId="{5FC1539F-61FB-4A94-A193-0EB14FDFF905}" destId="{D45B1D54-14F4-44D1-A5DE-D6444D6EFCF3}" srcOrd="9" destOrd="0" parTransId="{EC1FE792-3AF0-4847-AC99-D4DCD7BDB752}" sibTransId="{DE54A8CB-B6A2-41A6-8253-9EE78B829D0C}"/>
    <dgm:cxn modelId="{EA00F6DF-7BC0-493C-9CF9-6442265F9215}" type="presOf" srcId="{CD8D186F-A366-479F-820C-6165FFDCDD67}" destId="{60D60D26-ED4A-489B-9220-9F1B02D63211}" srcOrd="0" destOrd="0" presId="urn:microsoft.com/office/officeart/2005/8/layout/radial5"/>
    <dgm:cxn modelId="{D7CC5D57-F530-45C8-BD8C-0D2A9FCEDE29}" type="presOf" srcId="{361239ED-42B8-4832-901E-8CBE554F3537}" destId="{1D059D8C-0209-4645-9EE6-6903F12A8A54}" srcOrd="0" destOrd="0" presId="urn:microsoft.com/office/officeart/2005/8/layout/radial5"/>
    <dgm:cxn modelId="{A508EDE6-841C-44B2-B0A8-C1C3BAEFE3C3}" type="presOf" srcId="{04E43B5C-5AE0-4248-925A-4F682FC7A9F5}" destId="{2695EA9F-E19B-4500-83FB-769453256F58}" srcOrd="0" destOrd="0" presId="urn:microsoft.com/office/officeart/2005/8/layout/radial5"/>
    <dgm:cxn modelId="{80C299D3-8F4E-4443-9C5B-8D9A6C56F8D7}" type="presOf" srcId="{02A8A086-1EBB-42BA-A63B-9DE2F5BCFF5A}" destId="{52E89F2B-BD41-45C4-A339-F57811EBF4E2}" srcOrd="0" destOrd="0" presId="urn:microsoft.com/office/officeart/2005/8/layout/radial5"/>
    <dgm:cxn modelId="{804A920E-F063-4578-8E82-5F6197CF9893}" type="presParOf" srcId="{B6EAF6A3-C01C-4BA2-B906-28A1399D53E5}" destId="{95906CCC-4385-47BD-B8D3-DF5E6BCD0A25}" srcOrd="0" destOrd="0" presId="urn:microsoft.com/office/officeart/2005/8/layout/radial5"/>
    <dgm:cxn modelId="{D60F31A6-DBB3-450F-BA1F-915A5B7F972A}" type="presParOf" srcId="{B6EAF6A3-C01C-4BA2-B906-28A1399D53E5}" destId="{9A803409-FA05-490E-A6B3-C0B5A0C7BE0A}" srcOrd="1" destOrd="0" presId="urn:microsoft.com/office/officeart/2005/8/layout/radial5"/>
    <dgm:cxn modelId="{0BA0A506-0B2E-4C74-BB61-82EBF79D8630}" type="presParOf" srcId="{9A803409-FA05-490E-A6B3-C0B5A0C7BE0A}" destId="{2F2B3C0D-172D-4EE9-861F-BA393B9080EE}" srcOrd="0" destOrd="0" presId="urn:microsoft.com/office/officeart/2005/8/layout/radial5"/>
    <dgm:cxn modelId="{03C43A6A-DBF7-42DA-A426-E07C4CF5B043}" type="presParOf" srcId="{B6EAF6A3-C01C-4BA2-B906-28A1399D53E5}" destId="{4A857264-27B0-4A95-AF98-C4D8F5C344C7}" srcOrd="2" destOrd="0" presId="urn:microsoft.com/office/officeart/2005/8/layout/radial5"/>
    <dgm:cxn modelId="{14874DDB-757E-48B5-A0D1-BABCDAB4F0BD}" type="presParOf" srcId="{B6EAF6A3-C01C-4BA2-B906-28A1399D53E5}" destId="{DE616621-A85D-4A42-9BCE-3A115391986A}" srcOrd="3" destOrd="0" presId="urn:microsoft.com/office/officeart/2005/8/layout/radial5"/>
    <dgm:cxn modelId="{6626194C-143E-4473-811C-FE0ED4E1EA2D}" type="presParOf" srcId="{DE616621-A85D-4A42-9BCE-3A115391986A}" destId="{1FC611ED-DA85-430C-BF5E-4543B9E6E8FC}" srcOrd="0" destOrd="0" presId="urn:microsoft.com/office/officeart/2005/8/layout/radial5"/>
    <dgm:cxn modelId="{D53A7DF7-D0E4-4CE4-895B-8859C56529F0}" type="presParOf" srcId="{B6EAF6A3-C01C-4BA2-B906-28A1399D53E5}" destId="{96298BC3-A556-40AD-8B11-BBD0B8DCC1E5}" srcOrd="4" destOrd="0" presId="urn:microsoft.com/office/officeart/2005/8/layout/radial5"/>
    <dgm:cxn modelId="{08B786DA-1060-47C4-ABDE-BA54CCE57A07}" type="presParOf" srcId="{B6EAF6A3-C01C-4BA2-B906-28A1399D53E5}" destId="{E7DFF8C6-50C7-4DDF-9D92-A025DFF68886}" srcOrd="5" destOrd="0" presId="urn:microsoft.com/office/officeart/2005/8/layout/radial5"/>
    <dgm:cxn modelId="{195867FD-32D8-44D0-A6AE-D235D709B325}" type="presParOf" srcId="{E7DFF8C6-50C7-4DDF-9D92-A025DFF68886}" destId="{0DDC2886-911F-47D2-A10C-7B121312000A}" srcOrd="0" destOrd="0" presId="urn:microsoft.com/office/officeart/2005/8/layout/radial5"/>
    <dgm:cxn modelId="{3CB3B2CB-C247-4308-80B6-3FFE3CABB599}" type="presParOf" srcId="{B6EAF6A3-C01C-4BA2-B906-28A1399D53E5}" destId="{52E89F2B-BD41-45C4-A339-F57811EBF4E2}" srcOrd="6" destOrd="0" presId="urn:microsoft.com/office/officeart/2005/8/layout/radial5"/>
    <dgm:cxn modelId="{06221909-E508-4FF9-9CFC-86F94C357AEE}" type="presParOf" srcId="{B6EAF6A3-C01C-4BA2-B906-28A1399D53E5}" destId="{67720342-D44F-4C6F-83EF-0A29454699FC}" srcOrd="7" destOrd="0" presId="urn:microsoft.com/office/officeart/2005/8/layout/radial5"/>
    <dgm:cxn modelId="{D06003FB-A2DD-4FEF-ADC7-189876D9CC07}" type="presParOf" srcId="{67720342-D44F-4C6F-83EF-0A29454699FC}" destId="{E429D60C-B24A-444C-96A5-8A77DB28B442}" srcOrd="0" destOrd="0" presId="urn:microsoft.com/office/officeart/2005/8/layout/radial5"/>
    <dgm:cxn modelId="{9F41B93C-7E72-4633-B7D0-1E7E6996E5CC}" type="presParOf" srcId="{B6EAF6A3-C01C-4BA2-B906-28A1399D53E5}" destId="{80C42032-DD1A-4A46-8AF2-2CA82153BFDC}" srcOrd="8" destOrd="0" presId="urn:microsoft.com/office/officeart/2005/8/layout/radial5"/>
    <dgm:cxn modelId="{E30735DA-6EBB-4B8F-A4AA-705FCDEF64A6}" type="presParOf" srcId="{B6EAF6A3-C01C-4BA2-B906-28A1399D53E5}" destId="{877FA883-68F0-4E17-8A2D-DFE3F48E1E5B}" srcOrd="9" destOrd="0" presId="urn:microsoft.com/office/officeart/2005/8/layout/radial5"/>
    <dgm:cxn modelId="{1E0ABA9C-7381-4257-879A-23A9E8775396}" type="presParOf" srcId="{877FA883-68F0-4E17-8A2D-DFE3F48E1E5B}" destId="{60B6728D-97AE-49C7-BB68-66368785D770}" srcOrd="0" destOrd="0" presId="urn:microsoft.com/office/officeart/2005/8/layout/radial5"/>
    <dgm:cxn modelId="{4864B728-BBF1-4AB7-8E38-E346A6086806}" type="presParOf" srcId="{B6EAF6A3-C01C-4BA2-B906-28A1399D53E5}" destId="{1A485BCC-E403-4D16-BF04-EB061793C408}" srcOrd="10" destOrd="0" presId="urn:microsoft.com/office/officeart/2005/8/layout/radial5"/>
    <dgm:cxn modelId="{E98970F5-E1EE-46FA-BA8A-0E3FBE91E8C1}" type="presParOf" srcId="{B6EAF6A3-C01C-4BA2-B906-28A1399D53E5}" destId="{66034637-164A-44E3-B6E9-93C25C131ED2}" srcOrd="11" destOrd="0" presId="urn:microsoft.com/office/officeart/2005/8/layout/radial5"/>
    <dgm:cxn modelId="{3CBB23C2-B961-4E24-BACE-CEF9CE4D5D65}" type="presParOf" srcId="{66034637-164A-44E3-B6E9-93C25C131ED2}" destId="{4DBB504B-55D6-48A9-B380-8F02804536C6}" srcOrd="0" destOrd="0" presId="urn:microsoft.com/office/officeart/2005/8/layout/radial5"/>
    <dgm:cxn modelId="{292B113C-140A-41CA-8C1B-6474AA2DF016}" type="presParOf" srcId="{B6EAF6A3-C01C-4BA2-B906-28A1399D53E5}" destId="{4EA929EC-017F-4B49-B5DB-B20EE6324FE4}" srcOrd="12" destOrd="0" presId="urn:microsoft.com/office/officeart/2005/8/layout/radial5"/>
    <dgm:cxn modelId="{F9DB6E21-FFFA-42AB-9132-3ABF78CF265D}" type="presParOf" srcId="{B6EAF6A3-C01C-4BA2-B906-28A1399D53E5}" destId="{60D60D26-ED4A-489B-9220-9F1B02D63211}" srcOrd="13" destOrd="0" presId="urn:microsoft.com/office/officeart/2005/8/layout/radial5"/>
    <dgm:cxn modelId="{D79A8718-8230-4FF3-9EA3-89E1ADCDC211}" type="presParOf" srcId="{60D60D26-ED4A-489B-9220-9F1B02D63211}" destId="{0517D31D-85BD-4ECF-BAA4-4C0896DA159C}" srcOrd="0" destOrd="0" presId="urn:microsoft.com/office/officeart/2005/8/layout/radial5"/>
    <dgm:cxn modelId="{57375116-0FFD-4FBE-A866-ECBD19563085}" type="presParOf" srcId="{B6EAF6A3-C01C-4BA2-B906-28A1399D53E5}" destId="{1D059D8C-0209-4645-9EE6-6903F12A8A54}" srcOrd="14" destOrd="0" presId="urn:microsoft.com/office/officeart/2005/8/layout/radial5"/>
    <dgm:cxn modelId="{5D70AB8C-A5AB-4E64-BD33-4E39828C84EE}" type="presParOf" srcId="{B6EAF6A3-C01C-4BA2-B906-28A1399D53E5}" destId="{0FBE566E-059A-4FA6-8196-3DA87BB8DD72}" srcOrd="15" destOrd="0" presId="urn:microsoft.com/office/officeart/2005/8/layout/radial5"/>
    <dgm:cxn modelId="{6C55FE5A-138B-4625-82BE-4580B6A0E525}" type="presParOf" srcId="{0FBE566E-059A-4FA6-8196-3DA87BB8DD72}" destId="{FEC0C502-5EE1-476F-A816-DE4439A09BD0}" srcOrd="0" destOrd="0" presId="urn:microsoft.com/office/officeart/2005/8/layout/radial5"/>
    <dgm:cxn modelId="{DB11E2B1-B0A7-4AE9-9DE1-6DF145E2168D}" type="presParOf" srcId="{B6EAF6A3-C01C-4BA2-B906-28A1399D53E5}" destId="{CA290A0C-2D6D-4937-BB6D-3E1E7867677E}" srcOrd="16" destOrd="0" presId="urn:microsoft.com/office/officeart/2005/8/layout/radial5"/>
    <dgm:cxn modelId="{A7D599DC-1A1A-4D9B-8F38-DFB63F9471D6}" type="presParOf" srcId="{B6EAF6A3-C01C-4BA2-B906-28A1399D53E5}" destId="{51B48F61-1498-4AE7-95BE-ACEE49C1251A}" srcOrd="17" destOrd="0" presId="urn:microsoft.com/office/officeart/2005/8/layout/radial5"/>
    <dgm:cxn modelId="{8E2C384C-22B2-453A-B426-F30F573B2269}" type="presParOf" srcId="{51B48F61-1498-4AE7-95BE-ACEE49C1251A}" destId="{1F8D9E10-3CCC-4530-B915-765D6A3EA843}" srcOrd="0" destOrd="0" presId="urn:microsoft.com/office/officeart/2005/8/layout/radial5"/>
    <dgm:cxn modelId="{49D9B8AF-57CA-4861-88DA-8680B4A03659}" type="presParOf" srcId="{B6EAF6A3-C01C-4BA2-B906-28A1399D53E5}" destId="{B9BA739F-A1E2-4374-9326-3ECDA50BCDF8}" srcOrd="18" destOrd="0" presId="urn:microsoft.com/office/officeart/2005/8/layout/radial5"/>
    <dgm:cxn modelId="{D84D595D-2E5E-4AD6-BB11-463A5CC94718}" type="presParOf" srcId="{B6EAF6A3-C01C-4BA2-B906-28A1399D53E5}" destId="{2D251DAD-62C3-4052-8311-85553ACAF0FA}" srcOrd="19" destOrd="0" presId="urn:microsoft.com/office/officeart/2005/8/layout/radial5"/>
    <dgm:cxn modelId="{0A6CDD6B-D573-462A-994F-8E0B3D818903}" type="presParOf" srcId="{2D251DAD-62C3-4052-8311-85553ACAF0FA}" destId="{89C0A9C3-59AD-4C23-86CB-2BC9319A27F1}" srcOrd="0" destOrd="0" presId="urn:microsoft.com/office/officeart/2005/8/layout/radial5"/>
    <dgm:cxn modelId="{6218043E-E746-4D03-A1F5-8DECA29AC6CF}" type="presParOf" srcId="{B6EAF6A3-C01C-4BA2-B906-28A1399D53E5}" destId="{83EDFCB6-9C3A-4BDB-A280-2ACCE87E9510}" srcOrd="20" destOrd="0" presId="urn:microsoft.com/office/officeart/2005/8/layout/radial5"/>
    <dgm:cxn modelId="{B168F204-AC9C-481D-B2CC-1B1A1FA0698D}" type="presParOf" srcId="{B6EAF6A3-C01C-4BA2-B906-28A1399D53E5}" destId="{2695EA9F-E19B-4500-83FB-769453256F58}" srcOrd="21" destOrd="0" presId="urn:microsoft.com/office/officeart/2005/8/layout/radial5"/>
    <dgm:cxn modelId="{A3335332-544B-4526-AA41-645520DB870B}" type="presParOf" srcId="{2695EA9F-E19B-4500-83FB-769453256F58}" destId="{9C645BBE-A877-4C30-82D3-015F33BE4124}" srcOrd="0" destOrd="0" presId="urn:microsoft.com/office/officeart/2005/8/layout/radial5"/>
    <dgm:cxn modelId="{3A4078A3-9B8E-4F3A-B606-DBA1A61D572D}" type="presParOf" srcId="{B6EAF6A3-C01C-4BA2-B906-28A1399D53E5}" destId="{15FA0CC2-E04B-4FD7-9871-63BD73EFC854}" srcOrd="22" destOrd="0" presId="urn:microsoft.com/office/officeart/2005/8/layout/radial5"/>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8CD2CFC-3212-4A84-829F-9582CFA8B1C7}" type="doc">
      <dgm:prSet loTypeId="urn:microsoft.com/office/officeart/2005/8/layout/vList2" loCatId="list" qsTypeId="urn:microsoft.com/office/officeart/2005/8/quickstyle/simple5" qsCatId="simple" csTypeId="urn:microsoft.com/office/officeart/2005/8/colors/colorful5" csCatId="colorful" phldr="1"/>
      <dgm:spPr/>
      <dgm:t>
        <a:bodyPr/>
        <a:lstStyle/>
        <a:p>
          <a:endParaRPr lang="zh-TW" altLang="en-US"/>
        </a:p>
      </dgm:t>
    </dgm:pt>
    <dgm:pt modelId="{A310C541-5A64-4F26-BEAD-D112F5664689}">
      <dgm:prSet phldrT="[文字]" custT="1"/>
      <dgm:spPr/>
      <dgm:t>
        <a:bodyPr/>
        <a:lstStyle/>
        <a:p>
          <a:r>
            <a:rPr lang="zh-TW" altLang="en-US" sz="1400">
              <a:latin typeface="標楷體" panose="03000509000000000000" pitchFamily="65" charset="-120"/>
              <a:ea typeface="標楷體" panose="03000509000000000000" pitchFamily="65" charset="-120"/>
            </a:rPr>
            <a:t>農業技術水準全球名列前</a:t>
          </a:r>
          <a:r>
            <a:rPr lang="en-US" altLang="zh-TW" sz="1400">
              <a:latin typeface="標楷體" panose="03000509000000000000" pitchFamily="65" charset="-120"/>
              <a:ea typeface="標楷體" panose="03000509000000000000" pitchFamily="65" charset="-120"/>
            </a:rPr>
            <a:t>12</a:t>
          </a:r>
          <a:r>
            <a:rPr lang="zh-TW" altLang="en-US" sz="1400">
              <a:latin typeface="標楷體" panose="03000509000000000000" pitchFamily="65" charset="-120"/>
              <a:ea typeface="標楷體" panose="03000509000000000000" pitchFamily="65" charset="-120"/>
            </a:rPr>
            <a:t>強</a:t>
          </a:r>
        </a:p>
      </dgm:t>
    </dgm:pt>
    <dgm:pt modelId="{465B5315-7E13-4DEB-BD94-4D06433039C6}" type="parTrans" cxnId="{BFF483A4-E95E-4596-8327-47AB0B229FEE}">
      <dgm:prSet/>
      <dgm:spPr/>
      <dgm:t>
        <a:bodyPr/>
        <a:lstStyle/>
        <a:p>
          <a:endParaRPr lang="zh-TW" altLang="en-US">
            <a:latin typeface="標楷體" panose="03000509000000000000" pitchFamily="65" charset="-120"/>
            <a:ea typeface="標楷體" panose="03000509000000000000" pitchFamily="65" charset="-120"/>
          </a:endParaRPr>
        </a:p>
      </dgm:t>
    </dgm:pt>
    <dgm:pt modelId="{9EDA9142-4331-4257-8E0B-D1F21760F853}" type="sibTrans" cxnId="{BFF483A4-E95E-4596-8327-47AB0B229FEE}">
      <dgm:prSet/>
      <dgm:spPr/>
      <dgm:t>
        <a:bodyPr/>
        <a:lstStyle/>
        <a:p>
          <a:endParaRPr lang="zh-TW" altLang="en-US">
            <a:latin typeface="標楷體" panose="03000509000000000000" pitchFamily="65" charset="-120"/>
            <a:ea typeface="標楷體" panose="03000509000000000000" pitchFamily="65" charset="-120"/>
          </a:endParaRPr>
        </a:p>
      </dgm:t>
    </dgm:pt>
    <dgm:pt modelId="{4929D2FA-7DF7-43A2-83F2-CBC0984CBF0F}">
      <dgm:prSet phldrT="[文字]" custT="1"/>
      <dgm:spPr/>
      <dgm:t>
        <a:bodyPr/>
        <a:lstStyle/>
        <a:p>
          <a:r>
            <a:rPr lang="zh-TW" altLang="en-US" sz="1200">
              <a:latin typeface="標楷體" panose="03000509000000000000" pitchFamily="65" charset="-120"/>
              <a:ea typeface="標楷體" panose="03000509000000000000" pitchFamily="65" charset="-120"/>
            </a:rPr>
            <a:t>掌握最多蝴蝶蘭品種</a:t>
          </a:r>
        </a:p>
      </dgm:t>
    </dgm:pt>
    <dgm:pt modelId="{AC94AC5A-7AB8-4459-9EA3-ECDB30A157D4}" type="parTrans" cxnId="{6D431D12-C079-49F0-B643-F91374806B66}">
      <dgm:prSet/>
      <dgm:spPr/>
      <dgm:t>
        <a:bodyPr/>
        <a:lstStyle/>
        <a:p>
          <a:endParaRPr lang="zh-TW" altLang="en-US">
            <a:latin typeface="標楷體" panose="03000509000000000000" pitchFamily="65" charset="-120"/>
            <a:ea typeface="標楷體" panose="03000509000000000000" pitchFamily="65" charset="-120"/>
          </a:endParaRPr>
        </a:p>
      </dgm:t>
    </dgm:pt>
    <dgm:pt modelId="{010CC046-B600-42C9-97A1-4140F48EB56F}" type="sibTrans" cxnId="{6D431D12-C079-49F0-B643-F91374806B66}">
      <dgm:prSet/>
      <dgm:spPr/>
      <dgm:t>
        <a:bodyPr/>
        <a:lstStyle/>
        <a:p>
          <a:endParaRPr lang="zh-TW" altLang="en-US">
            <a:latin typeface="標楷體" panose="03000509000000000000" pitchFamily="65" charset="-120"/>
            <a:ea typeface="標楷體" panose="03000509000000000000" pitchFamily="65" charset="-120"/>
          </a:endParaRPr>
        </a:p>
      </dgm:t>
    </dgm:pt>
    <dgm:pt modelId="{8B57DB0A-006F-4D15-A5CA-58C37AF8510C}">
      <dgm:prSet phldrT="[文字]" custT="1"/>
      <dgm:spPr/>
      <dgm:t>
        <a:bodyPr/>
        <a:lstStyle/>
        <a:p>
          <a:r>
            <a:rPr lang="zh-TW" altLang="en-US" sz="1400">
              <a:latin typeface="標楷體" panose="03000509000000000000" pitchFamily="65" charset="-120"/>
              <a:ea typeface="標楷體" panose="03000509000000000000" pitchFamily="65" charset="-120"/>
            </a:rPr>
            <a:t>地理條件優越</a:t>
          </a:r>
        </a:p>
      </dgm:t>
    </dgm:pt>
    <dgm:pt modelId="{1CCD1BC5-2A06-455C-96F2-3ADA331757E5}" type="parTrans" cxnId="{A03DA6A3-5E69-4725-AF88-B41F37406F28}">
      <dgm:prSet/>
      <dgm:spPr/>
      <dgm:t>
        <a:bodyPr/>
        <a:lstStyle/>
        <a:p>
          <a:endParaRPr lang="zh-TW" altLang="en-US">
            <a:latin typeface="標楷體" panose="03000509000000000000" pitchFamily="65" charset="-120"/>
            <a:ea typeface="標楷體" panose="03000509000000000000" pitchFamily="65" charset="-120"/>
          </a:endParaRPr>
        </a:p>
      </dgm:t>
    </dgm:pt>
    <dgm:pt modelId="{C08BE778-6FB6-4959-A949-797FF2763750}" type="sibTrans" cxnId="{A03DA6A3-5E69-4725-AF88-B41F37406F28}">
      <dgm:prSet/>
      <dgm:spPr/>
      <dgm:t>
        <a:bodyPr/>
        <a:lstStyle/>
        <a:p>
          <a:endParaRPr lang="zh-TW" altLang="en-US">
            <a:latin typeface="標楷體" panose="03000509000000000000" pitchFamily="65" charset="-120"/>
            <a:ea typeface="標楷體" panose="03000509000000000000" pitchFamily="65" charset="-120"/>
          </a:endParaRPr>
        </a:p>
      </dgm:t>
    </dgm:pt>
    <dgm:pt modelId="{193C64BF-91F1-4C08-B1B9-CFF68D414845}">
      <dgm:prSet phldrT="[文字]" custT="1"/>
      <dgm:spPr/>
      <dgm:t>
        <a:bodyPr/>
        <a:lstStyle/>
        <a:p>
          <a:r>
            <a:rPr lang="zh-TW" altLang="en-US" sz="1200">
              <a:latin typeface="標楷體" panose="03000509000000000000" pitchFamily="65" charset="-120"/>
              <a:ea typeface="標楷體" panose="03000509000000000000" pitchFamily="65" charset="-120"/>
            </a:rPr>
            <a:t>蘭花出瓶種苗栽培成熟株時間領先世界</a:t>
          </a:r>
        </a:p>
      </dgm:t>
    </dgm:pt>
    <dgm:pt modelId="{4E0C5534-20AA-4F1D-A58B-BC874EC1A621}" type="parTrans" cxnId="{2D92D089-6C71-4F29-AC14-92A0B9FAD0C4}">
      <dgm:prSet/>
      <dgm:spPr/>
      <dgm:t>
        <a:bodyPr/>
        <a:lstStyle/>
        <a:p>
          <a:endParaRPr lang="zh-TW" altLang="en-US">
            <a:latin typeface="標楷體" panose="03000509000000000000" pitchFamily="65" charset="-120"/>
            <a:ea typeface="標楷體" panose="03000509000000000000" pitchFamily="65" charset="-120"/>
          </a:endParaRPr>
        </a:p>
      </dgm:t>
    </dgm:pt>
    <dgm:pt modelId="{4DF5C7D8-FC61-4E5A-843F-F9422C364E09}" type="sibTrans" cxnId="{2D92D089-6C71-4F29-AC14-92A0B9FAD0C4}">
      <dgm:prSet/>
      <dgm:spPr/>
      <dgm:t>
        <a:bodyPr/>
        <a:lstStyle/>
        <a:p>
          <a:endParaRPr lang="zh-TW" altLang="en-US">
            <a:latin typeface="標楷體" panose="03000509000000000000" pitchFamily="65" charset="-120"/>
            <a:ea typeface="標楷體" panose="03000509000000000000" pitchFamily="65" charset="-120"/>
          </a:endParaRPr>
        </a:p>
      </dgm:t>
    </dgm:pt>
    <dgm:pt modelId="{B41ED3D3-C046-4B71-A5AE-048C33A257DE}">
      <dgm:prSet phldrT="[文字]" custT="1"/>
      <dgm:spPr/>
      <dgm:t>
        <a:bodyPr/>
        <a:lstStyle/>
        <a:p>
          <a:r>
            <a:rPr lang="zh-TW" altLang="en-US" sz="1200">
              <a:latin typeface="標楷體" panose="03000509000000000000" pitchFamily="65" charset="-120"/>
              <a:ea typeface="標楷體" panose="03000509000000000000" pitchFamily="65" charset="-120"/>
            </a:rPr>
            <a:t>觀賞魚新品種屢獲世界首獎</a:t>
          </a:r>
        </a:p>
      </dgm:t>
    </dgm:pt>
    <dgm:pt modelId="{016646AF-BA41-437C-B6E9-EA0370A8515E}" type="parTrans" cxnId="{1A0D5A3E-BEB6-44F6-BA12-2A8B3F8B36CF}">
      <dgm:prSet/>
      <dgm:spPr/>
      <dgm:t>
        <a:bodyPr/>
        <a:lstStyle/>
        <a:p>
          <a:endParaRPr lang="zh-TW" altLang="en-US"/>
        </a:p>
      </dgm:t>
    </dgm:pt>
    <dgm:pt modelId="{5D729382-F443-4532-A704-1446F68DA011}" type="sibTrans" cxnId="{1A0D5A3E-BEB6-44F6-BA12-2A8B3F8B36CF}">
      <dgm:prSet/>
      <dgm:spPr/>
      <dgm:t>
        <a:bodyPr/>
        <a:lstStyle/>
        <a:p>
          <a:endParaRPr lang="zh-TW" altLang="en-US"/>
        </a:p>
      </dgm:t>
    </dgm:pt>
    <dgm:pt modelId="{F2A292E7-B68C-45F9-84C4-9BEE603C1483}">
      <dgm:prSet phldrT="[文字]" custT="1"/>
      <dgm:spPr/>
      <dgm:t>
        <a:bodyPr/>
        <a:lstStyle/>
        <a:p>
          <a:r>
            <a:rPr lang="zh-TW" altLang="en-US" sz="1200">
              <a:latin typeface="標楷體" panose="03000509000000000000" pitchFamily="65" charset="-120"/>
              <a:ea typeface="標楷體" panose="03000509000000000000" pitchFamily="65" charset="-120"/>
            </a:rPr>
            <a:t>石斑魚全世界</a:t>
          </a:r>
          <a:r>
            <a:rPr lang="en-US" altLang="zh-TW" sz="1200">
              <a:latin typeface="標楷體" panose="03000509000000000000" pitchFamily="65" charset="-120"/>
              <a:ea typeface="標楷體" panose="03000509000000000000" pitchFamily="65" charset="-120"/>
            </a:rPr>
            <a:t>7</a:t>
          </a:r>
          <a:r>
            <a:rPr lang="zh-TW" altLang="en-US" sz="1200">
              <a:latin typeface="標楷體" panose="03000509000000000000" pitchFamily="65" charset="-120"/>
              <a:ea typeface="標楷體" panose="03000509000000000000" pitchFamily="65" charset="-120"/>
            </a:rPr>
            <a:t>種可人工培育臺灣有</a:t>
          </a:r>
          <a:r>
            <a:rPr lang="en-US" altLang="zh-TW" sz="1200">
              <a:latin typeface="標楷體" panose="03000509000000000000" pitchFamily="65" charset="-120"/>
              <a:ea typeface="標楷體" panose="03000509000000000000" pitchFamily="65" charset="-120"/>
            </a:rPr>
            <a:t>6</a:t>
          </a:r>
          <a:r>
            <a:rPr lang="zh-TW" altLang="en-US" sz="1200">
              <a:latin typeface="標楷體" panose="03000509000000000000" pitchFamily="65" charset="-120"/>
              <a:ea typeface="標楷體" panose="03000509000000000000" pitchFamily="65" charset="-120"/>
            </a:rPr>
            <a:t>種</a:t>
          </a:r>
        </a:p>
      </dgm:t>
    </dgm:pt>
    <dgm:pt modelId="{7A0E69EF-2AC3-4E1C-95FF-DAA7262379A7}" type="parTrans" cxnId="{0345B101-80D5-434C-84EF-9B1BDBC65E99}">
      <dgm:prSet/>
      <dgm:spPr/>
      <dgm:t>
        <a:bodyPr/>
        <a:lstStyle/>
        <a:p>
          <a:endParaRPr lang="zh-TW" altLang="en-US"/>
        </a:p>
      </dgm:t>
    </dgm:pt>
    <dgm:pt modelId="{D798A780-0D4E-406B-B40F-65C38974C515}" type="sibTrans" cxnId="{0345B101-80D5-434C-84EF-9B1BDBC65E99}">
      <dgm:prSet/>
      <dgm:spPr/>
      <dgm:t>
        <a:bodyPr/>
        <a:lstStyle/>
        <a:p>
          <a:endParaRPr lang="zh-TW" altLang="en-US"/>
        </a:p>
      </dgm:t>
    </dgm:pt>
    <dgm:pt modelId="{B6D4B100-7908-4549-B1E6-08BDB8E191E7}">
      <dgm:prSet phldrT="[文字]" custT="1"/>
      <dgm:spPr/>
      <dgm:t>
        <a:bodyPr/>
        <a:lstStyle/>
        <a:p>
          <a:r>
            <a:rPr lang="zh-TW" altLang="en-US" sz="1400">
              <a:latin typeface="標楷體" panose="03000509000000000000" pitchFamily="65" charset="-120"/>
              <a:ea typeface="標楷體" panose="03000509000000000000" pitchFamily="65" charset="-120"/>
            </a:rPr>
            <a:t>已建立植物品種智慧財產權保護制度</a:t>
          </a:r>
        </a:p>
      </dgm:t>
    </dgm:pt>
    <dgm:pt modelId="{B6E802E4-6118-4CAB-B577-7E71362C5172}" type="parTrans" cxnId="{A48A37BC-48BF-46ED-9C8D-B5A179D099C7}">
      <dgm:prSet/>
      <dgm:spPr/>
      <dgm:t>
        <a:bodyPr/>
        <a:lstStyle/>
        <a:p>
          <a:endParaRPr lang="zh-TW" altLang="en-US"/>
        </a:p>
      </dgm:t>
    </dgm:pt>
    <dgm:pt modelId="{F133B8E3-D7A7-4EDB-A5AE-E99BED4C010C}" type="sibTrans" cxnId="{A48A37BC-48BF-46ED-9C8D-B5A179D099C7}">
      <dgm:prSet/>
      <dgm:spPr/>
      <dgm:t>
        <a:bodyPr/>
        <a:lstStyle/>
        <a:p>
          <a:endParaRPr lang="zh-TW" altLang="en-US"/>
        </a:p>
      </dgm:t>
    </dgm:pt>
    <dgm:pt modelId="{CBCC46F2-F660-4505-A207-7EE16B6C82CA}">
      <dgm:prSet phldrT="[文字]" custT="1"/>
      <dgm:spPr/>
      <dgm:t>
        <a:bodyPr/>
        <a:lstStyle/>
        <a:p>
          <a:r>
            <a:rPr lang="zh-TW" altLang="en-US" sz="1200">
              <a:latin typeface="標楷體" panose="03000509000000000000" pitchFamily="65" charset="-120"/>
              <a:ea typeface="標楷體" panose="03000509000000000000" pitchFamily="65" charset="-120"/>
            </a:rPr>
            <a:t>歐美日澳已同意我國申請品種權</a:t>
          </a:r>
        </a:p>
      </dgm:t>
    </dgm:pt>
    <dgm:pt modelId="{E350F8C1-6A49-437C-A5AE-47DB84751458}" type="parTrans" cxnId="{D697B0B6-ACA2-4F91-BB7A-CF4E2223A774}">
      <dgm:prSet/>
      <dgm:spPr/>
      <dgm:t>
        <a:bodyPr/>
        <a:lstStyle/>
        <a:p>
          <a:endParaRPr lang="zh-TW" altLang="en-US"/>
        </a:p>
      </dgm:t>
    </dgm:pt>
    <dgm:pt modelId="{A90868E2-A7F8-42EF-8232-E5D04F6B59F0}" type="sibTrans" cxnId="{D697B0B6-ACA2-4F91-BB7A-CF4E2223A774}">
      <dgm:prSet/>
      <dgm:spPr/>
      <dgm:t>
        <a:bodyPr/>
        <a:lstStyle/>
        <a:p>
          <a:endParaRPr lang="zh-TW" altLang="en-US"/>
        </a:p>
      </dgm:t>
    </dgm:pt>
    <dgm:pt modelId="{FB39AB7F-CFD4-4DC6-A90C-1126088560D4}">
      <dgm:prSet phldrT="[文字]" custT="1"/>
      <dgm:spPr/>
      <dgm:t>
        <a:bodyPr/>
        <a:lstStyle/>
        <a:p>
          <a:r>
            <a:rPr lang="zh-TW" altLang="en-US" sz="1200">
              <a:latin typeface="標楷體" panose="03000509000000000000" pitchFamily="65" charset="-120"/>
              <a:ea typeface="標楷體" panose="03000509000000000000" pitchFamily="65" charset="-120"/>
            </a:rPr>
            <a:t>歐盟同意相互採認新品種性狀檢定報告書</a:t>
          </a:r>
        </a:p>
      </dgm:t>
    </dgm:pt>
    <dgm:pt modelId="{45975B4B-40C1-4472-A6F3-0406D7FA1227}" type="parTrans" cxnId="{30919675-F43A-4B95-9A84-0EF2575C418C}">
      <dgm:prSet/>
      <dgm:spPr/>
      <dgm:t>
        <a:bodyPr/>
        <a:lstStyle/>
        <a:p>
          <a:endParaRPr lang="zh-TW" altLang="en-US"/>
        </a:p>
      </dgm:t>
    </dgm:pt>
    <dgm:pt modelId="{F0D7CCDD-2BF6-41CE-B8C6-2118794501FF}" type="sibTrans" cxnId="{30919675-F43A-4B95-9A84-0EF2575C418C}">
      <dgm:prSet/>
      <dgm:spPr/>
      <dgm:t>
        <a:bodyPr/>
        <a:lstStyle/>
        <a:p>
          <a:endParaRPr lang="zh-TW" altLang="en-US"/>
        </a:p>
      </dgm:t>
    </dgm:pt>
    <dgm:pt modelId="{6F55BCE6-4636-40F9-99FB-E6116C28F5CB}" type="pres">
      <dgm:prSet presAssocID="{88CD2CFC-3212-4A84-829F-9582CFA8B1C7}" presName="linear" presStyleCnt="0">
        <dgm:presLayoutVars>
          <dgm:animLvl val="lvl"/>
          <dgm:resizeHandles val="exact"/>
        </dgm:presLayoutVars>
      </dgm:prSet>
      <dgm:spPr/>
    </dgm:pt>
    <dgm:pt modelId="{BC489F3B-9A7F-49D2-BA3B-0D695A091589}" type="pres">
      <dgm:prSet presAssocID="{A310C541-5A64-4F26-BEAD-D112F5664689}" presName="parentText" presStyleLbl="node1" presStyleIdx="0" presStyleCnt="3">
        <dgm:presLayoutVars>
          <dgm:chMax val="0"/>
          <dgm:bulletEnabled val="1"/>
        </dgm:presLayoutVars>
      </dgm:prSet>
      <dgm:spPr/>
    </dgm:pt>
    <dgm:pt modelId="{B6E6583B-AC81-4218-9A02-60B07FF86916}" type="pres">
      <dgm:prSet presAssocID="{A310C541-5A64-4F26-BEAD-D112F5664689}" presName="childText" presStyleLbl="revTx" presStyleIdx="0" presStyleCnt="3">
        <dgm:presLayoutVars>
          <dgm:bulletEnabled val="1"/>
        </dgm:presLayoutVars>
      </dgm:prSet>
      <dgm:spPr/>
    </dgm:pt>
    <dgm:pt modelId="{9F6F0ABF-6FF6-4C9A-AC81-B6D1868B2660}" type="pres">
      <dgm:prSet presAssocID="{8B57DB0A-006F-4D15-A5CA-58C37AF8510C}" presName="parentText" presStyleLbl="node1" presStyleIdx="1" presStyleCnt="3">
        <dgm:presLayoutVars>
          <dgm:chMax val="0"/>
          <dgm:bulletEnabled val="1"/>
        </dgm:presLayoutVars>
      </dgm:prSet>
      <dgm:spPr/>
    </dgm:pt>
    <dgm:pt modelId="{E729A557-513A-4551-BB71-F79E7EF9B562}" type="pres">
      <dgm:prSet presAssocID="{8B57DB0A-006F-4D15-A5CA-58C37AF8510C}" presName="childText" presStyleLbl="revTx" presStyleIdx="1" presStyleCnt="3">
        <dgm:presLayoutVars>
          <dgm:bulletEnabled val="1"/>
        </dgm:presLayoutVars>
      </dgm:prSet>
      <dgm:spPr/>
    </dgm:pt>
    <dgm:pt modelId="{5EBC8116-042F-440D-A5F5-F33A9C677DAE}" type="pres">
      <dgm:prSet presAssocID="{B6D4B100-7908-4549-B1E6-08BDB8E191E7}" presName="parentText" presStyleLbl="node1" presStyleIdx="2" presStyleCnt="3">
        <dgm:presLayoutVars>
          <dgm:chMax val="0"/>
          <dgm:bulletEnabled val="1"/>
        </dgm:presLayoutVars>
      </dgm:prSet>
      <dgm:spPr/>
    </dgm:pt>
    <dgm:pt modelId="{5A29B9C7-9140-4EF9-9764-F2AF2BC358CE}" type="pres">
      <dgm:prSet presAssocID="{B6D4B100-7908-4549-B1E6-08BDB8E191E7}" presName="childText" presStyleLbl="revTx" presStyleIdx="2" presStyleCnt="3">
        <dgm:presLayoutVars>
          <dgm:bulletEnabled val="1"/>
        </dgm:presLayoutVars>
      </dgm:prSet>
      <dgm:spPr/>
    </dgm:pt>
  </dgm:ptLst>
  <dgm:cxnLst>
    <dgm:cxn modelId="{6D431D12-C079-49F0-B643-F91374806B66}" srcId="{A310C541-5A64-4F26-BEAD-D112F5664689}" destId="{4929D2FA-7DF7-43A2-83F2-CBC0984CBF0F}" srcOrd="0" destOrd="0" parTransId="{AC94AC5A-7AB8-4459-9EA3-ECDB30A157D4}" sibTransId="{010CC046-B600-42C9-97A1-4140F48EB56F}"/>
    <dgm:cxn modelId="{A48A37BC-48BF-46ED-9C8D-B5A179D099C7}" srcId="{88CD2CFC-3212-4A84-829F-9582CFA8B1C7}" destId="{B6D4B100-7908-4549-B1E6-08BDB8E191E7}" srcOrd="2" destOrd="0" parTransId="{B6E802E4-6118-4CAB-B577-7E71362C5172}" sibTransId="{F133B8E3-D7A7-4EDB-A5AE-E99BED4C010C}"/>
    <dgm:cxn modelId="{2A6AC663-084F-452E-92CE-BA9C471D4736}" type="presOf" srcId="{F2A292E7-B68C-45F9-84C4-9BEE603C1483}" destId="{E729A557-513A-4551-BB71-F79E7EF9B562}" srcOrd="0" destOrd="1" presId="urn:microsoft.com/office/officeart/2005/8/layout/vList2"/>
    <dgm:cxn modelId="{EB69CC71-B76E-45C4-A24D-7407C9AA8291}" type="presOf" srcId="{4929D2FA-7DF7-43A2-83F2-CBC0984CBF0F}" destId="{B6E6583B-AC81-4218-9A02-60B07FF86916}" srcOrd="0" destOrd="0" presId="urn:microsoft.com/office/officeart/2005/8/layout/vList2"/>
    <dgm:cxn modelId="{D697B0B6-ACA2-4F91-BB7A-CF4E2223A774}" srcId="{B6D4B100-7908-4549-B1E6-08BDB8E191E7}" destId="{CBCC46F2-F660-4505-A207-7EE16B6C82CA}" srcOrd="0" destOrd="0" parTransId="{E350F8C1-6A49-437C-A5AE-47DB84751458}" sibTransId="{A90868E2-A7F8-42EF-8232-E5D04F6B59F0}"/>
    <dgm:cxn modelId="{30919675-F43A-4B95-9A84-0EF2575C418C}" srcId="{B6D4B100-7908-4549-B1E6-08BDB8E191E7}" destId="{FB39AB7F-CFD4-4DC6-A90C-1126088560D4}" srcOrd="1" destOrd="0" parTransId="{45975B4B-40C1-4472-A6F3-0406D7FA1227}" sibTransId="{F0D7CCDD-2BF6-41CE-B8C6-2118794501FF}"/>
    <dgm:cxn modelId="{E815E337-B16A-4320-BA5E-B26718AFFD73}" type="presOf" srcId="{88CD2CFC-3212-4A84-829F-9582CFA8B1C7}" destId="{6F55BCE6-4636-40F9-99FB-E6116C28F5CB}" srcOrd="0" destOrd="0" presId="urn:microsoft.com/office/officeart/2005/8/layout/vList2"/>
    <dgm:cxn modelId="{B3B35F1A-BFB2-4F88-ABCE-D6B5CDACABF7}" type="presOf" srcId="{B41ED3D3-C046-4B71-A5AE-048C33A257DE}" destId="{B6E6583B-AC81-4218-9A02-60B07FF86916}" srcOrd="0" destOrd="1" presId="urn:microsoft.com/office/officeart/2005/8/layout/vList2"/>
    <dgm:cxn modelId="{79820487-BBDB-4E76-B392-DB46E0739C15}" type="presOf" srcId="{B6D4B100-7908-4549-B1E6-08BDB8E191E7}" destId="{5EBC8116-042F-440D-A5F5-F33A9C677DAE}" srcOrd="0" destOrd="0" presId="urn:microsoft.com/office/officeart/2005/8/layout/vList2"/>
    <dgm:cxn modelId="{EF31B780-AF71-4361-A8E2-CA60E5B9D8AB}" type="presOf" srcId="{CBCC46F2-F660-4505-A207-7EE16B6C82CA}" destId="{5A29B9C7-9140-4EF9-9764-F2AF2BC358CE}" srcOrd="0" destOrd="0" presId="urn:microsoft.com/office/officeart/2005/8/layout/vList2"/>
    <dgm:cxn modelId="{CAD50AA4-8C92-4657-887A-2E6EA00B1F9F}" type="presOf" srcId="{A310C541-5A64-4F26-BEAD-D112F5664689}" destId="{BC489F3B-9A7F-49D2-BA3B-0D695A091589}" srcOrd="0" destOrd="0" presId="urn:microsoft.com/office/officeart/2005/8/layout/vList2"/>
    <dgm:cxn modelId="{1A0D5A3E-BEB6-44F6-BA12-2A8B3F8B36CF}" srcId="{A310C541-5A64-4F26-BEAD-D112F5664689}" destId="{B41ED3D3-C046-4B71-A5AE-048C33A257DE}" srcOrd="1" destOrd="0" parTransId="{016646AF-BA41-437C-B6E9-EA0370A8515E}" sibTransId="{5D729382-F443-4532-A704-1446F68DA011}"/>
    <dgm:cxn modelId="{0345B101-80D5-434C-84EF-9B1BDBC65E99}" srcId="{8B57DB0A-006F-4D15-A5CA-58C37AF8510C}" destId="{F2A292E7-B68C-45F9-84C4-9BEE603C1483}" srcOrd="1" destOrd="0" parTransId="{7A0E69EF-2AC3-4E1C-95FF-DAA7262379A7}" sibTransId="{D798A780-0D4E-406B-B40F-65C38974C515}"/>
    <dgm:cxn modelId="{2D92D089-6C71-4F29-AC14-92A0B9FAD0C4}" srcId="{8B57DB0A-006F-4D15-A5CA-58C37AF8510C}" destId="{193C64BF-91F1-4C08-B1B9-CFF68D414845}" srcOrd="0" destOrd="0" parTransId="{4E0C5534-20AA-4F1D-A58B-BC874EC1A621}" sibTransId="{4DF5C7D8-FC61-4E5A-843F-F9422C364E09}"/>
    <dgm:cxn modelId="{C45EFEB7-4E64-489B-AE26-6F4FA4D262CE}" type="presOf" srcId="{FB39AB7F-CFD4-4DC6-A90C-1126088560D4}" destId="{5A29B9C7-9140-4EF9-9764-F2AF2BC358CE}" srcOrd="0" destOrd="1" presId="urn:microsoft.com/office/officeart/2005/8/layout/vList2"/>
    <dgm:cxn modelId="{0E1962F5-ADB3-4279-A569-750267313A70}" type="presOf" srcId="{193C64BF-91F1-4C08-B1B9-CFF68D414845}" destId="{E729A557-513A-4551-BB71-F79E7EF9B562}" srcOrd="0" destOrd="0" presId="urn:microsoft.com/office/officeart/2005/8/layout/vList2"/>
    <dgm:cxn modelId="{BFF483A4-E95E-4596-8327-47AB0B229FEE}" srcId="{88CD2CFC-3212-4A84-829F-9582CFA8B1C7}" destId="{A310C541-5A64-4F26-BEAD-D112F5664689}" srcOrd="0" destOrd="0" parTransId="{465B5315-7E13-4DEB-BD94-4D06433039C6}" sibTransId="{9EDA9142-4331-4257-8E0B-D1F21760F853}"/>
    <dgm:cxn modelId="{2AA0B48C-0BE5-42C2-9861-E42D3497E36D}" type="presOf" srcId="{8B57DB0A-006F-4D15-A5CA-58C37AF8510C}" destId="{9F6F0ABF-6FF6-4C9A-AC81-B6D1868B2660}" srcOrd="0" destOrd="0" presId="urn:microsoft.com/office/officeart/2005/8/layout/vList2"/>
    <dgm:cxn modelId="{A03DA6A3-5E69-4725-AF88-B41F37406F28}" srcId="{88CD2CFC-3212-4A84-829F-9582CFA8B1C7}" destId="{8B57DB0A-006F-4D15-A5CA-58C37AF8510C}" srcOrd="1" destOrd="0" parTransId="{1CCD1BC5-2A06-455C-96F2-3ADA331757E5}" sibTransId="{C08BE778-6FB6-4959-A949-797FF2763750}"/>
    <dgm:cxn modelId="{989D56DD-8053-4703-B9A7-D732D1485266}" type="presParOf" srcId="{6F55BCE6-4636-40F9-99FB-E6116C28F5CB}" destId="{BC489F3B-9A7F-49D2-BA3B-0D695A091589}" srcOrd="0" destOrd="0" presId="urn:microsoft.com/office/officeart/2005/8/layout/vList2"/>
    <dgm:cxn modelId="{56E13E51-621F-4A63-8012-1EFBFE220E9C}" type="presParOf" srcId="{6F55BCE6-4636-40F9-99FB-E6116C28F5CB}" destId="{B6E6583B-AC81-4218-9A02-60B07FF86916}" srcOrd="1" destOrd="0" presId="urn:microsoft.com/office/officeart/2005/8/layout/vList2"/>
    <dgm:cxn modelId="{382189DB-CEFA-49AE-B3EA-7945A9A1A942}" type="presParOf" srcId="{6F55BCE6-4636-40F9-99FB-E6116C28F5CB}" destId="{9F6F0ABF-6FF6-4C9A-AC81-B6D1868B2660}" srcOrd="2" destOrd="0" presId="urn:microsoft.com/office/officeart/2005/8/layout/vList2"/>
    <dgm:cxn modelId="{3691416B-526B-4E97-931B-512F4F867D41}" type="presParOf" srcId="{6F55BCE6-4636-40F9-99FB-E6116C28F5CB}" destId="{E729A557-513A-4551-BB71-F79E7EF9B562}" srcOrd="3" destOrd="0" presId="urn:microsoft.com/office/officeart/2005/8/layout/vList2"/>
    <dgm:cxn modelId="{B28DAC55-CBEA-4589-8F56-E6D97235F17D}" type="presParOf" srcId="{6F55BCE6-4636-40F9-99FB-E6116C28F5CB}" destId="{5EBC8116-042F-440D-A5F5-F33A9C677DAE}" srcOrd="4" destOrd="0" presId="urn:microsoft.com/office/officeart/2005/8/layout/vList2"/>
    <dgm:cxn modelId="{181A7E3E-44B8-47EC-88FF-3BDF89A4CD8A}" type="presParOf" srcId="{6F55BCE6-4636-40F9-99FB-E6116C28F5CB}" destId="{5A29B9C7-9140-4EF9-9764-F2AF2BC358CE}" srcOrd="5" destOrd="0" presId="urn:microsoft.com/office/officeart/2005/8/layout/vList2"/>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D02324A-B8EA-4EA7-AB70-839A71FBD370}" type="doc">
      <dgm:prSet loTypeId="urn:microsoft.com/office/officeart/2008/layout/VerticalAccentList" loCatId="list" qsTypeId="urn:microsoft.com/office/officeart/2005/8/quickstyle/simple1" qsCatId="simple" csTypeId="urn:microsoft.com/office/officeart/2005/8/colors/colorful5" csCatId="colorful" phldr="1"/>
      <dgm:spPr/>
      <dgm:t>
        <a:bodyPr/>
        <a:lstStyle/>
        <a:p>
          <a:endParaRPr lang="zh-TW" altLang="en-US"/>
        </a:p>
      </dgm:t>
    </dgm:pt>
    <dgm:pt modelId="{6285E515-EEE1-42BC-8211-307282F31659}">
      <dgm:prSet phldrT="[文字]"/>
      <dgm:spPr/>
      <dgm:t>
        <a:bodyPr/>
        <a:lstStyle/>
        <a:p>
          <a:pPr algn="l"/>
          <a:r>
            <a:rPr lang="zh-TW" altLang="en-US">
              <a:latin typeface="Times New Roman" panose="02020603050405020304" pitchFamily="18" charset="0"/>
              <a:ea typeface="標楷體" panose="03000509000000000000" pitchFamily="65" charset="-120"/>
              <a:cs typeface="Times New Roman" panose="02020603050405020304" pitchFamily="18" charset="0"/>
            </a:rPr>
            <a:t>農糧產品</a:t>
          </a:r>
        </a:p>
      </dgm:t>
    </dgm:pt>
    <dgm:pt modelId="{07F44F7F-1B97-4DCE-ABAA-F9D1952FE658}" type="parTrans" cxnId="{40B1455A-FECC-4213-A30E-5E18DD3FFE32}">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FE448810-B1C4-4CA8-9E21-A0C518079974}" type="sibTrans" cxnId="{40B1455A-FECC-4213-A30E-5E18DD3FFE32}">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839EEF18-EF04-455B-A2A2-13A387BC0664}">
      <dgm:prSet phldrT="[文字]"/>
      <dgm:spPr/>
      <dgm:t>
        <a:bodyPr/>
        <a:lstStyle/>
        <a:p>
          <a:pPr algn="l"/>
          <a:r>
            <a:rPr lang="zh-TW" altLang="en-US">
              <a:latin typeface="Times New Roman" panose="02020603050405020304" pitchFamily="18" charset="0"/>
              <a:ea typeface="標楷體" panose="03000509000000000000" pitchFamily="65" charset="-120"/>
              <a:cs typeface="Times New Roman" panose="02020603050405020304" pitchFamily="18" charset="0"/>
            </a:rPr>
            <a:t>稻米、胡蘿蔔、甘藍、萵苣、毛豆、香蕉、鳳梨、芒果、葡萄、荔枝、葡萄柚、棗、番石榴、木瓜、楊桃、釋迦、蓮霧、菊花、洋桔梗、文心蘭、蝴蝶蘭、火鶴、茶葉。</a:t>
          </a:r>
        </a:p>
      </dgm:t>
    </dgm:pt>
    <dgm:pt modelId="{630F0922-1A74-4252-9744-D56FAC20A20E}" type="parTrans" cxnId="{5A77ADB6-55DC-49B2-B4BF-83311B68D9E1}">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2BE3002A-2039-4CB7-ACEC-6E77ED145D01}" type="sibTrans" cxnId="{5A77ADB6-55DC-49B2-B4BF-83311B68D9E1}">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33CAF89F-DCF6-4ED5-9D83-11A8BE0E4125}">
      <dgm:prSet phldrT="[文字]"/>
      <dgm:spPr/>
      <dgm:t>
        <a:bodyPr/>
        <a:lstStyle/>
        <a:p>
          <a:pPr algn="l"/>
          <a:r>
            <a:rPr lang="zh-TW" altLang="en-US">
              <a:latin typeface="Times New Roman" panose="02020603050405020304" pitchFamily="18" charset="0"/>
              <a:ea typeface="標楷體" panose="03000509000000000000" pitchFamily="65" charset="-120"/>
              <a:cs typeface="Times New Roman" panose="02020603050405020304" pitchFamily="18" charset="0"/>
            </a:rPr>
            <a:t>水產品</a:t>
          </a:r>
        </a:p>
      </dgm:t>
    </dgm:pt>
    <dgm:pt modelId="{E4B32202-C7B1-4583-9295-3BCCA5B51221}" type="parTrans" cxnId="{FF85DE21-374E-400A-B6CB-F47F95E0DE76}">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BC46ED87-2749-4906-9F7A-FE6C898C130D}" type="sibTrans" cxnId="{FF85DE21-374E-400A-B6CB-F47F95E0DE76}">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B1310B11-9CC9-4368-8618-BCCEF0998FA0}">
      <dgm:prSet phldrT="[文字]"/>
      <dgm:spPr/>
      <dgm:t>
        <a:bodyPr/>
        <a:lstStyle/>
        <a:p>
          <a:pPr algn="l"/>
          <a:r>
            <a:rPr lang="zh-TW" altLang="en-US">
              <a:latin typeface="Times New Roman" panose="02020603050405020304" pitchFamily="18" charset="0"/>
              <a:ea typeface="標楷體" panose="03000509000000000000" pitchFamily="65" charset="-120"/>
              <a:cs typeface="Times New Roman" panose="02020603050405020304" pitchFamily="18" charset="0"/>
            </a:rPr>
            <a:t>鰻魚、觀賞用魚、鱸魚、虱目魚、石斑魚、吳郭魚。</a:t>
          </a:r>
        </a:p>
      </dgm:t>
    </dgm:pt>
    <dgm:pt modelId="{F85D415F-0033-4702-966F-7BE2FDA2D9F5}" type="parTrans" cxnId="{82E3DBE0-AC03-4D36-A9FE-DA2D1FABB6EC}">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444558B7-175A-4811-A082-2C2057562C81}" type="sibTrans" cxnId="{82E3DBE0-AC03-4D36-A9FE-DA2D1FABB6EC}">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1000E71F-D645-466A-A12E-681592981D18}">
      <dgm:prSet phldrT="[文字]"/>
      <dgm:spPr/>
      <dgm:t>
        <a:bodyPr/>
        <a:lstStyle/>
        <a:p>
          <a:pPr algn="l"/>
          <a:r>
            <a:rPr lang="zh-TW" altLang="en-US">
              <a:latin typeface="Times New Roman" panose="02020603050405020304" pitchFamily="18" charset="0"/>
              <a:ea typeface="標楷體" panose="03000509000000000000" pitchFamily="65" charset="-120"/>
              <a:cs typeface="Times New Roman" panose="02020603050405020304" pitchFamily="18" charset="0"/>
            </a:rPr>
            <a:t>畜產品</a:t>
          </a:r>
        </a:p>
      </dgm:t>
    </dgm:pt>
    <dgm:pt modelId="{81377D67-4FC9-4E18-8C1A-00095BAF3F22}" type="parTrans" cxnId="{B561373F-91B1-4DB9-AA8A-F79CFA668FEC}">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B4B1AA3C-980E-4162-AD45-3D2D735F8559}" type="sibTrans" cxnId="{B561373F-91B1-4DB9-AA8A-F79CFA668FEC}">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EE6F2AFC-1132-481A-9375-1B5AB84F0E85}">
      <dgm:prSet phldrT="[文字]"/>
      <dgm:spPr/>
      <dgm:t>
        <a:bodyPr/>
        <a:lstStyle/>
        <a:p>
          <a:pPr algn="l"/>
          <a:r>
            <a:rPr lang="zh-TW" altLang="en-US">
              <a:latin typeface="Times New Roman" panose="02020603050405020304" pitchFamily="18" charset="0"/>
              <a:ea typeface="標楷體" panose="03000509000000000000" pitchFamily="65" charset="-120"/>
              <a:cs typeface="Times New Roman" panose="02020603050405020304" pitchFamily="18" charset="0"/>
            </a:rPr>
            <a:t>豬肉、雞肉、鴨肉、帶殼禽蛋。</a:t>
          </a:r>
        </a:p>
      </dgm:t>
    </dgm:pt>
    <dgm:pt modelId="{62A86056-7BBC-454C-8114-9D15F5B32B28}" type="parTrans" cxnId="{590E8CB2-7418-4B4D-A35F-815F99193BFB}">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BE635E69-BA83-42C7-BEFD-D2CFC533FD51}" type="sibTrans" cxnId="{590E8CB2-7418-4B4D-A35F-815F99193BFB}">
      <dgm:prSet/>
      <dgm:spPr/>
      <dgm:t>
        <a:bodyPr/>
        <a:lstStyle/>
        <a:p>
          <a:pPr algn="l"/>
          <a:endParaRPr lang="zh-TW" altLang="en-US">
            <a:latin typeface="Times New Roman" panose="02020603050405020304" pitchFamily="18" charset="0"/>
            <a:ea typeface="標楷體" panose="03000509000000000000" pitchFamily="65" charset="-120"/>
            <a:cs typeface="Times New Roman" panose="02020603050405020304" pitchFamily="18" charset="0"/>
          </a:endParaRPr>
        </a:p>
      </dgm:t>
    </dgm:pt>
    <dgm:pt modelId="{01A3BD93-2951-405A-9A28-A1CAD761CF53}" type="pres">
      <dgm:prSet presAssocID="{AD02324A-B8EA-4EA7-AB70-839A71FBD370}" presName="Name0" presStyleCnt="0">
        <dgm:presLayoutVars>
          <dgm:chMax/>
          <dgm:chPref/>
          <dgm:dir/>
        </dgm:presLayoutVars>
      </dgm:prSet>
      <dgm:spPr/>
    </dgm:pt>
    <dgm:pt modelId="{DD80123C-4239-4085-99A1-709D6C053BEA}" type="pres">
      <dgm:prSet presAssocID="{6285E515-EEE1-42BC-8211-307282F31659}" presName="parenttextcomposite" presStyleCnt="0"/>
      <dgm:spPr/>
    </dgm:pt>
    <dgm:pt modelId="{83BF3117-06E1-449F-9CAF-FD82F328158B}" type="pres">
      <dgm:prSet presAssocID="{6285E515-EEE1-42BC-8211-307282F31659}" presName="parenttext" presStyleLbl="revTx" presStyleIdx="0" presStyleCnt="3">
        <dgm:presLayoutVars>
          <dgm:chMax/>
          <dgm:chPref val="2"/>
          <dgm:bulletEnabled val="1"/>
        </dgm:presLayoutVars>
      </dgm:prSet>
      <dgm:spPr/>
    </dgm:pt>
    <dgm:pt modelId="{594BD97E-1694-43FA-BE03-EF463796BFD0}" type="pres">
      <dgm:prSet presAssocID="{6285E515-EEE1-42BC-8211-307282F31659}" presName="composite" presStyleCnt="0"/>
      <dgm:spPr/>
    </dgm:pt>
    <dgm:pt modelId="{6111A281-387D-4F4D-9791-3B6E94459F4B}" type="pres">
      <dgm:prSet presAssocID="{6285E515-EEE1-42BC-8211-307282F31659}" presName="chevron1" presStyleLbl="alignNode1" presStyleIdx="0" presStyleCnt="21"/>
      <dgm:spPr/>
    </dgm:pt>
    <dgm:pt modelId="{824C266F-E196-4770-B9E9-B0260AC2AFFB}" type="pres">
      <dgm:prSet presAssocID="{6285E515-EEE1-42BC-8211-307282F31659}" presName="chevron2" presStyleLbl="alignNode1" presStyleIdx="1" presStyleCnt="21"/>
      <dgm:spPr/>
    </dgm:pt>
    <dgm:pt modelId="{4684BAB9-0FC2-437D-943D-2CDB6B8F3391}" type="pres">
      <dgm:prSet presAssocID="{6285E515-EEE1-42BC-8211-307282F31659}" presName="chevron3" presStyleLbl="alignNode1" presStyleIdx="2" presStyleCnt="21"/>
      <dgm:spPr/>
    </dgm:pt>
    <dgm:pt modelId="{DC377C3F-EF95-4CEB-ABBC-F1282B7283A7}" type="pres">
      <dgm:prSet presAssocID="{6285E515-EEE1-42BC-8211-307282F31659}" presName="chevron4" presStyleLbl="alignNode1" presStyleIdx="3" presStyleCnt="21"/>
      <dgm:spPr/>
    </dgm:pt>
    <dgm:pt modelId="{14854013-F5E1-417A-AFA3-CE7441E259D2}" type="pres">
      <dgm:prSet presAssocID="{6285E515-EEE1-42BC-8211-307282F31659}" presName="chevron5" presStyleLbl="alignNode1" presStyleIdx="4" presStyleCnt="21"/>
      <dgm:spPr/>
    </dgm:pt>
    <dgm:pt modelId="{DA48416C-A911-4A5F-84D7-94EAEFB13C98}" type="pres">
      <dgm:prSet presAssocID="{6285E515-EEE1-42BC-8211-307282F31659}" presName="chevron6" presStyleLbl="alignNode1" presStyleIdx="5" presStyleCnt="21"/>
      <dgm:spPr/>
    </dgm:pt>
    <dgm:pt modelId="{D30A6EA5-7C57-424D-9B05-26C18AAE494B}" type="pres">
      <dgm:prSet presAssocID="{6285E515-EEE1-42BC-8211-307282F31659}" presName="chevron7" presStyleLbl="alignNode1" presStyleIdx="6" presStyleCnt="21"/>
      <dgm:spPr/>
    </dgm:pt>
    <dgm:pt modelId="{5DDF86D4-C089-4014-93A6-7E3E0F761A95}" type="pres">
      <dgm:prSet presAssocID="{6285E515-EEE1-42BC-8211-307282F31659}" presName="childtext" presStyleLbl="solidFgAcc1" presStyleIdx="0" presStyleCnt="3">
        <dgm:presLayoutVars>
          <dgm:chMax/>
          <dgm:chPref val="0"/>
          <dgm:bulletEnabled val="1"/>
        </dgm:presLayoutVars>
      </dgm:prSet>
      <dgm:spPr/>
    </dgm:pt>
    <dgm:pt modelId="{AB0176B9-91D0-4D31-B9FB-7104D52A6C42}" type="pres">
      <dgm:prSet presAssocID="{FE448810-B1C4-4CA8-9E21-A0C518079974}" presName="sibTrans" presStyleCnt="0"/>
      <dgm:spPr/>
    </dgm:pt>
    <dgm:pt modelId="{8709B57A-6BB8-4107-9736-9C8E1391DFD3}" type="pres">
      <dgm:prSet presAssocID="{33CAF89F-DCF6-4ED5-9D83-11A8BE0E4125}" presName="parenttextcomposite" presStyleCnt="0"/>
      <dgm:spPr/>
    </dgm:pt>
    <dgm:pt modelId="{AE611417-DCB5-4F71-94E9-5BA056577359}" type="pres">
      <dgm:prSet presAssocID="{33CAF89F-DCF6-4ED5-9D83-11A8BE0E4125}" presName="parenttext" presStyleLbl="revTx" presStyleIdx="1" presStyleCnt="3">
        <dgm:presLayoutVars>
          <dgm:chMax/>
          <dgm:chPref val="2"/>
          <dgm:bulletEnabled val="1"/>
        </dgm:presLayoutVars>
      </dgm:prSet>
      <dgm:spPr/>
    </dgm:pt>
    <dgm:pt modelId="{694B523A-DA76-4DC9-A7B6-CC898D6BC501}" type="pres">
      <dgm:prSet presAssocID="{33CAF89F-DCF6-4ED5-9D83-11A8BE0E4125}" presName="composite" presStyleCnt="0"/>
      <dgm:spPr/>
    </dgm:pt>
    <dgm:pt modelId="{6611E2F0-0B31-4BD5-8420-9EE1C413F01E}" type="pres">
      <dgm:prSet presAssocID="{33CAF89F-DCF6-4ED5-9D83-11A8BE0E4125}" presName="chevron1" presStyleLbl="alignNode1" presStyleIdx="7" presStyleCnt="21"/>
      <dgm:spPr/>
    </dgm:pt>
    <dgm:pt modelId="{E90ECFB3-7CBD-4DD3-B893-E32D1B84AC92}" type="pres">
      <dgm:prSet presAssocID="{33CAF89F-DCF6-4ED5-9D83-11A8BE0E4125}" presName="chevron2" presStyleLbl="alignNode1" presStyleIdx="8" presStyleCnt="21"/>
      <dgm:spPr/>
    </dgm:pt>
    <dgm:pt modelId="{B9BDCD0C-CCFD-4208-8C23-55C15DCE14F6}" type="pres">
      <dgm:prSet presAssocID="{33CAF89F-DCF6-4ED5-9D83-11A8BE0E4125}" presName="chevron3" presStyleLbl="alignNode1" presStyleIdx="9" presStyleCnt="21"/>
      <dgm:spPr/>
    </dgm:pt>
    <dgm:pt modelId="{6C2EEAAF-1912-4A15-9A6F-683F5CEB5CED}" type="pres">
      <dgm:prSet presAssocID="{33CAF89F-DCF6-4ED5-9D83-11A8BE0E4125}" presName="chevron4" presStyleLbl="alignNode1" presStyleIdx="10" presStyleCnt="21"/>
      <dgm:spPr/>
    </dgm:pt>
    <dgm:pt modelId="{39ECA5DA-71A3-4454-97DF-6A05980577E6}" type="pres">
      <dgm:prSet presAssocID="{33CAF89F-DCF6-4ED5-9D83-11A8BE0E4125}" presName="chevron5" presStyleLbl="alignNode1" presStyleIdx="11" presStyleCnt="21"/>
      <dgm:spPr/>
    </dgm:pt>
    <dgm:pt modelId="{5B6CC3F5-EBEB-465A-9DEF-2579A9C06A0C}" type="pres">
      <dgm:prSet presAssocID="{33CAF89F-DCF6-4ED5-9D83-11A8BE0E4125}" presName="chevron6" presStyleLbl="alignNode1" presStyleIdx="12" presStyleCnt="21"/>
      <dgm:spPr/>
    </dgm:pt>
    <dgm:pt modelId="{F2268A2B-80CF-4CD6-B928-0A3830DE20AB}" type="pres">
      <dgm:prSet presAssocID="{33CAF89F-DCF6-4ED5-9D83-11A8BE0E4125}" presName="chevron7" presStyleLbl="alignNode1" presStyleIdx="13" presStyleCnt="21"/>
      <dgm:spPr/>
    </dgm:pt>
    <dgm:pt modelId="{AC39E8AE-56A1-4991-A2DA-E0B8905C297A}" type="pres">
      <dgm:prSet presAssocID="{33CAF89F-DCF6-4ED5-9D83-11A8BE0E4125}" presName="childtext" presStyleLbl="solidFgAcc1" presStyleIdx="1" presStyleCnt="3">
        <dgm:presLayoutVars>
          <dgm:chMax/>
          <dgm:chPref val="0"/>
          <dgm:bulletEnabled val="1"/>
        </dgm:presLayoutVars>
      </dgm:prSet>
      <dgm:spPr/>
    </dgm:pt>
    <dgm:pt modelId="{FDEBB565-6E69-4DD1-99FE-89A518A2528B}" type="pres">
      <dgm:prSet presAssocID="{BC46ED87-2749-4906-9F7A-FE6C898C130D}" presName="sibTrans" presStyleCnt="0"/>
      <dgm:spPr/>
    </dgm:pt>
    <dgm:pt modelId="{A83705B0-DE39-4F2F-A480-E9E2F3E35A5D}" type="pres">
      <dgm:prSet presAssocID="{1000E71F-D645-466A-A12E-681592981D18}" presName="parenttextcomposite" presStyleCnt="0"/>
      <dgm:spPr/>
    </dgm:pt>
    <dgm:pt modelId="{4876197B-7921-44D8-BF02-1601C49D66DC}" type="pres">
      <dgm:prSet presAssocID="{1000E71F-D645-466A-A12E-681592981D18}" presName="parenttext" presStyleLbl="revTx" presStyleIdx="2" presStyleCnt="3">
        <dgm:presLayoutVars>
          <dgm:chMax/>
          <dgm:chPref val="2"/>
          <dgm:bulletEnabled val="1"/>
        </dgm:presLayoutVars>
      </dgm:prSet>
      <dgm:spPr/>
    </dgm:pt>
    <dgm:pt modelId="{7B4D7F77-8388-45BB-A4E4-42B9117CC393}" type="pres">
      <dgm:prSet presAssocID="{1000E71F-D645-466A-A12E-681592981D18}" presName="composite" presStyleCnt="0"/>
      <dgm:spPr/>
    </dgm:pt>
    <dgm:pt modelId="{943DA622-D67A-4F4C-BE02-94B5E40551B2}" type="pres">
      <dgm:prSet presAssocID="{1000E71F-D645-466A-A12E-681592981D18}" presName="chevron1" presStyleLbl="alignNode1" presStyleIdx="14" presStyleCnt="21"/>
      <dgm:spPr/>
    </dgm:pt>
    <dgm:pt modelId="{64CE9308-7D79-4001-94A4-5E0284845095}" type="pres">
      <dgm:prSet presAssocID="{1000E71F-D645-466A-A12E-681592981D18}" presName="chevron2" presStyleLbl="alignNode1" presStyleIdx="15" presStyleCnt="21"/>
      <dgm:spPr/>
    </dgm:pt>
    <dgm:pt modelId="{46C1D355-C7DC-41CF-B5D4-6D03084ABE33}" type="pres">
      <dgm:prSet presAssocID="{1000E71F-D645-466A-A12E-681592981D18}" presName="chevron3" presStyleLbl="alignNode1" presStyleIdx="16" presStyleCnt="21"/>
      <dgm:spPr/>
    </dgm:pt>
    <dgm:pt modelId="{F9696D81-4BE4-4B0E-8705-0B4A2738B008}" type="pres">
      <dgm:prSet presAssocID="{1000E71F-D645-466A-A12E-681592981D18}" presName="chevron4" presStyleLbl="alignNode1" presStyleIdx="17" presStyleCnt="21"/>
      <dgm:spPr/>
    </dgm:pt>
    <dgm:pt modelId="{55F2E0A9-1C36-4C4D-9662-663B1D3B63EB}" type="pres">
      <dgm:prSet presAssocID="{1000E71F-D645-466A-A12E-681592981D18}" presName="chevron5" presStyleLbl="alignNode1" presStyleIdx="18" presStyleCnt="21"/>
      <dgm:spPr/>
    </dgm:pt>
    <dgm:pt modelId="{6D1800F2-F432-4930-9F68-EAF09851BB3F}" type="pres">
      <dgm:prSet presAssocID="{1000E71F-D645-466A-A12E-681592981D18}" presName="chevron6" presStyleLbl="alignNode1" presStyleIdx="19" presStyleCnt="21"/>
      <dgm:spPr/>
    </dgm:pt>
    <dgm:pt modelId="{BFD02869-B651-4110-8718-D312F8A33F56}" type="pres">
      <dgm:prSet presAssocID="{1000E71F-D645-466A-A12E-681592981D18}" presName="chevron7" presStyleLbl="alignNode1" presStyleIdx="20" presStyleCnt="21"/>
      <dgm:spPr/>
    </dgm:pt>
    <dgm:pt modelId="{B01835A4-926A-44B7-BA03-290782F821FD}" type="pres">
      <dgm:prSet presAssocID="{1000E71F-D645-466A-A12E-681592981D18}" presName="childtext" presStyleLbl="solidFgAcc1" presStyleIdx="2" presStyleCnt="3">
        <dgm:presLayoutVars>
          <dgm:chMax/>
          <dgm:chPref val="0"/>
          <dgm:bulletEnabled val="1"/>
        </dgm:presLayoutVars>
      </dgm:prSet>
      <dgm:spPr/>
    </dgm:pt>
  </dgm:ptLst>
  <dgm:cxnLst>
    <dgm:cxn modelId="{32A9CE5E-2082-4890-AEB8-CEE708D6DA5D}" type="presOf" srcId="{33CAF89F-DCF6-4ED5-9D83-11A8BE0E4125}" destId="{AE611417-DCB5-4F71-94E9-5BA056577359}" srcOrd="0" destOrd="0" presId="urn:microsoft.com/office/officeart/2008/layout/VerticalAccentList"/>
    <dgm:cxn modelId="{B561373F-91B1-4DB9-AA8A-F79CFA668FEC}" srcId="{AD02324A-B8EA-4EA7-AB70-839A71FBD370}" destId="{1000E71F-D645-466A-A12E-681592981D18}" srcOrd="2" destOrd="0" parTransId="{81377D67-4FC9-4E18-8C1A-00095BAF3F22}" sibTransId="{B4B1AA3C-980E-4162-AD45-3D2D735F8559}"/>
    <dgm:cxn modelId="{E9AF5DA7-331F-4EBC-80BA-3672BADD4126}" type="presOf" srcId="{AD02324A-B8EA-4EA7-AB70-839A71FBD370}" destId="{01A3BD93-2951-405A-9A28-A1CAD761CF53}" srcOrd="0" destOrd="0" presId="urn:microsoft.com/office/officeart/2008/layout/VerticalAccentList"/>
    <dgm:cxn modelId="{560087AF-B881-4475-9413-76C80B90F852}" type="presOf" srcId="{B1310B11-9CC9-4368-8618-BCCEF0998FA0}" destId="{AC39E8AE-56A1-4991-A2DA-E0B8905C297A}" srcOrd="0" destOrd="0" presId="urn:microsoft.com/office/officeart/2008/layout/VerticalAccentList"/>
    <dgm:cxn modelId="{82E3DBE0-AC03-4D36-A9FE-DA2D1FABB6EC}" srcId="{33CAF89F-DCF6-4ED5-9D83-11A8BE0E4125}" destId="{B1310B11-9CC9-4368-8618-BCCEF0998FA0}" srcOrd="0" destOrd="0" parTransId="{F85D415F-0033-4702-966F-7BE2FDA2D9F5}" sibTransId="{444558B7-175A-4811-A082-2C2057562C81}"/>
    <dgm:cxn modelId="{590E8CB2-7418-4B4D-A35F-815F99193BFB}" srcId="{1000E71F-D645-466A-A12E-681592981D18}" destId="{EE6F2AFC-1132-481A-9375-1B5AB84F0E85}" srcOrd="0" destOrd="0" parTransId="{62A86056-7BBC-454C-8114-9D15F5B32B28}" sibTransId="{BE635E69-BA83-42C7-BEFD-D2CFC533FD51}"/>
    <dgm:cxn modelId="{21BCC566-30BB-4624-88E6-DA0D2C1E43C7}" type="presOf" srcId="{6285E515-EEE1-42BC-8211-307282F31659}" destId="{83BF3117-06E1-449F-9CAF-FD82F328158B}" srcOrd="0" destOrd="0" presId="urn:microsoft.com/office/officeart/2008/layout/VerticalAccentList"/>
    <dgm:cxn modelId="{25F1DB34-276A-4266-B39D-E4C798234EC2}" type="presOf" srcId="{839EEF18-EF04-455B-A2A2-13A387BC0664}" destId="{5DDF86D4-C089-4014-93A6-7E3E0F761A95}" srcOrd="0" destOrd="0" presId="urn:microsoft.com/office/officeart/2008/layout/VerticalAccentList"/>
    <dgm:cxn modelId="{03595DA2-B4F1-4AA1-A5E1-02DB45CE1FDF}" type="presOf" srcId="{EE6F2AFC-1132-481A-9375-1B5AB84F0E85}" destId="{B01835A4-926A-44B7-BA03-290782F821FD}" srcOrd="0" destOrd="0" presId="urn:microsoft.com/office/officeart/2008/layout/VerticalAccentList"/>
    <dgm:cxn modelId="{40B1455A-FECC-4213-A30E-5E18DD3FFE32}" srcId="{AD02324A-B8EA-4EA7-AB70-839A71FBD370}" destId="{6285E515-EEE1-42BC-8211-307282F31659}" srcOrd="0" destOrd="0" parTransId="{07F44F7F-1B97-4DCE-ABAA-F9D1952FE658}" sibTransId="{FE448810-B1C4-4CA8-9E21-A0C518079974}"/>
    <dgm:cxn modelId="{FF85DE21-374E-400A-B6CB-F47F95E0DE76}" srcId="{AD02324A-B8EA-4EA7-AB70-839A71FBD370}" destId="{33CAF89F-DCF6-4ED5-9D83-11A8BE0E4125}" srcOrd="1" destOrd="0" parTransId="{E4B32202-C7B1-4583-9295-3BCCA5B51221}" sibTransId="{BC46ED87-2749-4906-9F7A-FE6C898C130D}"/>
    <dgm:cxn modelId="{E850AF44-E3B9-431E-93E8-85E7B8789C33}" type="presOf" srcId="{1000E71F-D645-466A-A12E-681592981D18}" destId="{4876197B-7921-44D8-BF02-1601C49D66DC}" srcOrd="0" destOrd="0" presId="urn:microsoft.com/office/officeart/2008/layout/VerticalAccentList"/>
    <dgm:cxn modelId="{5A77ADB6-55DC-49B2-B4BF-83311B68D9E1}" srcId="{6285E515-EEE1-42BC-8211-307282F31659}" destId="{839EEF18-EF04-455B-A2A2-13A387BC0664}" srcOrd="0" destOrd="0" parTransId="{630F0922-1A74-4252-9744-D56FAC20A20E}" sibTransId="{2BE3002A-2039-4CB7-ACEC-6E77ED145D01}"/>
    <dgm:cxn modelId="{72D4C021-1F78-4474-9C2E-3881E75A1962}" type="presParOf" srcId="{01A3BD93-2951-405A-9A28-A1CAD761CF53}" destId="{DD80123C-4239-4085-99A1-709D6C053BEA}" srcOrd="0" destOrd="0" presId="urn:microsoft.com/office/officeart/2008/layout/VerticalAccentList"/>
    <dgm:cxn modelId="{858815D8-BE19-41C6-AD6C-CCFCF8141521}" type="presParOf" srcId="{DD80123C-4239-4085-99A1-709D6C053BEA}" destId="{83BF3117-06E1-449F-9CAF-FD82F328158B}" srcOrd="0" destOrd="0" presId="urn:microsoft.com/office/officeart/2008/layout/VerticalAccentList"/>
    <dgm:cxn modelId="{AA7BB52F-0D87-43A8-BF21-1D86A77E6C22}" type="presParOf" srcId="{01A3BD93-2951-405A-9A28-A1CAD761CF53}" destId="{594BD97E-1694-43FA-BE03-EF463796BFD0}" srcOrd="1" destOrd="0" presId="urn:microsoft.com/office/officeart/2008/layout/VerticalAccentList"/>
    <dgm:cxn modelId="{8006B19C-638F-4FEB-81F4-D4BA629E8428}" type="presParOf" srcId="{594BD97E-1694-43FA-BE03-EF463796BFD0}" destId="{6111A281-387D-4F4D-9791-3B6E94459F4B}" srcOrd="0" destOrd="0" presId="urn:microsoft.com/office/officeart/2008/layout/VerticalAccentList"/>
    <dgm:cxn modelId="{1CC2382D-95C7-4492-AD77-52C4711DC460}" type="presParOf" srcId="{594BD97E-1694-43FA-BE03-EF463796BFD0}" destId="{824C266F-E196-4770-B9E9-B0260AC2AFFB}" srcOrd="1" destOrd="0" presId="urn:microsoft.com/office/officeart/2008/layout/VerticalAccentList"/>
    <dgm:cxn modelId="{AC187392-B908-4D5C-8F6F-EABF76FAD1C7}" type="presParOf" srcId="{594BD97E-1694-43FA-BE03-EF463796BFD0}" destId="{4684BAB9-0FC2-437D-943D-2CDB6B8F3391}" srcOrd="2" destOrd="0" presId="urn:microsoft.com/office/officeart/2008/layout/VerticalAccentList"/>
    <dgm:cxn modelId="{8409C167-13AD-4B63-B6ED-3B6BB3B7FC2A}" type="presParOf" srcId="{594BD97E-1694-43FA-BE03-EF463796BFD0}" destId="{DC377C3F-EF95-4CEB-ABBC-F1282B7283A7}" srcOrd="3" destOrd="0" presId="urn:microsoft.com/office/officeart/2008/layout/VerticalAccentList"/>
    <dgm:cxn modelId="{C7D0D50D-3BEB-443E-8709-EA7AC78FA74D}" type="presParOf" srcId="{594BD97E-1694-43FA-BE03-EF463796BFD0}" destId="{14854013-F5E1-417A-AFA3-CE7441E259D2}" srcOrd="4" destOrd="0" presId="urn:microsoft.com/office/officeart/2008/layout/VerticalAccentList"/>
    <dgm:cxn modelId="{DEFC0524-3CC1-4EB4-A9C1-2C084268D481}" type="presParOf" srcId="{594BD97E-1694-43FA-BE03-EF463796BFD0}" destId="{DA48416C-A911-4A5F-84D7-94EAEFB13C98}" srcOrd="5" destOrd="0" presId="urn:microsoft.com/office/officeart/2008/layout/VerticalAccentList"/>
    <dgm:cxn modelId="{FD1011F5-9A82-4234-B73E-3CCD67794967}" type="presParOf" srcId="{594BD97E-1694-43FA-BE03-EF463796BFD0}" destId="{D30A6EA5-7C57-424D-9B05-26C18AAE494B}" srcOrd="6" destOrd="0" presId="urn:microsoft.com/office/officeart/2008/layout/VerticalAccentList"/>
    <dgm:cxn modelId="{7EB17B82-019B-4288-8C0A-BBD34F86E5DE}" type="presParOf" srcId="{594BD97E-1694-43FA-BE03-EF463796BFD0}" destId="{5DDF86D4-C089-4014-93A6-7E3E0F761A95}" srcOrd="7" destOrd="0" presId="urn:microsoft.com/office/officeart/2008/layout/VerticalAccentList"/>
    <dgm:cxn modelId="{DF4FFEFC-8F74-4ED4-B607-3AB59408527B}" type="presParOf" srcId="{01A3BD93-2951-405A-9A28-A1CAD761CF53}" destId="{AB0176B9-91D0-4D31-B9FB-7104D52A6C42}" srcOrd="2" destOrd="0" presId="urn:microsoft.com/office/officeart/2008/layout/VerticalAccentList"/>
    <dgm:cxn modelId="{881ED394-D475-4A49-AD8A-A6F72D26C8D2}" type="presParOf" srcId="{01A3BD93-2951-405A-9A28-A1CAD761CF53}" destId="{8709B57A-6BB8-4107-9736-9C8E1391DFD3}" srcOrd="3" destOrd="0" presId="urn:microsoft.com/office/officeart/2008/layout/VerticalAccentList"/>
    <dgm:cxn modelId="{59155DE2-3385-49BA-8172-5E6EC35327B3}" type="presParOf" srcId="{8709B57A-6BB8-4107-9736-9C8E1391DFD3}" destId="{AE611417-DCB5-4F71-94E9-5BA056577359}" srcOrd="0" destOrd="0" presId="urn:microsoft.com/office/officeart/2008/layout/VerticalAccentList"/>
    <dgm:cxn modelId="{8F069715-952E-4C77-B720-6CD56BB70A5C}" type="presParOf" srcId="{01A3BD93-2951-405A-9A28-A1CAD761CF53}" destId="{694B523A-DA76-4DC9-A7B6-CC898D6BC501}" srcOrd="4" destOrd="0" presId="urn:microsoft.com/office/officeart/2008/layout/VerticalAccentList"/>
    <dgm:cxn modelId="{9C92432D-2279-40FC-BD34-ED8C6ECCE64F}" type="presParOf" srcId="{694B523A-DA76-4DC9-A7B6-CC898D6BC501}" destId="{6611E2F0-0B31-4BD5-8420-9EE1C413F01E}" srcOrd="0" destOrd="0" presId="urn:microsoft.com/office/officeart/2008/layout/VerticalAccentList"/>
    <dgm:cxn modelId="{670555DF-429A-4B5F-BDB6-A9E319179B13}" type="presParOf" srcId="{694B523A-DA76-4DC9-A7B6-CC898D6BC501}" destId="{E90ECFB3-7CBD-4DD3-B893-E32D1B84AC92}" srcOrd="1" destOrd="0" presId="urn:microsoft.com/office/officeart/2008/layout/VerticalAccentList"/>
    <dgm:cxn modelId="{A8E30BD1-24EF-4C37-AB95-A79DDA602CED}" type="presParOf" srcId="{694B523A-DA76-4DC9-A7B6-CC898D6BC501}" destId="{B9BDCD0C-CCFD-4208-8C23-55C15DCE14F6}" srcOrd="2" destOrd="0" presId="urn:microsoft.com/office/officeart/2008/layout/VerticalAccentList"/>
    <dgm:cxn modelId="{073BAC40-BD68-4AB5-85B3-8179C8AF383D}" type="presParOf" srcId="{694B523A-DA76-4DC9-A7B6-CC898D6BC501}" destId="{6C2EEAAF-1912-4A15-9A6F-683F5CEB5CED}" srcOrd="3" destOrd="0" presId="urn:microsoft.com/office/officeart/2008/layout/VerticalAccentList"/>
    <dgm:cxn modelId="{5699E803-933E-4245-8FC6-F927CB46ABF7}" type="presParOf" srcId="{694B523A-DA76-4DC9-A7B6-CC898D6BC501}" destId="{39ECA5DA-71A3-4454-97DF-6A05980577E6}" srcOrd="4" destOrd="0" presId="urn:microsoft.com/office/officeart/2008/layout/VerticalAccentList"/>
    <dgm:cxn modelId="{35D476FD-7C88-4273-9550-0F42B839BCDB}" type="presParOf" srcId="{694B523A-DA76-4DC9-A7B6-CC898D6BC501}" destId="{5B6CC3F5-EBEB-465A-9DEF-2579A9C06A0C}" srcOrd="5" destOrd="0" presId="urn:microsoft.com/office/officeart/2008/layout/VerticalAccentList"/>
    <dgm:cxn modelId="{548353D7-F5D4-4CE7-BD0E-77CFD5F948A4}" type="presParOf" srcId="{694B523A-DA76-4DC9-A7B6-CC898D6BC501}" destId="{F2268A2B-80CF-4CD6-B928-0A3830DE20AB}" srcOrd="6" destOrd="0" presId="urn:microsoft.com/office/officeart/2008/layout/VerticalAccentList"/>
    <dgm:cxn modelId="{6394C46F-1457-4183-96C9-6176D60DC875}" type="presParOf" srcId="{694B523A-DA76-4DC9-A7B6-CC898D6BC501}" destId="{AC39E8AE-56A1-4991-A2DA-E0B8905C297A}" srcOrd="7" destOrd="0" presId="urn:microsoft.com/office/officeart/2008/layout/VerticalAccentList"/>
    <dgm:cxn modelId="{638F3509-CE39-4BD4-9F5F-2FDEDB9522AD}" type="presParOf" srcId="{01A3BD93-2951-405A-9A28-A1CAD761CF53}" destId="{FDEBB565-6E69-4DD1-99FE-89A518A2528B}" srcOrd="5" destOrd="0" presId="urn:microsoft.com/office/officeart/2008/layout/VerticalAccentList"/>
    <dgm:cxn modelId="{817D83C1-638F-4705-82D2-A3B3D590C62F}" type="presParOf" srcId="{01A3BD93-2951-405A-9A28-A1CAD761CF53}" destId="{A83705B0-DE39-4F2F-A480-E9E2F3E35A5D}" srcOrd="6" destOrd="0" presId="urn:microsoft.com/office/officeart/2008/layout/VerticalAccentList"/>
    <dgm:cxn modelId="{2024C4AE-BB3B-4B29-917D-47DDA797F938}" type="presParOf" srcId="{A83705B0-DE39-4F2F-A480-E9E2F3E35A5D}" destId="{4876197B-7921-44D8-BF02-1601C49D66DC}" srcOrd="0" destOrd="0" presId="urn:microsoft.com/office/officeart/2008/layout/VerticalAccentList"/>
    <dgm:cxn modelId="{A6104CCB-A34B-4E35-93E7-98F92AEF893D}" type="presParOf" srcId="{01A3BD93-2951-405A-9A28-A1CAD761CF53}" destId="{7B4D7F77-8388-45BB-A4E4-42B9117CC393}" srcOrd="7" destOrd="0" presId="urn:microsoft.com/office/officeart/2008/layout/VerticalAccentList"/>
    <dgm:cxn modelId="{BC4076A6-98BE-474D-A97C-DFCF25C3C1ED}" type="presParOf" srcId="{7B4D7F77-8388-45BB-A4E4-42B9117CC393}" destId="{943DA622-D67A-4F4C-BE02-94B5E40551B2}" srcOrd="0" destOrd="0" presId="urn:microsoft.com/office/officeart/2008/layout/VerticalAccentList"/>
    <dgm:cxn modelId="{2405F777-F3ED-428D-AFA1-F86A6A607690}" type="presParOf" srcId="{7B4D7F77-8388-45BB-A4E4-42B9117CC393}" destId="{64CE9308-7D79-4001-94A4-5E0284845095}" srcOrd="1" destOrd="0" presId="urn:microsoft.com/office/officeart/2008/layout/VerticalAccentList"/>
    <dgm:cxn modelId="{A25FD709-E380-4255-8235-959D30747CF7}" type="presParOf" srcId="{7B4D7F77-8388-45BB-A4E4-42B9117CC393}" destId="{46C1D355-C7DC-41CF-B5D4-6D03084ABE33}" srcOrd="2" destOrd="0" presId="urn:microsoft.com/office/officeart/2008/layout/VerticalAccentList"/>
    <dgm:cxn modelId="{44710354-3B02-4A68-8477-F833A2C2B928}" type="presParOf" srcId="{7B4D7F77-8388-45BB-A4E4-42B9117CC393}" destId="{F9696D81-4BE4-4B0E-8705-0B4A2738B008}" srcOrd="3" destOrd="0" presId="urn:microsoft.com/office/officeart/2008/layout/VerticalAccentList"/>
    <dgm:cxn modelId="{F85ABEC3-22CB-4BCC-948D-05CFA47D7AB6}" type="presParOf" srcId="{7B4D7F77-8388-45BB-A4E4-42B9117CC393}" destId="{55F2E0A9-1C36-4C4D-9662-663B1D3B63EB}" srcOrd="4" destOrd="0" presId="urn:microsoft.com/office/officeart/2008/layout/VerticalAccentList"/>
    <dgm:cxn modelId="{3A725269-0047-4B07-B2D7-9AADB2B90B22}" type="presParOf" srcId="{7B4D7F77-8388-45BB-A4E4-42B9117CC393}" destId="{6D1800F2-F432-4930-9F68-EAF09851BB3F}" srcOrd="5" destOrd="0" presId="urn:microsoft.com/office/officeart/2008/layout/VerticalAccentList"/>
    <dgm:cxn modelId="{21A380CE-514E-4D5B-BF9A-B6BB5DF114B2}" type="presParOf" srcId="{7B4D7F77-8388-45BB-A4E4-42B9117CC393}" destId="{BFD02869-B651-4110-8718-D312F8A33F56}" srcOrd="6" destOrd="0" presId="urn:microsoft.com/office/officeart/2008/layout/VerticalAccentList"/>
    <dgm:cxn modelId="{FE86495D-33FF-480B-B8AF-E994659DDC47}" type="presParOf" srcId="{7B4D7F77-8388-45BB-A4E4-42B9117CC393}" destId="{B01835A4-926A-44B7-BA03-290782F821FD}" srcOrd="7" destOrd="0" presId="urn:microsoft.com/office/officeart/2008/layout/VerticalAccentList"/>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DDF5960-E0F8-498E-A4FA-5812B4BE2765}" type="doc">
      <dgm:prSet loTypeId="urn:microsoft.com/office/officeart/2005/8/layout/vList2" loCatId="list" qsTypeId="urn:microsoft.com/office/officeart/2005/8/quickstyle/simple5" qsCatId="simple" csTypeId="urn:microsoft.com/office/officeart/2005/8/colors/colorful1" csCatId="colorful" phldr="1"/>
      <dgm:spPr/>
      <dgm:t>
        <a:bodyPr/>
        <a:lstStyle/>
        <a:p>
          <a:endParaRPr lang="zh-TW" altLang="en-US"/>
        </a:p>
      </dgm:t>
    </dgm:pt>
    <dgm:pt modelId="{16F48858-A535-4A91-BC1E-54D1EE12BE7B}">
      <dgm:prSet phldrT="[文字]" custT="1"/>
      <dgm:spPr/>
      <dgm:t>
        <a:bodyPr/>
        <a:lstStyle/>
        <a:p>
          <a:pPr algn="ctr"/>
          <a:r>
            <a:rPr lang="zh-TW" altLang="en-US" sz="1400" b="0" i="0">
              <a:latin typeface="標楷體" panose="03000509000000000000" pitchFamily="65" charset="-120"/>
              <a:ea typeface="標楷體" panose="03000509000000000000" pitchFamily="65" charset="-120"/>
              <a:cs typeface="Times New Roman" panose="02020603050405020304" pitchFamily="18" charset="0"/>
            </a:rPr>
            <a:t>推動農業加值，拓展國際市場</a:t>
          </a:r>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E6EF1414-2775-4A1D-B4ED-E43125CA0C5A}" type="parTrans" cxnId="{739459BB-CA6D-4F8B-A640-4D5162A5B8E8}">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DBE51CE9-800C-4298-9B6A-6FB08A3AAC9D}" type="sibTrans" cxnId="{739459BB-CA6D-4F8B-A640-4D5162A5B8E8}">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47E87605-A15B-4CC7-90F6-7E22F8986054}">
      <dgm:prSet phldrT="[文字]" custT="1"/>
      <dgm:spPr/>
      <dgm:t>
        <a:bodyPr/>
        <a:lstStyle/>
        <a:p>
          <a:r>
            <a:rPr lang="zh-TW" altLang="en-US" sz="1200">
              <a:latin typeface="標楷體" panose="03000509000000000000" pitchFamily="65" charset="-120"/>
              <a:ea typeface="標楷體" panose="03000509000000000000" pitchFamily="65" charset="-120"/>
              <a:cs typeface="Times New Roman" panose="02020603050405020304" pitchFamily="18" charset="0"/>
            </a:rPr>
            <a:t>推動自由經濟示範區－農業加值；推動農業科技產業全球運籌；輔導建立品牌與強化國際行銷；維持漁業全球競爭力。</a:t>
          </a:r>
        </a:p>
      </dgm:t>
    </dgm:pt>
    <dgm:pt modelId="{BAF1A8E7-3250-44B9-83A7-6B258281B01F}" type="parTrans" cxnId="{D11EF9E9-AE4F-4063-912D-7AADEEE2795E}">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B45D8190-42FB-433B-816A-2482F6FAE1A5}" type="sibTrans" cxnId="{D11EF9E9-AE4F-4063-912D-7AADEEE2795E}">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CC0BC3F1-0073-464B-A723-8A72B23E88AA}">
      <dgm:prSet phldrT="[文字]" custT="1"/>
      <dgm:spPr/>
      <dgm:t>
        <a:bodyPr/>
        <a:lstStyle/>
        <a:p>
          <a:pPr algn="ctr"/>
          <a:r>
            <a:rPr lang="zh-TW" altLang="en-US" sz="1400" b="0" i="0">
              <a:latin typeface="標楷體" panose="03000509000000000000" pitchFamily="65" charset="-120"/>
              <a:ea typeface="標楷體" panose="03000509000000000000" pitchFamily="65" charset="-120"/>
              <a:cs typeface="Times New Roman" panose="02020603050405020304" pitchFamily="18" charset="0"/>
            </a:rPr>
            <a:t>促進地產地消，建立市場區隔</a:t>
          </a:r>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0D2DBFC1-72F1-470C-ACD6-DAD682BC3B2D}" type="parTrans" cxnId="{42725738-4463-4143-96B6-C4CCB749CDCA}">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66E2A137-1374-4DCA-9789-F66500ADB013}" type="sibTrans" cxnId="{42725738-4463-4143-96B6-C4CCB749CDCA}">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256BE3F5-7329-4626-8B40-25AFB1CAF523}">
      <dgm:prSet phldrT="[文字]" custT="1"/>
      <dgm:spPr/>
      <dgm:t>
        <a:bodyPr/>
        <a:lstStyle/>
        <a:p>
          <a:r>
            <a:rPr lang="zh-TW" altLang="en-US" sz="1200" b="0" i="0">
              <a:latin typeface="標楷體" panose="03000509000000000000" pitchFamily="65" charset="-120"/>
              <a:ea typeface="標楷體" panose="03000509000000000000" pitchFamily="65" charset="-120"/>
            </a:rPr>
            <a:t>強化農產品追溯及安全管理；發揮在地農產生鮮優勢；農村再生結合農村社區與產業；輔導專業農民成立微型農企業；加強食農教育與溝通。 </a:t>
          </a:r>
          <a:endParaRPr lang="zh-TW" altLang="en-US" sz="1200">
            <a:latin typeface="標楷體" panose="03000509000000000000" pitchFamily="65" charset="-120"/>
            <a:ea typeface="標楷體" panose="03000509000000000000" pitchFamily="65" charset="-120"/>
            <a:cs typeface="Times New Roman" panose="02020603050405020304" pitchFamily="18" charset="0"/>
          </a:endParaRPr>
        </a:p>
      </dgm:t>
    </dgm:pt>
    <dgm:pt modelId="{B57B221A-086A-47AC-AA23-A1E99DBAD693}" type="parTrans" cxnId="{11A27DFE-C9C4-48E1-AB31-F5A090437759}">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AA52DAC8-3BE7-4785-BD68-48E919EF06E8}" type="sibTrans" cxnId="{11A27DFE-C9C4-48E1-AB31-F5A090437759}">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75A79CE3-9935-4CE0-AF91-06B7E79D1AAA}">
      <dgm:prSet phldrT="[文字]" custT="1"/>
      <dgm:spPr/>
      <dgm:t>
        <a:bodyPr/>
        <a:lstStyle/>
        <a:p>
          <a:pPr algn="ctr"/>
          <a:r>
            <a:rPr lang="zh-TW" altLang="en-US" sz="1400" b="0" i="0">
              <a:latin typeface="標楷體" panose="03000509000000000000" pitchFamily="65" charset="-120"/>
              <a:ea typeface="標楷體" panose="03000509000000000000" pitchFamily="65" charset="-120"/>
            </a:rPr>
            <a:t>加速結構調整，發揮產業與資源綜效</a:t>
          </a:r>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B38EB4C8-0DF0-4A32-A8DF-5BAEE0F7C0E6}" type="parTrans" cxnId="{CA12383E-E8F5-438B-97C9-D8E089BC9A5A}">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F7196605-A693-4650-BAB7-2E67610D6EC2}" type="sibTrans" cxnId="{CA12383E-E8F5-438B-97C9-D8E089BC9A5A}">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C49647D5-F504-482B-ABA7-9D29FD7E959E}">
      <dgm:prSet phldrT="[文字]" custT="1"/>
      <dgm:spPr/>
      <dgm:t>
        <a:bodyPr/>
        <a:lstStyle/>
        <a:p>
          <a:r>
            <a:rPr lang="zh-TW" altLang="en-US" sz="1200" b="0" i="0">
              <a:latin typeface="標楷體" panose="03000509000000000000" pitchFamily="65" charset="-120"/>
              <a:ea typeface="標楷體" panose="03000509000000000000" pitchFamily="65" charset="-120"/>
            </a:rPr>
            <a:t>推動農業專區；調整耕作制度與規模；合理調整農地利用管理；培育農業青年人力。 </a:t>
          </a:r>
          <a:endParaRPr lang="zh-TW" altLang="en-US" sz="1200">
            <a:latin typeface="標楷體" panose="03000509000000000000" pitchFamily="65" charset="-120"/>
            <a:ea typeface="標楷體" panose="03000509000000000000" pitchFamily="65" charset="-120"/>
            <a:cs typeface="Times New Roman" panose="02020603050405020304" pitchFamily="18" charset="0"/>
          </a:endParaRPr>
        </a:p>
      </dgm:t>
    </dgm:pt>
    <dgm:pt modelId="{23E9B6ED-2E0F-4C1C-B854-64ABA06493C4}" type="parTrans" cxnId="{6CC5674E-B772-4A54-8CD8-6E867292A197}">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E03D1C76-E2CA-48C9-A2E7-AB7EAF2CA36C}" type="sibTrans" cxnId="{6CC5674E-B772-4A54-8CD8-6E867292A197}">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92ADE472-59CB-4C92-A6EE-FC8801E02188}">
      <dgm:prSet phldrT="[文字]" custT="1"/>
      <dgm:spPr/>
      <dgm:t>
        <a:bodyPr/>
        <a:lstStyle/>
        <a:p>
          <a:pPr algn="ctr"/>
          <a:r>
            <a:rPr lang="zh-TW" altLang="en-US" sz="1400" b="0" i="0">
              <a:latin typeface="標楷體" panose="03000509000000000000" pitchFamily="65" charset="-120"/>
              <a:ea typeface="標楷體" panose="03000509000000000000" pitchFamily="65" charset="-120"/>
            </a:rPr>
            <a:t>實施直接給付，保障農民所得</a:t>
          </a:r>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D77DD3CA-737A-4FE4-B8DE-FA351BA4C2A3}" type="parTrans" cxnId="{FC467B1E-1ACC-4248-A85F-7F855A355191}">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865C3F14-CB82-4CD8-8E7A-55724F9D1981}" type="sibTrans" cxnId="{FC467B1E-1ACC-4248-A85F-7F855A355191}">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6D3C5988-3742-4991-83EA-6B632A2FB1B7}">
      <dgm:prSet phldrT="[文字]" custT="1"/>
      <dgm:spPr/>
      <dgm:t>
        <a:bodyPr/>
        <a:lstStyle/>
        <a:p>
          <a:r>
            <a:rPr lang="zh-TW" altLang="en-US" sz="1200" b="0" i="0">
              <a:latin typeface="標楷體" panose="03000509000000000000" pitchFamily="65" charset="-120"/>
              <a:ea typeface="標楷體" panose="03000509000000000000" pitchFamily="65" charset="-120"/>
            </a:rPr>
            <a:t>漸進推動符合 </a:t>
          </a:r>
          <a:r>
            <a:rPr lang="en-US" sz="1200" b="0" i="0">
              <a:latin typeface="標楷體" panose="03000509000000000000" pitchFamily="65" charset="-120"/>
              <a:ea typeface="標楷體" panose="03000509000000000000" pitchFamily="65" charset="-120"/>
            </a:rPr>
            <a:t>WTO </a:t>
          </a:r>
          <a:r>
            <a:rPr lang="zh-TW" altLang="en-US" sz="1200" b="0" i="0">
              <a:latin typeface="標楷體" panose="03000509000000000000" pitchFamily="65" charset="-120"/>
              <a:ea typeface="標楷體" panose="03000509000000000000" pitchFamily="65" charset="-120"/>
            </a:rPr>
            <a:t>國際規範之綠色措施；強化農民補貼資訊整合管理；健全農民福利與社會保險制度。</a:t>
          </a:r>
          <a:endParaRPr lang="zh-TW" altLang="en-US" sz="1200">
            <a:latin typeface="標楷體" panose="03000509000000000000" pitchFamily="65" charset="-120"/>
            <a:ea typeface="標楷體" panose="03000509000000000000" pitchFamily="65" charset="-120"/>
            <a:cs typeface="Times New Roman" panose="02020603050405020304" pitchFamily="18" charset="0"/>
          </a:endParaRPr>
        </a:p>
      </dgm:t>
    </dgm:pt>
    <dgm:pt modelId="{A8596D1E-8832-4682-82F8-D0F5EDA1EA46}" type="parTrans" cxnId="{59DFB7BD-6099-454F-B1E4-94B3D2767750}">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1D6E7D37-B6C0-47E7-A0B6-C53195ADEC8E}" type="sibTrans" cxnId="{59DFB7BD-6099-454F-B1E4-94B3D2767750}">
      <dgm:prSet/>
      <dgm:spPr/>
      <dgm:t>
        <a:bodyPr/>
        <a:lstStyle/>
        <a:p>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70CF7997-522A-4539-BB3B-546197854085}">
      <dgm:prSet phldrT="[文字]" custT="1"/>
      <dgm:spPr/>
      <dgm:t>
        <a:bodyPr/>
        <a:lstStyle/>
        <a:p>
          <a:pPr algn="ctr"/>
          <a:r>
            <a:rPr lang="zh-TW" altLang="en-US" sz="1400" b="0" i="0">
              <a:latin typeface="標楷體" panose="03000509000000000000" pitchFamily="65" charset="-120"/>
              <a:ea typeface="標楷體" panose="03000509000000000000" pitchFamily="65" charset="-120"/>
            </a:rPr>
            <a:t>強化檢疫檢驗，維護優質環境</a:t>
          </a:r>
          <a:endParaRPr lang="zh-TW" altLang="en-US" sz="1400">
            <a:latin typeface="標楷體" panose="03000509000000000000" pitchFamily="65" charset="-120"/>
            <a:ea typeface="標楷體" panose="03000509000000000000" pitchFamily="65" charset="-120"/>
            <a:cs typeface="Times New Roman" panose="02020603050405020304" pitchFamily="18" charset="0"/>
          </a:endParaRPr>
        </a:p>
      </dgm:t>
    </dgm:pt>
    <dgm:pt modelId="{54479C76-C397-46DD-9D6A-EF51FA175927}" type="parTrans" cxnId="{F0898500-57FA-453B-8640-9C6E8C6B4512}">
      <dgm:prSet/>
      <dgm:spPr/>
      <dgm:t>
        <a:bodyPr/>
        <a:lstStyle/>
        <a:p>
          <a:endParaRPr lang="zh-TW" altLang="en-US" sz="1400">
            <a:latin typeface="標楷體" panose="03000509000000000000" pitchFamily="65" charset="-120"/>
            <a:ea typeface="標楷體" panose="03000509000000000000" pitchFamily="65" charset="-120"/>
          </a:endParaRPr>
        </a:p>
      </dgm:t>
    </dgm:pt>
    <dgm:pt modelId="{8760BF94-DF25-4517-BFA0-8211E2CE7404}" type="sibTrans" cxnId="{F0898500-57FA-453B-8640-9C6E8C6B4512}">
      <dgm:prSet/>
      <dgm:spPr/>
      <dgm:t>
        <a:bodyPr/>
        <a:lstStyle/>
        <a:p>
          <a:endParaRPr lang="zh-TW" altLang="en-US" sz="1400">
            <a:latin typeface="標楷體" panose="03000509000000000000" pitchFamily="65" charset="-120"/>
            <a:ea typeface="標楷體" panose="03000509000000000000" pitchFamily="65" charset="-120"/>
          </a:endParaRPr>
        </a:p>
      </dgm:t>
    </dgm:pt>
    <dgm:pt modelId="{8ECE32EB-794C-4D81-8426-02E0FF0896FA}">
      <dgm:prSet phldrT="[文字]" custT="1"/>
      <dgm:spPr/>
      <dgm:t>
        <a:bodyPr/>
        <a:lstStyle/>
        <a:p>
          <a:r>
            <a:rPr lang="zh-TW" altLang="en-US" sz="1200" b="0" i="0">
              <a:latin typeface="標楷體" panose="03000509000000000000" pitchFamily="65" charset="-120"/>
              <a:ea typeface="標楷體" panose="03000509000000000000" pitchFamily="65" charset="-120"/>
            </a:rPr>
            <a:t>突破農產品外銷檢疫障礙；落實防疫檢疫措施。</a:t>
          </a:r>
          <a:endParaRPr lang="zh-TW" altLang="en-US" sz="1200">
            <a:latin typeface="標楷體" panose="03000509000000000000" pitchFamily="65" charset="-120"/>
            <a:ea typeface="標楷體" panose="03000509000000000000" pitchFamily="65" charset="-120"/>
            <a:cs typeface="Times New Roman" panose="02020603050405020304" pitchFamily="18" charset="0"/>
          </a:endParaRPr>
        </a:p>
      </dgm:t>
    </dgm:pt>
    <dgm:pt modelId="{07561126-4C09-43C5-A6ED-F905C37595C4}" type="parTrans" cxnId="{CF1F1CCA-7DD1-4FD6-ACF9-1C43DE0FF689}">
      <dgm:prSet/>
      <dgm:spPr/>
      <dgm:t>
        <a:bodyPr/>
        <a:lstStyle/>
        <a:p>
          <a:endParaRPr lang="zh-TW" altLang="en-US" sz="1400">
            <a:latin typeface="標楷體" panose="03000509000000000000" pitchFamily="65" charset="-120"/>
            <a:ea typeface="標楷體" panose="03000509000000000000" pitchFamily="65" charset="-120"/>
          </a:endParaRPr>
        </a:p>
      </dgm:t>
    </dgm:pt>
    <dgm:pt modelId="{AD9D58CE-AA4B-46DA-BA3C-8B8E3426F099}" type="sibTrans" cxnId="{CF1F1CCA-7DD1-4FD6-ACF9-1C43DE0FF689}">
      <dgm:prSet/>
      <dgm:spPr/>
      <dgm:t>
        <a:bodyPr/>
        <a:lstStyle/>
        <a:p>
          <a:endParaRPr lang="zh-TW" altLang="en-US" sz="1400">
            <a:latin typeface="標楷體" panose="03000509000000000000" pitchFamily="65" charset="-120"/>
            <a:ea typeface="標楷體" panose="03000509000000000000" pitchFamily="65" charset="-120"/>
          </a:endParaRPr>
        </a:p>
      </dgm:t>
    </dgm:pt>
    <dgm:pt modelId="{447DA71C-D358-4075-BBC5-A777DC8BA1CA}" type="pres">
      <dgm:prSet presAssocID="{1DDF5960-E0F8-498E-A4FA-5812B4BE2765}" presName="linear" presStyleCnt="0">
        <dgm:presLayoutVars>
          <dgm:animLvl val="lvl"/>
          <dgm:resizeHandles val="exact"/>
        </dgm:presLayoutVars>
      </dgm:prSet>
      <dgm:spPr/>
    </dgm:pt>
    <dgm:pt modelId="{8C9F8A98-A087-4C05-926E-09AAC5266B2A}" type="pres">
      <dgm:prSet presAssocID="{16F48858-A535-4A91-BC1E-54D1EE12BE7B}" presName="parentText" presStyleLbl="node1" presStyleIdx="0" presStyleCnt="5">
        <dgm:presLayoutVars>
          <dgm:chMax val="0"/>
          <dgm:bulletEnabled val="1"/>
        </dgm:presLayoutVars>
      </dgm:prSet>
      <dgm:spPr/>
    </dgm:pt>
    <dgm:pt modelId="{A4905FDC-36F5-48AB-B6D4-5E8DEEA66EB2}" type="pres">
      <dgm:prSet presAssocID="{16F48858-A535-4A91-BC1E-54D1EE12BE7B}" presName="childText" presStyleLbl="revTx" presStyleIdx="0" presStyleCnt="5">
        <dgm:presLayoutVars>
          <dgm:bulletEnabled val="1"/>
        </dgm:presLayoutVars>
      </dgm:prSet>
      <dgm:spPr/>
    </dgm:pt>
    <dgm:pt modelId="{D3166BDB-FE60-4591-8302-A2CB80951BA0}" type="pres">
      <dgm:prSet presAssocID="{CC0BC3F1-0073-464B-A723-8A72B23E88AA}" presName="parentText" presStyleLbl="node1" presStyleIdx="1" presStyleCnt="5">
        <dgm:presLayoutVars>
          <dgm:chMax val="0"/>
          <dgm:bulletEnabled val="1"/>
        </dgm:presLayoutVars>
      </dgm:prSet>
      <dgm:spPr/>
    </dgm:pt>
    <dgm:pt modelId="{9CFE2023-5573-457E-9CEB-0C225151915B}" type="pres">
      <dgm:prSet presAssocID="{CC0BC3F1-0073-464B-A723-8A72B23E88AA}" presName="childText" presStyleLbl="revTx" presStyleIdx="1" presStyleCnt="5">
        <dgm:presLayoutVars>
          <dgm:bulletEnabled val="1"/>
        </dgm:presLayoutVars>
      </dgm:prSet>
      <dgm:spPr/>
    </dgm:pt>
    <dgm:pt modelId="{C4EF6DA1-345D-4725-B5E5-DC5BF8C6D96A}" type="pres">
      <dgm:prSet presAssocID="{75A79CE3-9935-4CE0-AF91-06B7E79D1AAA}" presName="parentText" presStyleLbl="node1" presStyleIdx="2" presStyleCnt="5">
        <dgm:presLayoutVars>
          <dgm:chMax val="0"/>
          <dgm:bulletEnabled val="1"/>
        </dgm:presLayoutVars>
      </dgm:prSet>
      <dgm:spPr/>
    </dgm:pt>
    <dgm:pt modelId="{C34B1E4E-2709-4978-ACF9-1DF72F783616}" type="pres">
      <dgm:prSet presAssocID="{75A79CE3-9935-4CE0-AF91-06B7E79D1AAA}" presName="childText" presStyleLbl="revTx" presStyleIdx="2" presStyleCnt="5">
        <dgm:presLayoutVars>
          <dgm:bulletEnabled val="1"/>
        </dgm:presLayoutVars>
      </dgm:prSet>
      <dgm:spPr/>
    </dgm:pt>
    <dgm:pt modelId="{195F7C17-C58C-4996-B010-029C42B65352}" type="pres">
      <dgm:prSet presAssocID="{92ADE472-59CB-4C92-A6EE-FC8801E02188}" presName="parentText" presStyleLbl="node1" presStyleIdx="3" presStyleCnt="5">
        <dgm:presLayoutVars>
          <dgm:chMax val="0"/>
          <dgm:bulletEnabled val="1"/>
        </dgm:presLayoutVars>
      </dgm:prSet>
      <dgm:spPr/>
    </dgm:pt>
    <dgm:pt modelId="{442A8BB8-C20C-467C-88E9-B4FA88A58566}" type="pres">
      <dgm:prSet presAssocID="{92ADE472-59CB-4C92-A6EE-FC8801E02188}" presName="childText" presStyleLbl="revTx" presStyleIdx="3" presStyleCnt="5">
        <dgm:presLayoutVars>
          <dgm:bulletEnabled val="1"/>
        </dgm:presLayoutVars>
      </dgm:prSet>
      <dgm:spPr/>
    </dgm:pt>
    <dgm:pt modelId="{1C695FE5-E06A-4E73-8B19-409445B644CB}" type="pres">
      <dgm:prSet presAssocID="{70CF7997-522A-4539-BB3B-546197854085}" presName="parentText" presStyleLbl="node1" presStyleIdx="4" presStyleCnt="5">
        <dgm:presLayoutVars>
          <dgm:chMax val="0"/>
          <dgm:bulletEnabled val="1"/>
        </dgm:presLayoutVars>
      </dgm:prSet>
      <dgm:spPr/>
    </dgm:pt>
    <dgm:pt modelId="{BC20C9A9-D005-441C-90E8-3E44C03DE1BC}" type="pres">
      <dgm:prSet presAssocID="{70CF7997-522A-4539-BB3B-546197854085}" presName="childText" presStyleLbl="revTx" presStyleIdx="4" presStyleCnt="5">
        <dgm:presLayoutVars>
          <dgm:bulletEnabled val="1"/>
        </dgm:presLayoutVars>
      </dgm:prSet>
      <dgm:spPr/>
    </dgm:pt>
  </dgm:ptLst>
  <dgm:cxnLst>
    <dgm:cxn modelId="{11A27DFE-C9C4-48E1-AB31-F5A090437759}" srcId="{CC0BC3F1-0073-464B-A723-8A72B23E88AA}" destId="{256BE3F5-7329-4626-8B40-25AFB1CAF523}" srcOrd="0" destOrd="0" parTransId="{B57B221A-086A-47AC-AA23-A1E99DBAD693}" sibTransId="{AA52DAC8-3BE7-4785-BD68-48E919EF06E8}"/>
    <dgm:cxn modelId="{B4544277-AA3D-4D67-82A6-E07BAD448E33}" type="presOf" srcId="{47E87605-A15B-4CC7-90F6-7E22F8986054}" destId="{A4905FDC-36F5-48AB-B6D4-5E8DEEA66EB2}" srcOrd="0" destOrd="0" presId="urn:microsoft.com/office/officeart/2005/8/layout/vList2"/>
    <dgm:cxn modelId="{59DFB7BD-6099-454F-B1E4-94B3D2767750}" srcId="{92ADE472-59CB-4C92-A6EE-FC8801E02188}" destId="{6D3C5988-3742-4991-83EA-6B632A2FB1B7}" srcOrd="0" destOrd="0" parTransId="{A8596D1E-8832-4682-82F8-D0F5EDA1EA46}" sibTransId="{1D6E7D37-B6C0-47E7-A0B6-C53195ADEC8E}"/>
    <dgm:cxn modelId="{AA969E8A-C120-4120-BFF1-134B1830D464}" type="presOf" srcId="{8ECE32EB-794C-4D81-8426-02E0FF0896FA}" destId="{BC20C9A9-D005-441C-90E8-3E44C03DE1BC}" srcOrd="0" destOrd="0" presId="urn:microsoft.com/office/officeart/2005/8/layout/vList2"/>
    <dgm:cxn modelId="{6CC5674E-B772-4A54-8CD8-6E867292A197}" srcId="{75A79CE3-9935-4CE0-AF91-06B7E79D1AAA}" destId="{C49647D5-F504-482B-ABA7-9D29FD7E959E}" srcOrd="0" destOrd="0" parTransId="{23E9B6ED-2E0F-4C1C-B854-64ABA06493C4}" sibTransId="{E03D1C76-E2CA-48C9-A2E7-AB7EAF2CA36C}"/>
    <dgm:cxn modelId="{9A8A95DC-302B-436A-B4CA-1E0270271BD6}" type="presOf" srcId="{C49647D5-F504-482B-ABA7-9D29FD7E959E}" destId="{C34B1E4E-2709-4978-ACF9-1DF72F783616}" srcOrd="0" destOrd="0" presId="urn:microsoft.com/office/officeart/2005/8/layout/vList2"/>
    <dgm:cxn modelId="{8F19DFDD-3D29-4B61-BF04-F59A2F509B3D}" type="presOf" srcId="{CC0BC3F1-0073-464B-A723-8A72B23E88AA}" destId="{D3166BDB-FE60-4591-8302-A2CB80951BA0}" srcOrd="0" destOrd="0" presId="urn:microsoft.com/office/officeart/2005/8/layout/vList2"/>
    <dgm:cxn modelId="{42725738-4463-4143-96B6-C4CCB749CDCA}" srcId="{1DDF5960-E0F8-498E-A4FA-5812B4BE2765}" destId="{CC0BC3F1-0073-464B-A723-8A72B23E88AA}" srcOrd="1" destOrd="0" parTransId="{0D2DBFC1-72F1-470C-ACD6-DAD682BC3B2D}" sibTransId="{66E2A137-1374-4DCA-9789-F66500ADB013}"/>
    <dgm:cxn modelId="{739459BB-CA6D-4F8B-A640-4D5162A5B8E8}" srcId="{1DDF5960-E0F8-498E-A4FA-5812B4BE2765}" destId="{16F48858-A535-4A91-BC1E-54D1EE12BE7B}" srcOrd="0" destOrd="0" parTransId="{E6EF1414-2775-4A1D-B4ED-E43125CA0C5A}" sibTransId="{DBE51CE9-800C-4298-9B6A-6FB08A3AAC9D}"/>
    <dgm:cxn modelId="{FC467B1E-1ACC-4248-A85F-7F855A355191}" srcId="{1DDF5960-E0F8-498E-A4FA-5812B4BE2765}" destId="{92ADE472-59CB-4C92-A6EE-FC8801E02188}" srcOrd="3" destOrd="0" parTransId="{D77DD3CA-737A-4FE4-B8DE-FA351BA4C2A3}" sibTransId="{865C3F14-CB82-4CD8-8E7A-55724F9D1981}"/>
    <dgm:cxn modelId="{147D31AB-5589-4C65-BC33-E8939A3A5FEB}" type="presOf" srcId="{92ADE472-59CB-4C92-A6EE-FC8801E02188}" destId="{195F7C17-C58C-4996-B010-029C42B65352}" srcOrd="0" destOrd="0" presId="urn:microsoft.com/office/officeart/2005/8/layout/vList2"/>
    <dgm:cxn modelId="{42C09EE9-BC12-47BB-AFC0-88D6D25342B5}" type="presOf" srcId="{70CF7997-522A-4539-BB3B-546197854085}" destId="{1C695FE5-E06A-4E73-8B19-409445B644CB}" srcOrd="0" destOrd="0" presId="urn:microsoft.com/office/officeart/2005/8/layout/vList2"/>
    <dgm:cxn modelId="{8A3BDB85-213C-49B1-97FB-B7FF188B573A}" type="presOf" srcId="{256BE3F5-7329-4626-8B40-25AFB1CAF523}" destId="{9CFE2023-5573-457E-9CEB-0C225151915B}" srcOrd="0" destOrd="0" presId="urn:microsoft.com/office/officeart/2005/8/layout/vList2"/>
    <dgm:cxn modelId="{D11EF9E9-AE4F-4063-912D-7AADEEE2795E}" srcId="{16F48858-A535-4A91-BC1E-54D1EE12BE7B}" destId="{47E87605-A15B-4CC7-90F6-7E22F8986054}" srcOrd="0" destOrd="0" parTransId="{BAF1A8E7-3250-44B9-83A7-6B258281B01F}" sibTransId="{B45D8190-42FB-433B-816A-2482F6FAE1A5}"/>
    <dgm:cxn modelId="{CF1F1CCA-7DD1-4FD6-ACF9-1C43DE0FF689}" srcId="{70CF7997-522A-4539-BB3B-546197854085}" destId="{8ECE32EB-794C-4D81-8426-02E0FF0896FA}" srcOrd="0" destOrd="0" parTransId="{07561126-4C09-43C5-A6ED-F905C37595C4}" sibTransId="{AD9D58CE-AA4B-46DA-BA3C-8B8E3426F099}"/>
    <dgm:cxn modelId="{F0898500-57FA-453B-8640-9C6E8C6B4512}" srcId="{1DDF5960-E0F8-498E-A4FA-5812B4BE2765}" destId="{70CF7997-522A-4539-BB3B-546197854085}" srcOrd="4" destOrd="0" parTransId="{54479C76-C397-46DD-9D6A-EF51FA175927}" sibTransId="{8760BF94-DF25-4517-BFA0-8211E2CE7404}"/>
    <dgm:cxn modelId="{72511519-CCBF-48D1-B67B-E775F06A32F4}" type="presOf" srcId="{6D3C5988-3742-4991-83EA-6B632A2FB1B7}" destId="{442A8BB8-C20C-467C-88E9-B4FA88A58566}" srcOrd="0" destOrd="0" presId="urn:microsoft.com/office/officeart/2005/8/layout/vList2"/>
    <dgm:cxn modelId="{CA12383E-E8F5-438B-97C9-D8E089BC9A5A}" srcId="{1DDF5960-E0F8-498E-A4FA-5812B4BE2765}" destId="{75A79CE3-9935-4CE0-AF91-06B7E79D1AAA}" srcOrd="2" destOrd="0" parTransId="{B38EB4C8-0DF0-4A32-A8DF-5BAEE0F7C0E6}" sibTransId="{F7196605-A693-4650-BAB7-2E67610D6EC2}"/>
    <dgm:cxn modelId="{773D2506-6466-44CD-9318-C728264E2343}" type="presOf" srcId="{1DDF5960-E0F8-498E-A4FA-5812B4BE2765}" destId="{447DA71C-D358-4075-BBC5-A777DC8BA1CA}" srcOrd="0" destOrd="0" presId="urn:microsoft.com/office/officeart/2005/8/layout/vList2"/>
    <dgm:cxn modelId="{01FE0BAD-F553-4735-830B-879C23608EFD}" type="presOf" srcId="{75A79CE3-9935-4CE0-AF91-06B7E79D1AAA}" destId="{C4EF6DA1-345D-4725-B5E5-DC5BF8C6D96A}" srcOrd="0" destOrd="0" presId="urn:microsoft.com/office/officeart/2005/8/layout/vList2"/>
    <dgm:cxn modelId="{8A4BC5A5-DF1A-4346-ADCE-DA09F7312392}" type="presOf" srcId="{16F48858-A535-4A91-BC1E-54D1EE12BE7B}" destId="{8C9F8A98-A087-4C05-926E-09AAC5266B2A}" srcOrd="0" destOrd="0" presId="urn:microsoft.com/office/officeart/2005/8/layout/vList2"/>
    <dgm:cxn modelId="{1647DEA2-A566-4D96-AC25-494018B58D95}" type="presParOf" srcId="{447DA71C-D358-4075-BBC5-A777DC8BA1CA}" destId="{8C9F8A98-A087-4C05-926E-09AAC5266B2A}" srcOrd="0" destOrd="0" presId="urn:microsoft.com/office/officeart/2005/8/layout/vList2"/>
    <dgm:cxn modelId="{1E51270F-F3C5-4075-BD8D-1B51ADC6F911}" type="presParOf" srcId="{447DA71C-D358-4075-BBC5-A777DC8BA1CA}" destId="{A4905FDC-36F5-48AB-B6D4-5E8DEEA66EB2}" srcOrd="1" destOrd="0" presId="urn:microsoft.com/office/officeart/2005/8/layout/vList2"/>
    <dgm:cxn modelId="{ABA78404-B161-4A04-A052-37F7A0E3669F}" type="presParOf" srcId="{447DA71C-D358-4075-BBC5-A777DC8BA1CA}" destId="{D3166BDB-FE60-4591-8302-A2CB80951BA0}" srcOrd="2" destOrd="0" presId="urn:microsoft.com/office/officeart/2005/8/layout/vList2"/>
    <dgm:cxn modelId="{2D448EF2-F784-4ACC-A4AE-CB6E9B727E2A}" type="presParOf" srcId="{447DA71C-D358-4075-BBC5-A777DC8BA1CA}" destId="{9CFE2023-5573-457E-9CEB-0C225151915B}" srcOrd="3" destOrd="0" presId="urn:microsoft.com/office/officeart/2005/8/layout/vList2"/>
    <dgm:cxn modelId="{BE88809D-B32C-4F00-BCBC-A1FCFC4B33B3}" type="presParOf" srcId="{447DA71C-D358-4075-BBC5-A777DC8BA1CA}" destId="{C4EF6DA1-345D-4725-B5E5-DC5BF8C6D96A}" srcOrd="4" destOrd="0" presId="urn:microsoft.com/office/officeart/2005/8/layout/vList2"/>
    <dgm:cxn modelId="{8EE36D83-CA63-4AC5-9D1E-702D3C34ED80}" type="presParOf" srcId="{447DA71C-D358-4075-BBC5-A777DC8BA1CA}" destId="{C34B1E4E-2709-4978-ACF9-1DF72F783616}" srcOrd="5" destOrd="0" presId="urn:microsoft.com/office/officeart/2005/8/layout/vList2"/>
    <dgm:cxn modelId="{507DD4F4-BF50-4820-B798-FDA58FB0C039}" type="presParOf" srcId="{447DA71C-D358-4075-BBC5-A777DC8BA1CA}" destId="{195F7C17-C58C-4996-B010-029C42B65352}" srcOrd="6" destOrd="0" presId="urn:microsoft.com/office/officeart/2005/8/layout/vList2"/>
    <dgm:cxn modelId="{0BD2D335-A8F9-4DF8-8491-C08CFB714AF4}" type="presParOf" srcId="{447DA71C-D358-4075-BBC5-A777DC8BA1CA}" destId="{442A8BB8-C20C-467C-88E9-B4FA88A58566}" srcOrd="7" destOrd="0" presId="urn:microsoft.com/office/officeart/2005/8/layout/vList2"/>
    <dgm:cxn modelId="{43735DA7-7AC7-4AEF-B427-F4C420596F90}" type="presParOf" srcId="{447DA71C-D358-4075-BBC5-A777DC8BA1CA}" destId="{1C695FE5-E06A-4E73-8B19-409445B644CB}" srcOrd="8" destOrd="0" presId="urn:microsoft.com/office/officeart/2005/8/layout/vList2"/>
    <dgm:cxn modelId="{A3B60425-8945-473C-87DE-64F1E890FA26}" type="presParOf" srcId="{447DA71C-D358-4075-BBC5-A777DC8BA1CA}" destId="{BC20C9A9-D005-441C-90E8-3E44C03DE1BC}" srcOrd="9" destOrd="0" presId="urn:microsoft.com/office/officeart/2005/8/layout/vList2"/>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906CCC-4385-47BD-B8D3-DF5E6BCD0A25}">
      <dsp:nvSpPr>
        <dsp:cNvPr id="0" name=""/>
        <dsp:cNvSpPr/>
      </dsp:nvSpPr>
      <dsp:spPr>
        <a:xfrm>
          <a:off x="2110196" y="1332172"/>
          <a:ext cx="1053916" cy="65913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zh-TW" altLang="en-US" sz="1400" kern="1200"/>
            <a:t>電子收費系統</a:t>
          </a:r>
        </a:p>
      </dsp:txBody>
      <dsp:txXfrm>
        <a:off x="2264538" y="1428701"/>
        <a:ext cx="745232" cy="466080"/>
      </dsp:txXfrm>
    </dsp:sp>
    <dsp:sp modelId="{9A803409-FA05-490E-A6B3-C0B5A0C7BE0A}">
      <dsp:nvSpPr>
        <dsp:cNvPr id="0" name=""/>
        <dsp:cNvSpPr/>
      </dsp:nvSpPr>
      <dsp:spPr>
        <a:xfrm rot="16200000">
          <a:off x="2448062" y="901592"/>
          <a:ext cx="378185"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a:off x="2473413" y="960745"/>
        <a:ext cx="327483" cy="101404"/>
      </dsp:txXfrm>
    </dsp:sp>
    <dsp:sp modelId="{4A857264-27B0-4A95-AF98-C4D8F5C344C7}">
      <dsp:nvSpPr>
        <dsp:cNvPr id="0" name=""/>
        <dsp:cNvSpPr/>
      </dsp:nvSpPr>
      <dsp:spPr>
        <a:xfrm>
          <a:off x="2330749" y="5803"/>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智慧型運輸系統應用</a:t>
          </a:r>
        </a:p>
      </dsp:txBody>
      <dsp:txXfrm>
        <a:off x="2420493" y="95547"/>
        <a:ext cx="433323" cy="433323"/>
      </dsp:txXfrm>
    </dsp:sp>
    <dsp:sp modelId="{DE616621-A85D-4A42-9BCE-3A115391986A}">
      <dsp:nvSpPr>
        <dsp:cNvPr id="0" name=""/>
        <dsp:cNvSpPr/>
      </dsp:nvSpPr>
      <dsp:spPr>
        <a:xfrm rot="18163636">
          <a:off x="2831780" y="994149"/>
          <a:ext cx="360203"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a:off x="2843425" y="1049278"/>
        <a:ext cx="309501" cy="101404"/>
      </dsp:txXfrm>
    </dsp:sp>
    <dsp:sp modelId="{96298BC3-A556-40AD-8B11-BBD0B8DCC1E5}">
      <dsp:nvSpPr>
        <dsp:cNvPr id="0" name=""/>
        <dsp:cNvSpPr/>
      </dsp:nvSpPr>
      <dsp:spPr>
        <a:xfrm>
          <a:off x="3060361" y="220037"/>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交通一卡通</a:t>
          </a:r>
        </a:p>
      </dsp:txBody>
      <dsp:txXfrm>
        <a:off x="3150105" y="309781"/>
        <a:ext cx="433323" cy="433323"/>
      </dsp:txXfrm>
    </dsp:sp>
    <dsp:sp modelId="{E7DFF8C6-50C7-4DDF-9D92-A025DFF68886}">
      <dsp:nvSpPr>
        <dsp:cNvPr id="0" name=""/>
        <dsp:cNvSpPr/>
      </dsp:nvSpPr>
      <dsp:spPr>
        <a:xfrm rot="20127273">
          <a:off x="3164076" y="1266979"/>
          <a:ext cx="304894"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a:off x="3166367" y="1311312"/>
        <a:ext cx="254192" cy="101404"/>
      </dsp:txXfrm>
    </dsp:sp>
    <dsp:sp modelId="{52E89F2B-BD41-45C4-A339-F57811EBF4E2}">
      <dsp:nvSpPr>
        <dsp:cNvPr id="0" name=""/>
        <dsp:cNvSpPr/>
      </dsp:nvSpPr>
      <dsp:spPr>
        <a:xfrm>
          <a:off x="3558326" y="794719"/>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just" defTabSz="355600">
            <a:lnSpc>
              <a:spcPct val="90000"/>
            </a:lnSpc>
            <a:spcBef>
              <a:spcPct val="0"/>
            </a:spcBef>
            <a:spcAft>
              <a:spcPct val="35000"/>
            </a:spcAft>
            <a:buNone/>
          </a:pPr>
          <a:r>
            <a:rPr lang="en-US" altLang="zh-TW" sz="800" kern="1200"/>
            <a:t>IC</a:t>
          </a:r>
          <a:r>
            <a:rPr lang="zh-TW" altLang="en-US" sz="800" kern="1200"/>
            <a:t>智慧卡、電子錢包應用服務</a:t>
          </a:r>
        </a:p>
      </dsp:txBody>
      <dsp:txXfrm>
        <a:off x="3648070" y="884463"/>
        <a:ext cx="433323" cy="433323"/>
      </dsp:txXfrm>
    </dsp:sp>
    <dsp:sp modelId="{67720342-D44F-4C6F-83EF-0A29454699FC}">
      <dsp:nvSpPr>
        <dsp:cNvPr id="0" name=""/>
        <dsp:cNvSpPr/>
      </dsp:nvSpPr>
      <dsp:spPr>
        <a:xfrm rot="490909">
          <a:off x="3263471" y="1687263"/>
          <a:ext cx="277869"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a:off x="3263729" y="1717457"/>
        <a:ext cx="227167" cy="101404"/>
      </dsp:txXfrm>
    </dsp:sp>
    <dsp:sp modelId="{80C42032-DD1A-4A46-8AF2-2CA82153BFDC}">
      <dsp:nvSpPr>
        <dsp:cNvPr id="0" name=""/>
        <dsp:cNvSpPr/>
      </dsp:nvSpPr>
      <dsp:spPr>
        <a:xfrm>
          <a:off x="3666544" y="1547394"/>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智慧化停車場</a:t>
          </a:r>
        </a:p>
      </dsp:txBody>
      <dsp:txXfrm>
        <a:off x="3756288" y="1637138"/>
        <a:ext cx="433323" cy="433323"/>
      </dsp:txXfrm>
    </dsp:sp>
    <dsp:sp modelId="{877FA883-68F0-4E17-8A2D-DFE3F48E1E5B}">
      <dsp:nvSpPr>
        <dsp:cNvPr id="0" name=""/>
        <dsp:cNvSpPr/>
      </dsp:nvSpPr>
      <dsp:spPr>
        <a:xfrm rot="2454545">
          <a:off x="3010039" y="2046166"/>
          <a:ext cx="336577"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a:off x="3016231" y="2063367"/>
        <a:ext cx="285875" cy="101404"/>
      </dsp:txXfrm>
    </dsp:sp>
    <dsp:sp modelId="{1A485BCC-E403-4D16-BF04-EB061793C408}">
      <dsp:nvSpPr>
        <dsp:cNvPr id="0" name=""/>
        <dsp:cNvSpPr/>
      </dsp:nvSpPr>
      <dsp:spPr>
        <a:xfrm>
          <a:off x="3350657" y="2239091"/>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會員卡服務</a:t>
          </a:r>
        </a:p>
      </dsp:txBody>
      <dsp:txXfrm>
        <a:off x="3440401" y="2328835"/>
        <a:ext cx="433323" cy="433323"/>
      </dsp:txXfrm>
    </dsp:sp>
    <dsp:sp modelId="{66034637-164A-44E3-B6E9-93C25C131ED2}">
      <dsp:nvSpPr>
        <dsp:cNvPr id="0" name=""/>
        <dsp:cNvSpPr/>
      </dsp:nvSpPr>
      <dsp:spPr>
        <a:xfrm rot="4418182">
          <a:off x="2641802" y="2229596"/>
          <a:ext cx="373805"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a:off x="2660011" y="2239074"/>
        <a:ext cx="323103" cy="101404"/>
      </dsp:txXfrm>
    </dsp:sp>
    <dsp:sp modelId="{4EA929EC-017F-4B49-B5DB-B20EE6324FE4}">
      <dsp:nvSpPr>
        <dsp:cNvPr id="0" name=""/>
        <dsp:cNvSpPr/>
      </dsp:nvSpPr>
      <dsp:spPr>
        <a:xfrm>
          <a:off x="2710956" y="2650202"/>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車上寬頻與多媒體娛樂服務</a:t>
          </a:r>
        </a:p>
      </dsp:txBody>
      <dsp:txXfrm>
        <a:off x="2800700" y="2739946"/>
        <a:ext cx="433323" cy="433323"/>
      </dsp:txXfrm>
    </dsp:sp>
    <dsp:sp modelId="{60D60D26-ED4A-489B-9220-9F1B02D63211}">
      <dsp:nvSpPr>
        <dsp:cNvPr id="0" name=""/>
        <dsp:cNvSpPr/>
      </dsp:nvSpPr>
      <dsp:spPr>
        <a:xfrm rot="6381818">
          <a:off x="2258702" y="2229596"/>
          <a:ext cx="373805"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rot="10800000">
        <a:off x="2291195" y="2239074"/>
        <a:ext cx="323103" cy="101404"/>
      </dsp:txXfrm>
    </dsp:sp>
    <dsp:sp modelId="{1D059D8C-0209-4645-9EE6-6903F12A8A54}">
      <dsp:nvSpPr>
        <dsp:cNvPr id="0" name=""/>
        <dsp:cNvSpPr/>
      </dsp:nvSpPr>
      <dsp:spPr>
        <a:xfrm>
          <a:off x="1950542" y="2650202"/>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車隊管理服務</a:t>
          </a:r>
        </a:p>
      </dsp:txBody>
      <dsp:txXfrm>
        <a:off x="2040286" y="2739946"/>
        <a:ext cx="433323" cy="433323"/>
      </dsp:txXfrm>
    </dsp:sp>
    <dsp:sp modelId="{0FBE566E-059A-4FA6-8196-3DA87BB8DD72}">
      <dsp:nvSpPr>
        <dsp:cNvPr id="0" name=""/>
        <dsp:cNvSpPr/>
      </dsp:nvSpPr>
      <dsp:spPr>
        <a:xfrm rot="8345455">
          <a:off x="1927693" y="2046166"/>
          <a:ext cx="336577"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rot="10800000">
        <a:off x="1972203" y="2063367"/>
        <a:ext cx="285875" cy="101404"/>
      </dsp:txXfrm>
    </dsp:sp>
    <dsp:sp modelId="{CA290A0C-2D6D-4937-BB6D-3E1E7867677E}">
      <dsp:nvSpPr>
        <dsp:cNvPr id="0" name=""/>
        <dsp:cNvSpPr/>
      </dsp:nvSpPr>
      <dsp:spPr>
        <a:xfrm>
          <a:off x="1310841" y="2239091"/>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乘客安全與保全</a:t>
          </a:r>
        </a:p>
      </dsp:txBody>
      <dsp:txXfrm>
        <a:off x="1400585" y="2328835"/>
        <a:ext cx="433323" cy="433323"/>
      </dsp:txXfrm>
    </dsp:sp>
    <dsp:sp modelId="{51B48F61-1498-4AE7-95BE-ACEE49C1251A}">
      <dsp:nvSpPr>
        <dsp:cNvPr id="0" name=""/>
        <dsp:cNvSpPr/>
      </dsp:nvSpPr>
      <dsp:spPr>
        <a:xfrm rot="10309091">
          <a:off x="1732968" y="1687263"/>
          <a:ext cx="277869"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rot="10800000">
        <a:off x="1783412" y="1717457"/>
        <a:ext cx="227167" cy="101404"/>
      </dsp:txXfrm>
    </dsp:sp>
    <dsp:sp modelId="{B9BA739F-A1E2-4374-9326-3ECDA50BCDF8}">
      <dsp:nvSpPr>
        <dsp:cNvPr id="0" name=""/>
        <dsp:cNvSpPr/>
      </dsp:nvSpPr>
      <dsp:spPr>
        <a:xfrm>
          <a:off x="994953" y="1547394"/>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車輛安全與保全</a:t>
          </a:r>
        </a:p>
      </dsp:txBody>
      <dsp:txXfrm>
        <a:off x="1084697" y="1637138"/>
        <a:ext cx="433323" cy="433323"/>
      </dsp:txXfrm>
    </dsp:sp>
    <dsp:sp modelId="{2D251DAD-62C3-4052-8311-85553ACAF0FA}">
      <dsp:nvSpPr>
        <dsp:cNvPr id="0" name=""/>
        <dsp:cNvSpPr/>
      </dsp:nvSpPr>
      <dsp:spPr>
        <a:xfrm rot="12272727">
          <a:off x="1805339" y="1266979"/>
          <a:ext cx="304894"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rot="10800000">
        <a:off x="1853750" y="1311312"/>
        <a:ext cx="254192" cy="101404"/>
      </dsp:txXfrm>
    </dsp:sp>
    <dsp:sp modelId="{83EDFCB6-9C3A-4BDB-A280-2ACCE87E9510}">
      <dsp:nvSpPr>
        <dsp:cNvPr id="0" name=""/>
        <dsp:cNvSpPr/>
      </dsp:nvSpPr>
      <dsp:spPr>
        <a:xfrm>
          <a:off x="1103172" y="794719"/>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zh-TW" altLang="en-US" sz="800" kern="1200"/>
            <a:t>行車導航與旅遊資訊服務</a:t>
          </a:r>
        </a:p>
      </dsp:txBody>
      <dsp:txXfrm>
        <a:off x="1192916" y="884463"/>
        <a:ext cx="433323" cy="433323"/>
      </dsp:txXfrm>
    </dsp:sp>
    <dsp:sp modelId="{2695EA9F-E19B-4500-83FB-769453256F58}">
      <dsp:nvSpPr>
        <dsp:cNvPr id="0" name=""/>
        <dsp:cNvSpPr/>
      </dsp:nvSpPr>
      <dsp:spPr>
        <a:xfrm rot="14236364">
          <a:off x="2082325" y="994149"/>
          <a:ext cx="360203" cy="1690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zh-TW" altLang="en-US" sz="700" kern="1200"/>
        </a:p>
      </dsp:txBody>
      <dsp:txXfrm rot="10800000">
        <a:off x="2121382" y="1049278"/>
        <a:ext cx="309501" cy="101404"/>
      </dsp:txXfrm>
    </dsp:sp>
    <dsp:sp modelId="{15FA0CC2-E04B-4FD7-9871-63BD73EFC854}">
      <dsp:nvSpPr>
        <dsp:cNvPr id="0" name=""/>
        <dsp:cNvSpPr/>
      </dsp:nvSpPr>
      <dsp:spPr>
        <a:xfrm>
          <a:off x="1601137" y="220037"/>
          <a:ext cx="612811" cy="61281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US" altLang="zh-TW" sz="800" kern="1200"/>
            <a:t>e</a:t>
          </a:r>
          <a:r>
            <a:rPr lang="zh-TW" altLang="en-US" sz="800" kern="1200"/>
            <a:t>化交通</a:t>
          </a:r>
        </a:p>
      </dsp:txBody>
      <dsp:txXfrm>
        <a:off x="1690881" y="309781"/>
        <a:ext cx="433323" cy="4333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C489F3B-9A7F-49D2-BA3B-0D695A091589}">
      <dsp:nvSpPr>
        <dsp:cNvPr id="0" name=""/>
        <dsp:cNvSpPr/>
      </dsp:nvSpPr>
      <dsp:spPr>
        <a:xfrm>
          <a:off x="0" y="2140"/>
          <a:ext cx="5263763" cy="324974"/>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zh-TW" altLang="en-US" sz="1400" kern="1200">
              <a:latin typeface="標楷體" panose="03000509000000000000" pitchFamily="65" charset="-120"/>
              <a:ea typeface="標楷體" panose="03000509000000000000" pitchFamily="65" charset="-120"/>
            </a:rPr>
            <a:t>農業技術水準全球名列前</a:t>
          </a:r>
          <a:r>
            <a:rPr lang="en-US" altLang="zh-TW" sz="1400" kern="1200">
              <a:latin typeface="標楷體" panose="03000509000000000000" pitchFamily="65" charset="-120"/>
              <a:ea typeface="標楷體" panose="03000509000000000000" pitchFamily="65" charset="-120"/>
            </a:rPr>
            <a:t>12</a:t>
          </a:r>
          <a:r>
            <a:rPr lang="zh-TW" altLang="en-US" sz="1400" kern="1200">
              <a:latin typeface="標楷體" panose="03000509000000000000" pitchFamily="65" charset="-120"/>
              <a:ea typeface="標楷體" panose="03000509000000000000" pitchFamily="65" charset="-120"/>
            </a:rPr>
            <a:t>強</a:t>
          </a:r>
        </a:p>
      </dsp:txBody>
      <dsp:txXfrm>
        <a:off x="15864" y="18004"/>
        <a:ext cx="5232035" cy="293246"/>
      </dsp:txXfrm>
    </dsp:sp>
    <dsp:sp modelId="{B6E6583B-AC81-4218-9A02-60B07FF86916}">
      <dsp:nvSpPr>
        <dsp:cNvPr id="0" name=""/>
        <dsp:cNvSpPr/>
      </dsp:nvSpPr>
      <dsp:spPr>
        <a:xfrm>
          <a:off x="0" y="327115"/>
          <a:ext cx="5263763" cy="402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12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zh-TW" altLang="en-US" sz="1200" kern="1200">
              <a:latin typeface="標楷體" panose="03000509000000000000" pitchFamily="65" charset="-120"/>
              <a:ea typeface="標楷體" panose="03000509000000000000" pitchFamily="65" charset="-120"/>
            </a:rPr>
            <a:t>掌握最多蝴蝶蘭品種</a:t>
          </a:r>
        </a:p>
        <a:p>
          <a:pPr marL="114300" lvl="1" indent="-114300" algn="l" defTabSz="533400">
            <a:lnSpc>
              <a:spcPct val="90000"/>
            </a:lnSpc>
            <a:spcBef>
              <a:spcPct val="0"/>
            </a:spcBef>
            <a:spcAft>
              <a:spcPct val="20000"/>
            </a:spcAft>
            <a:buChar char="•"/>
          </a:pPr>
          <a:r>
            <a:rPr lang="zh-TW" altLang="en-US" sz="1200" kern="1200">
              <a:latin typeface="標楷體" panose="03000509000000000000" pitchFamily="65" charset="-120"/>
              <a:ea typeface="標楷體" panose="03000509000000000000" pitchFamily="65" charset="-120"/>
            </a:rPr>
            <a:t>觀賞魚新品種屢獲世界首獎</a:t>
          </a:r>
        </a:p>
      </dsp:txBody>
      <dsp:txXfrm>
        <a:off x="0" y="327115"/>
        <a:ext cx="5263763" cy="402468"/>
      </dsp:txXfrm>
    </dsp:sp>
    <dsp:sp modelId="{9F6F0ABF-6FF6-4C9A-AC81-B6D1868B2660}">
      <dsp:nvSpPr>
        <dsp:cNvPr id="0" name=""/>
        <dsp:cNvSpPr/>
      </dsp:nvSpPr>
      <dsp:spPr>
        <a:xfrm>
          <a:off x="0" y="729583"/>
          <a:ext cx="5263763" cy="324974"/>
        </a:xfrm>
        <a:prstGeom prst="roundRect">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zh-TW" altLang="en-US" sz="1400" kern="1200">
              <a:latin typeface="標楷體" panose="03000509000000000000" pitchFamily="65" charset="-120"/>
              <a:ea typeface="標楷體" panose="03000509000000000000" pitchFamily="65" charset="-120"/>
            </a:rPr>
            <a:t>地理條件優越</a:t>
          </a:r>
        </a:p>
      </dsp:txBody>
      <dsp:txXfrm>
        <a:off x="15864" y="745447"/>
        <a:ext cx="5232035" cy="293246"/>
      </dsp:txXfrm>
    </dsp:sp>
    <dsp:sp modelId="{E729A557-513A-4551-BB71-F79E7EF9B562}">
      <dsp:nvSpPr>
        <dsp:cNvPr id="0" name=""/>
        <dsp:cNvSpPr/>
      </dsp:nvSpPr>
      <dsp:spPr>
        <a:xfrm>
          <a:off x="0" y="1054557"/>
          <a:ext cx="5263763" cy="402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12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zh-TW" altLang="en-US" sz="1200" kern="1200">
              <a:latin typeface="標楷體" panose="03000509000000000000" pitchFamily="65" charset="-120"/>
              <a:ea typeface="標楷體" panose="03000509000000000000" pitchFamily="65" charset="-120"/>
            </a:rPr>
            <a:t>蘭花出瓶種苗栽培成熟株時間領先世界</a:t>
          </a:r>
        </a:p>
        <a:p>
          <a:pPr marL="114300" lvl="1" indent="-114300" algn="l" defTabSz="533400">
            <a:lnSpc>
              <a:spcPct val="90000"/>
            </a:lnSpc>
            <a:spcBef>
              <a:spcPct val="0"/>
            </a:spcBef>
            <a:spcAft>
              <a:spcPct val="20000"/>
            </a:spcAft>
            <a:buChar char="•"/>
          </a:pPr>
          <a:r>
            <a:rPr lang="zh-TW" altLang="en-US" sz="1200" kern="1200">
              <a:latin typeface="標楷體" panose="03000509000000000000" pitchFamily="65" charset="-120"/>
              <a:ea typeface="標楷體" panose="03000509000000000000" pitchFamily="65" charset="-120"/>
            </a:rPr>
            <a:t>石斑魚全世界</a:t>
          </a:r>
          <a:r>
            <a:rPr lang="en-US" altLang="zh-TW" sz="1200" kern="1200">
              <a:latin typeface="標楷體" panose="03000509000000000000" pitchFamily="65" charset="-120"/>
              <a:ea typeface="標楷體" panose="03000509000000000000" pitchFamily="65" charset="-120"/>
            </a:rPr>
            <a:t>7</a:t>
          </a:r>
          <a:r>
            <a:rPr lang="zh-TW" altLang="en-US" sz="1200" kern="1200">
              <a:latin typeface="標楷體" panose="03000509000000000000" pitchFamily="65" charset="-120"/>
              <a:ea typeface="標楷體" panose="03000509000000000000" pitchFamily="65" charset="-120"/>
            </a:rPr>
            <a:t>種可人工培育臺灣有</a:t>
          </a:r>
          <a:r>
            <a:rPr lang="en-US" altLang="zh-TW" sz="1200" kern="1200">
              <a:latin typeface="標楷體" panose="03000509000000000000" pitchFamily="65" charset="-120"/>
              <a:ea typeface="標楷體" panose="03000509000000000000" pitchFamily="65" charset="-120"/>
            </a:rPr>
            <a:t>6</a:t>
          </a:r>
          <a:r>
            <a:rPr lang="zh-TW" altLang="en-US" sz="1200" kern="1200">
              <a:latin typeface="標楷體" panose="03000509000000000000" pitchFamily="65" charset="-120"/>
              <a:ea typeface="標楷體" panose="03000509000000000000" pitchFamily="65" charset="-120"/>
            </a:rPr>
            <a:t>種</a:t>
          </a:r>
        </a:p>
      </dsp:txBody>
      <dsp:txXfrm>
        <a:off x="0" y="1054557"/>
        <a:ext cx="5263763" cy="402468"/>
      </dsp:txXfrm>
    </dsp:sp>
    <dsp:sp modelId="{5EBC8116-042F-440D-A5F5-F33A9C677DAE}">
      <dsp:nvSpPr>
        <dsp:cNvPr id="0" name=""/>
        <dsp:cNvSpPr/>
      </dsp:nvSpPr>
      <dsp:spPr>
        <a:xfrm>
          <a:off x="0" y="1457025"/>
          <a:ext cx="5263763" cy="324974"/>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zh-TW" altLang="en-US" sz="1400" kern="1200">
              <a:latin typeface="標楷體" panose="03000509000000000000" pitchFamily="65" charset="-120"/>
              <a:ea typeface="標楷體" panose="03000509000000000000" pitchFamily="65" charset="-120"/>
            </a:rPr>
            <a:t>已建立植物品種智慧財產權保護制度</a:t>
          </a:r>
        </a:p>
      </dsp:txBody>
      <dsp:txXfrm>
        <a:off x="15864" y="1472889"/>
        <a:ext cx="5232035" cy="293246"/>
      </dsp:txXfrm>
    </dsp:sp>
    <dsp:sp modelId="{5A29B9C7-9140-4EF9-9764-F2AF2BC358CE}">
      <dsp:nvSpPr>
        <dsp:cNvPr id="0" name=""/>
        <dsp:cNvSpPr/>
      </dsp:nvSpPr>
      <dsp:spPr>
        <a:xfrm>
          <a:off x="0" y="1782000"/>
          <a:ext cx="5263763" cy="4024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124" tIns="15240" rIns="85344" bIns="15240" numCol="1" spcCol="1270" anchor="t" anchorCtr="0">
          <a:noAutofit/>
        </a:bodyPr>
        <a:lstStyle/>
        <a:p>
          <a:pPr marL="114300" lvl="1" indent="-114300" algn="l" defTabSz="533400">
            <a:lnSpc>
              <a:spcPct val="90000"/>
            </a:lnSpc>
            <a:spcBef>
              <a:spcPct val="0"/>
            </a:spcBef>
            <a:spcAft>
              <a:spcPct val="20000"/>
            </a:spcAft>
            <a:buChar char="•"/>
          </a:pPr>
          <a:r>
            <a:rPr lang="zh-TW" altLang="en-US" sz="1200" kern="1200">
              <a:latin typeface="標楷體" panose="03000509000000000000" pitchFamily="65" charset="-120"/>
              <a:ea typeface="標楷體" panose="03000509000000000000" pitchFamily="65" charset="-120"/>
            </a:rPr>
            <a:t>歐美日澳已同意我國申請品種權</a:t>
          </a:r>
        </a:p>
        <a:p>
          <a:pPr marL="114300" lvl="1" indent="-114300" algn="l" defTabSz="533400">
            <a:lnSpc>
              <a:spcPct val="90000"/>
            </a:lnSpc>
            <a:spcBef>
              <a:spcPct val="0"/>
            </a:spcBef>
            <a:spcAft>
              <a:spcPct val="20000"/>
            </a:spcAft>
            <a:buChar char="•"/>
          </a:pPr>
          <a:r>
            <a:rPr lang="zh-TW" altLang="en-US" sz="1200" kern="1200">
              <a:latin typeface="標楷體" panose="03000509000000000000" pitchFamily="65" charset="-120"/>
              <a:ea typeface="標楷體" panose="03000509000000000000" pitchFamily="65" charset="-120"/>
            </a:rPr>
            <a:t>歐盟同意相互採認新品種性狀檢定報告書</a:t>
          </a:r>
        </a:p>
      </dsp:txBody>
      <dsp:txXfrm>
        <a:off x="0" y="1782000"/>
        <a:ext cx="5263763" cy="4024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BF3117-06E1-449F-9CAF-FD82F328158B}">
      <dsp:nvSpPr>
        <dsp:cNvPr id="0" name=""/>
        <dsp:cNvSpPr/>
      </dsp:nvSpPr>
      <dsp:spPr>
        <a:xfrm>
          <a:off x="698839" y="1890"/>
          <a:ext cx="3597244" cy="3270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marL="0" lvl="0" indent="0" algn="l" defTabSz="622300">
            <a:lnSpc>
              <a:spcPct val="90000"/>
            </a:lnSpc>
            <a:spcBef>
              <a:spcPct val="0"/>
            </a:spcBef>
            <a:spcAft>
              <a:spcPct val="35000"/>
            </a:spcAft>
            <a:buNone/>
          </a:pPr>
          <a:r>
            <a:rPr lang="zh-TW" altLang="en-US" sz="1400" kern="1200">
              <a:latin typeface="Times New Roman" panose="02020603050405020304" pitchFamily="18" charset="0"/>
              <a:ea typeface="標楷體" panose="03000509000000000000" pitchFamily="65" charset="-120"/>
              <a:cs typeface="Times New Roman" panose="02020603050405020304" pitchFamily="18" charset="0"/>
            </a:rPr>
            <a:t>農糧產品</a:t>
          </a:r>
        </a:p>
      </dsp:txBody>
      <dsp:txXfrm>
        <a:off x="698839" y="1890"/>
        <a:ext cx="3597244" cy="327022"/>
      </dsp:txXfrm>
    </dsp:sp>
    <dsp:sp modelId="{6111A281-387D-4F4D-9791-3B6E94459F4B}">
      <dsp:nvSpPr>
        <dsp:cNvPr id="0" name=""/>
        <dsp:cNvSpPr/>
      </dsp:nvSpPr>
      <dsp:spPr>
        <a:xfrm>
          <a:off x="698839" y="328912"/>
          <a:ext cx="841755" cy="666156"/>
        </a:xfrm>
        <a:prstGeom prst="chevron">
          <a:avLst>
            <a:gd name="adj" fmla="val 70610"/>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24C266F-E196-4770-B9E9-B0260AC2AFFB}">
      <dsp:nvSpPr>
        <dsp:cNvPr id="0" name=""/>
        <dsp:cNvSpPr/>
      </dsp:nvSpPr>
      <dsp:spPr>
        <a:xfrm>
          <a:off x="1204452" y="328912"/>
          <a:ext cx="841755" cy="666156"/>
        </a:xfrm>
        <a:prstGeom prst="chevron">
          <a:avLst>
            <a:gd name="adj" fmla="val 70610"/>
          </a:avLst>
        </a:prstGeom>
        <a:solidFill>
          <a:schemeClr val="accent5">
            <a:hueOff val="-367667"/>
            <a:satOff val="-511"/>
            <a:lumOff val="-196"/>
            <a:alphaOff val="0"/>
          </a:schemeClr>
        </a:solidFill>
        <a:ln w="12700" cap="flat" cmpd="sng" algn="ctr">
          <a:solidFill>
            <a:schemeClr val="accent5">
              <a:hueOff val="-367667"/>
              <a:satOff val="-511"/>
              <a:lumOff val="-19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84BAB9-0FC2-437D-943D-2CDB6B8F3391}">
      <dsp:nvSpPr>
        <dsp:cNvPr id="0" name=""/>
        <dsp:cNvSpPr/>
      </dsp:nvSpPr>
      <dsp:spPr>
        <a:xfrm>
          <a:off x="1710464" y="328912"/>
          <a:ext cx="841755" cy="666156"/>
        </a:xfrm>
        <a:prstGeom prst="chevron">
          <a:avLst>
            <a:gd name="adj" fmla="val 70610"/>
          </a:avLst>
        </a:prstGeom>
        <a:solidFill>
          <a:schemeClr val="accent5">
            <a:hueOff val="-735334"/>
            <a:satOff val="-1023"/>
            <a:lumOff val="-392"/>
            <a:alphaOff val="0"/>
          </a:schemeClr>
        </a:solidFill>
        <a:ln w="12700" cap="flat" cmpd="sng" algn="ctr">
          <a:solidFill>
            <a:schemeClr val="accent5">
              <a:hueOff val="-735334"/>
              <a:satOff val="-1023"/>
              <a:lumOff val="-39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C377C3F-EF95-4CEB-ABBC-F1282B7283A7}">
      <dsp:nvSpPr>
        <dsp:cNvPr id="0" name=""/>
        <dsp:cNvSpPr/>
      </dsp:nvSpPr>
      <dsp:spPr>
        <a:xfrm>
          <a:off x="2216077" y="328912"/>
          <a:ext cx="841755" cy="666156"/>
        </a:xfrm>
        <a:prstGeom prst="chevron">
          <a:avLst>
            <a:gd name="adj" fmla="val 70610"/>
          </a:avLst>
        </a:prstGeom>
        <a:solidFill>
          <a:schemeClr val="accent5">
            <a:hueOff val="-1103002"/>
            <a:satOff val="-1534"/>
            <a:lumOff val="-588"/>
            <a:alphaOff val="0"/>
          </a:schemeClr>
        </a:solidFill>
        <a:ln w="12700" cap="flat" cmpd="sng" algn="ctr">
          <a:solidFill>
            <a:schemeClr val="accent5">
              <a:hueOff val="-1103002"/>
              <a:satOff val="-1534"/>
              <a:lumOff val="-58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4854013-F5E1-417A-AFA3-CE7441E259D2}">
      <dsp:nvSpPr>
        <dsp:cNvPr id="0" name=""/>
        <dsp:cNvSpPr/>
      </dsp:nvSpPr>
      <dsp:spPr>
        <a:xfrm>
          <a:off x="2722089" y="328912"/>
          <a:ext cx="841755" cy="666156"/>
        </a:xfrm>
        <a:prstGeom prst="chevron">
          <a:avLst>
            <a:gd name="adj" fmla="val 70610"/>
          </a:avLst>
        </a:prstGeom>
        <a:solidFill>
          <a:schemeClr val="accent5">
            <a:hueOff val="-1470669"/>
            <a:satOff val="-2046"/>
            <a:lumOff val="-784"/>
            <a:alphaOff val="0"/>
          </a:schemeClr>
        </a:solidFill>
        <a:ln w="12700" cap="flat" cmpd="sng" algn="ctr">
          <a:solidFill>
            <a:schemeClr val="accent5">
              <a:hueOff val="-1470669"/>
              <a:satOff val="-2046"/>
              <a:lumOff val="-78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A48416C-A911-4A5F-84D7-94EAEFB13C98}">
      <dsp:nvSpPr>
        <dsp:cNvPr id="0" name=""/>
        <dsp:cNvSpPr/>
      </dsp:nvSpPr>
      <dsp:spPr>
        <a:xfrm>
          <a:off x="3227702" y="328912"/>
          <a:ext cx="841755" cy="666156"/>
        </a:xfrm>
        <a:prstGeom prst="chevron">
          <a:avLst>
            <a:gd name="adj" fmla="val 70610"/>
          </a:avLst>
        </a:prstGeom>
        <a:solidFill>
          <a:schemeClr val="accent5">
            <a:hueOff val="-1838336"/>
            <a:satOff val="-2557"/>
            <a:lumOff val="-981"/>
            <a:alphaOff val="0"/>
          </a:schemeClr>
        </a:solidFill>
        <a:ln w="12700" cap="flat" cmpd="sng" algn="ctr">
          <a:solidFill>
            <a:schemeClr val="accent5">
              <a:hueOff val="-1838336"/>
              <a:satOff val="-2557"/>
              <a:lumOff val="-981"/>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0A6EA5-7C57-424D-9B05-26C18AAE494B}">
      <dsp:nvSpPr>
        <dsp:cNvPr id="0" name=""/>
        <dsp:cNvSpPr/>
      </dsp:nvSpPr>
      <dsp:spPr>
        <a:xfrm>
          <a:off x="3733714" y="328912"/>
          <a:ext cx="841755" cy="666156"/>
        </a:xfrm>
        <a:prstGeom prst="chevron">
          <a:avLst>
            <a:gd name="adj" fmla="val 70610"/>
          </a:avLst>
        </a:prstGeom>
        <a:solidFill>
          <a:schemeClr val="accent5">
            <a:hueOff val="-2206003"/>
            <a:satOff val="-3068"/>
            <a:lumOff val="-1177"/>
            <a:alphaOff val="0"/>
          </a:schemeClr>
        </a:solidFill>
        <a:ln w="12700" cap="flat" cmpd="sng" algn="ctr">
          <a:solidFill>
            <a:schemeClr val="accent5">
              <a:hueOff val="-2206003"/>
              <a:satOff val="-3068"/>
              <a:lumOff val="-117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DF86D4-C089-4014-93A6-7E3E0F761A95}">
      <dsp:nvSpPr>
        <dsp:cNvPr id="0" name=""/>
        <dsp:cNvSpPr/>
      </dsp:nvSpPr>
      <dsp:spPr>
        <a:xfrm>
          <a:off x="698839" y="395528"/>
          <a:ext cx="3644008" cy="532925"/>
        </a:xfrm>
        <a:prstGeom prst="rect">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marL="0" lvl="0" indent="0" algn="l" defTabSz="444500">
            <a:lnSpc>
              <a:spcPct val="90000"/>
            </a:lnSpc>
            <a:spcBef>
              <a:spcPct val="0"/>
            </a:spcBef>
            <a:spcAft>
              <a:spcPct val="35000"/>
            </a:spcAft>
            <a:buNone/>
          </a:pPr>
          <a:r>
            <a:rPr lang="zh-TW" altLang="en-US" sz="1000" kern="1200">
              <a:latin typeface="Times New Roman" panose="02020603050405020304" pitchFamily="18" charset="0"/>
              <a:ea typeface="標楷體" panose="03000509000000000000" pitchFamily="65" charset="-120"/>
              <a:cs typeface="Times New Roman" panose="02020603050405020304" pitchFamily="18" charset="0"/>
            </a:rPr>
            <a:t>稻米、胡蘿蔔、甘藍、萵苣、毛豆、香蕉、鳳梨、芒果、葡萄、荔枝、葡萄柚、棗、番石榴、木瓜、楊桃、釋迦、蓮霧、菊花、洋桔梗、文心蘭、蝴蝶蘭、火鶴、茶葉。</a:t>
          </a:r>
        </a:p>
      </dsp:txBody>
      <dsp:txXfrm>
        <a:off x="698839" y="395528"/>
        <a:ext cx="3644008" cy="532925"/>
      </dsp:txXfrm>
    </dsp:sp>
    <dsp:sp modelId="{AE611417-DCB5-4F71-94E9-5BA056577359}">
      <dsp:nvSpPr>
        <dsp:cNvPr id="0" name=""/>
        <dsp:cNvSpPr/>
      </dsp:nvSpPr>
      <dsp:spPr>
        <a:xfrm>
          <a:off x="698839" y="1041698"/>
          <a:ext cx="3597244" cy="3270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marL="0" lvl="0" indent="0" algn="l" defTabSz="622300">
            <a:lnSpc>
              <a:spcPct val="90000"/>
            </a:lnSpc>
            <a:spcBef>
              <a:spcPct val="0"/>
            </a:spcBef>
            <a:spcAft>
              <a:spcPct val="35000"/>
            </a:spcAft>
            <a:buNone/>
          </a:pPr>
          <a:r>
            <a:rPr lang="zh-TW" altLang="en-US" sz="1400" kern="1200">
              <a:latin typeface="Times New Roman" panose="02020603050405020304" pitchFamily="18" charset="0"/>
              <a:ea typeface="標楷體" panose="03000509000000000000" pitchFamily="65" charset="-120"/>
              <a:cs typeface="Times New Roman" panose="02020603050405020304" pitchFamily="18" charset="0"/>
            </a:rPr>
            <a:t>水產品</a:t>
          </a:r>
        </a:p>
      </dsp:txBody>
      <dsp:txXfrm>
        <a:off x="698839" y="1041698"/>
        <a:ext cx="3597244" cy="327022"/>
      </dsp:txXfrm>
    </dsp:sp>
    <dsp:sp modelId="{6611E2F0-0B31-4BD5-8420-9EE1C413F01E}">
      <dsp:nvSpPr>
        <dsp:cNvPr id="0" name=""/>
        <dsp:cNvSpPr/>
      </dsp:nvSpPr>
      <dsp:spPr>
        <a:xfrm>
          <a:off x="698839" y="1368720"/>
          <a:ext cx="841755" cy="666156"/>
        </a:xfrm>
        <a:prstGeom prst="chevron">
          <a:avLst>
            <a:gd name="adj" fmla="val 70610"/>
          </a:avLst>
        </a:prstGeom>
        <a:solidFill>
          <a:schemeClr val="accent5">
            <a:hueOff val="-2573671"/>
            <a:satOff val="-3580"/>
            <a:lumOff val="-1373"/>
            <a:alphaOff val="0"/>
          </a:schemeClr>
        </a:solidFill>
        <a:ln w="12700" cap="flat" cmpd="sng" algn="ctr">
          <a:solidFill>
            <a:schemeClr val="accent5">
              <a:hueOff val="-2573671"/>
              <a:satOff val="-3580"/>
              <a:lumOff val="-137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0ECFB3-7CBD-4DD3-B893-E32D1B84AC92}">
      <dsp:nvSpPr>
        <dsp:cNvPr id="0" name=""/>
        <dsp:cNvSpPr/>
      </dsp:nvSpPr>
      <dsp:spPr>
        <a:xfrm>
          <a:off x="1204452" y="1368720"/>
          <a:ext cx="841755" cy="666156"/>
        </a:xfrm>
        <a:prstGeom prst="chevron">
          <a:avLst>
            <a:gd name="adj" fmla="val 70610"/>
          </a:avLst>
        </a:prstGeom>
        <a:solidFill>
          <a:schemeClr val="accent5">
            <a:hueOff val="-2941338"/>
            <a:satOff val="-4091"/>
            <a:lumOff val="-1569"/>
            <a:alphaOff val="0"/>
          </a:schemeClr>
        </a:solidFill>
        <a:ln w="12700" cap="flat" cmpd="sng" algn="ctr">
          <a:solidFill>
            <a:schemeClr val="accent5">
              <a:hueOff val="-2941338"/>
              <a:satOff val="-4091"/>
              <a:lumOff val="-156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BDCD0C-CCFD-4208-8C23-55C15DCE14F6}">
      <dsp:nvSpPr>
        <dsp:cNvPr id="0" name=""/>
        <dsp:cNvSpPr/>
      </dsp:nvSpPr>
      <dsp:spPr>
        <a:xfrm>
          <a:off x="1710464" y="1368720"/>
          <a:ext cx="841755" cy="666156"/>
        </a:xfrm>
        <a:prstGeom prst="chevron">
          <a:avLst>
            <a:gd name="adj" fmla="val 70610"/>
          </a:avLst>
        </a:prstGeom>
        <a:solidFill>
          <a:schemeClr val="accent5">
            <a:hueOff val="-3309005"/>
            <a:satOff val="-4603"/>
            <a:lumOff val="-1765"/>
            <a:alphaOff val="0"/>
          </a:schemeClr>
        </a:solidFill>
        <a:ln w="12700" cap="flat" cmpd="sng" algn="ctr">
          <a:solidFill>
            <a:schemeClr val="accent5">
              <a:hueOff val="-3309005"/>
              <a:satOff val="-4603"/>
              <a:lumOff val="-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2EEAAF-1912-4A15-9A6F-683F5CEB5CED}">
      <dsp:nvSpPr>
        <dsp:cNvPr id="0" name=""/>
        <dsp:cNvSpPr/>
      </dsp:nvSpPr>
      <dsp:spPr>
        <a:xfrm>
          <a:off x="2216077" y="1368720"/>
          <a:ext cx="841755" cy="666156"/>
        </a:xfrm>
        <a:prstGeom prst="chevron">
          <a:avLst>
            <a:gd name="adj" fmla="val 70610"/>
          </a:avLst>
        </a:prstGeom>
        <a:solidFill>
          <a:schemeClr val="accent5">
            <a:hueOff val="-3676672"/>
            <a:satOff val="-5114"/>
            <a:lumOff val="-1961"/>
            <a:alphaOff val="0"/>
          </a:schemeClr>
        </a:solidFill>
        <a:ln w="12700" cap="flat" cmpd="sng" algn="ctr">
          <a:solidFill>
            <a:schemeClr val="accent5">
              <a:hueOff val="-3676672"/>
              <a:satOff val="-5114"/>
              <a:lumOff val="-1961"/>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9ECA5DA-71A3-4454-97DF-6A05980577E6}">
      <dsp:nvSpPr>
        <dsp:cNvPr id="0" name=""/>
        <dsp:cNvSpPr/>
      </dsp:nvSpPr>
      <dsp:spPr>
        <a:xfrm>
          <a:off x="2722089" y="1368720"/>
          <a:ext cx="841755" cy="666156"/>
        </a:xfrm>
        <a:prstGeom prst="chevron">
          <a:avLst>
            <a:gd name="adj" fmla="val 70610"/>
          </a:avLst>
        </a:prstGeom>
        <a:solidFill>
          <a:schemeClr val="accent5">
            <a:hueOff val="-4044339"/>
            <a:satOff val="-5625"/>
            <a:lumOff val="-2157"/>
            <a:alphaOff val="0"/>
          </a:schemeClr>
        </a:solidFill>
        <a:ln w="12700" cap="flat" cmpd="sng" algn="ctr">
          <a:solidFill>
            <a:schemeClr val="accent5">
              <a:hueOff val="-4044339"/>
              <a:satOff val="-5625"/>
              <a:lumOff val="-215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B6CC3F5-EBEB-465A-9DEF-2579A9C06A0C}">
      <dsp:nvSpPr>
        <dsp:cNvPr id="0" name=""/>
        <dsp:cNvSpPr/>
      </dsp:nvSpPr>
      <dsp:spPr>
        <a:xfrm>
          <a:off x="3227702" y="1368720"/>
          <a:ext cx="841755" cy="666156"/>
        </a:xfrm>
        <a:prstGeom prst="chevron">
          <a:avLst>
            <a:gd name="adj" fmla="val 70610"/>
          </a:avLst>
        </a:prstGeom>
        <a:solidFill>
          <a:schemeClr val="accent5">
            <a:hueOff val="-4412007"/>
            <a:satOff val="-6137"/>
            <a:lumOff val="-2353"/>
            <a:alphaOff val="0"/>
          </a:schemeClr>
        </a:solidFill>
        <a:ln w="12700" cap="flat" cmpd="sng" algn="ctr">
          <a:solidFill>
            <a:schemeClr val="accent5">
              <a:hueOff val="-4412007"/>
              <a:satOff val="-6137"/>
              <a:lumOff val="-235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2268A2B-80CF-4CD6-B928-0A3830DE20AB}">
      <dsp:nvSpPr>
        <dsp:cNvPr id="0" name=""/>
        <dsp:cNvSpPr/>
      </dsp:nvSpPr>
      <dsp:spPr>
        <a:xfrm>
          <a:off x="3733714" y="1368720"/>
          <a:ext cx="841755" cy="666156"/>
        </a:xfrm>
        <a:prstGeom prst="chevron">
          <a:avLst>
            <a:gd name="adj" fmla="val 70610"/>
          </a:avLst>
        </a:prstGeom>
        <a:solidFill>
          <a:schemeClr val="accent5">
            <a:hueOff val="-4779674"/>
            <a:satOff val="-6648"/>
            <a:lumOff val="-2549"/>
            <a:alphaOff val="0"/>
          </a:schemeClr>
        </a:solidFill>
        <a:ln w="12700" cap="flat" cmpd="sng" algn="ctr">
          <a:solidFill>
            <a:schemeClr val="accent5">
              <a:hueOff val="-4779674"/>
              <a:satOff val="-6648"/>
              <a:lumOff val="-254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C39E8AE-56A1-4991-A2DA-E0B8905C297A}">
      <dsp:nvSpPr>
        <dsp:cNvPr id="0" name=""/>
        <dsp:cNvSpPr/>
      </dsp:nvSpPr>
      <dsp:spPr>
        <a:xfrm>
          <a:off x="698839" y="1435336"/>
          <a:ext cx="3644008" cy="532925"/>
        </a:xfrm>
        <a:prstGeom prst="rect">
          <a:avLst/>
        </a:prstGeom>
        <a:solidFill>
          <a:schemeClr val="lt1">
            <a:hueOff val="0"/>
            <a:satOff val="0"/>
            <a:lumOff val="0"/>
            <a:alphaOff val="0"/>
          </a:schemeClr>
        </a:solidFill>
        <a:ln w="12700" cap="flat" cmpd="sng" algn="ctr">
          <a:solidFill>
            <a:schemeClr val="accent5">
              <a:hueOff val="-3676672"/>
              <a:satOff val="-5114"/>
              <a:lumOff val="-196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marL="0" lvl="0" indent="0" algn="l" defTabSz="444500">
            <a:lnSpc>
              <a:spcPct val="90000"/>
            </a:lnSpc>
            <a:spcBef>
              <a:spcPct val="0"/>
            </a:spcBef>
            <a:spcAft>
              <a:spcPct val="35000"/>
            </a:spcAft>
            <a:buNone/>
          </a:pPr>
          <a:r>
            <a:rPr lang="zh-TW" altLang="en-US" sz="1000" kern="1200">
              <a:latin typeface="Times New Roman" panose="02020603050405020304" pitchFamily="18" charset="0"/>
              <a:ea typeface="標楷體" panose="03000509000000000000" pitchFamily="65" charset="-120"/>
              <a:cs typeface="Times New Roman" panose="02020603050405020304" pitchFamily="18" charset="0"/>
            </a:rPr>
            <a:t>鰻魚、觀賞用魚、鱸魚、虱目魚、石斑魚、吳郭魚。</a:t>
          </a:r>
        </a:p>
      </dsp:txBody>
      <dsp:txXfrm>
        <a:off x="698839" y="1435336"/>
        <a:ext cx="3644008" cy="532925"/>
      </dsp:txXfrm>
    </dsp:sp>
    <dsp:sp modelId="{4876197B-7921-44D8-BF02-1601C49D66DC}">
      <dsp:nvSpPr>
        <dsp:cNvPr id="0" name=""/>
        <dsp:cNvSpPr/>
      </dsp:nvSpPr>
      <dsp:spPr>
        <a:xfrm>
          <a:off x="698839" y="2081506"/>
          <a:ext cx="3597244" cy="3270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marL="0" lvl="0" indent="0" algn="l" defTabSz="622300">
            <a:lnSpc>
              <a:spcPct val="90000"/>
            </a:lnSpc>
            <a:spcBef>
              <a:spcPct val="0"/>
            </a:spcBef>
            <a:spcAft>
              <a:spcPct val="35000"/>
            </a:spcAft>
            <a:buNone/>
          </a:pPr>
          <a:r>
            <a:rPr lang="zh-TW" altLang="en-US" sz="1400" kern="1200">
              <a:latin typeface="Times New Roman" panose="02020603050405020304" pitchFamily="18" charset="0"/>
              <a:ea typeface="標楷體" panose="03000509000000000000" pitchFamily="65" charset="-120"/>
              <a:cs typeface="Times New Roman" panose="02020603050405020304" pitchFamily="18" charset="0"/>
            </a:rPr>
            <a:t>畜產品</a:t>
          </a:r>
        </a:p>
      </dsp:txBody>
      <dsp:txXfrm>
        <a:off x="698839" y="2081506"/>
        <a:ext cx="3597244" cy="327022"/>
      </dsp:txXfrm>
    </dsp:sp>
    <dsp:sp modelId="{943DA622-D67A-4F4C-BE02-94B5E40551B2}">
      <dsp:nvSpPr>
        <dsp:cNvPr id="0" name=""/>
        <dsp:cNvSpPr/>
      </dsp:nvSpPr>
      <dsp:spPr>
        <a:xfrm>
          <a:off x="698839" y="2408528"/>
          <a:ext cx="841755" cy="666156"/>
        </a:xfrm>
        <a:prstGeom prst="chevron">
          <a:avLst>
            <a:gd name="adj" fmla="val 70610"/>
          </a:avLst>
        </a:prstGeom>
        <a:solidFill>
          <a:schemeClr val="accent5">
            <a:hueOff val="-5147341"/>
            <a:satOff val="-7160"/>
            <a:lumOff val="-2745"/>
            <a:alphaOff val="0"/>
          </a:schemeClr>
        </a:solidFill>
        <a:ln w="12700" cap="flat" cmpd="sng" algn="ctr">
          <a:solidFill>
            <a:schemeClr val="accent5">
              <a:hueOff val="-5147341"/>
              <a:satOff val="-7160"/>
              <a:lumOff val="-274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4CE9308-7D79-4001-94A4-5E0284845095}">
      <dsp:nvSpPr>
        <dsp:cNvPr id="0" name=""/>
        <dsp:cNvSpPr/>
      </dsp:nvSpPr>
      <dsp:spPr>
        <a:xfrm>
          <a:off x="1204452" y="2408528"/>
          <a:ext cx="841755" cy="666156"/>
        </a:xfrm>
        <a:prstGeom prst="chevron">
          <a:avLst>
            <a:gd name="adj" fmla="val 70610"/>
          </a:avLst>
        </a:prstGeom>
        <a:solidFill>
          <a:schemeClr val="accent5">
            <a:hueOff val="-5515009"/>
            <a:satOff val="-7671"/>
            <a:lumOff val="-2942"/>
            <a:alphaOff val="0"/>
          </a:schemeClr>
        </a:solidFill>
        <a:ln w="12700" cap="flat" cmpd="sng" algn="ctr">
          <a:solidFill>
            <a:schemeClr val="accent5">
              <a:hueOff val="-5515009"/>
              <a:satOff val="-7671"/>
              <a:lumOff val="-294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C1D355-C7DC-41CF-B5D4-6D03084ABE33}">
      <dsp:nvSpPr>
        <dsp:cNvPr id="0" name=""/>
        <dsp:cNvSpPr/>
      </dsp:nvSpPr>
      <dsp:spPr>
        <a:xfrm>
          <a:off x="1710464" y="2408528"/>
          <a:ext cx="841755" cy="666156"/>
        </a:xfrm>
        <a:prstGeom prst="chevron">
          <a:avLst>
            <a:gd name="adj" fmla="val 70610"/>
          </a:avLst>
        </a:prstGeom>
        <a:solidFill>
          <a:schemeClr val="accent5">
            <a:hueOff val="-5882676"/>
            <a:satOff val="-8182"/>
            <a:lumOff val="-3138"/>
            <a:alphaOff val="0"/>
          </a:schemeClr>
        </a:solidFill>
        <a:ln w="12700" cap="flat" cmpd="sng" algn="ctr">
          <a:solidFill>
            <a:schemeClr val="accent5">
              <a:hueOff val="-5882676"/>
              <a:satOff val="-8182"/>
              <a:lumOff val="-313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9696D81-4BE4-4B0E-8705-0B4A2738B008}">
      <dsp:nvSpPr>
        <dsp:cNvPr id="0" name=""/>
        <dsp:cNvSpPr/>
      </dsp:nvSpPr>
      <dsp:spPr>
        <a:xfrm>
          <a:off x="2216077" y="2408528"/>
          <a:ext cx="841755" cy="666156"/>
        </a:xfrm>
        <a:prstGeom prst="chevron">
          <a:avLst>
            <a:gd name="adj" fmla="val 70610"/>
          </a:avLst>
        </a:prstGeom>
        <a:solidFill>
          <a:schemeClr val="accent5">
            <a:hueOff val="-6250343"/>
            <a:satOff val="-8694"/>
            <a:lumOff val="-3334"/>
            <a:alphaOff val="0"/>
          </a:schemeClr>
        </a:solidFill>
        <a:ln w="12700" cap="flat" cmpd="sng" algn="ctr">
          <a:solidFill>
            <a:schemeClr val="accent5">
              <a:hueOff val="-6250343"/>
              <a:satOff val="-8694"/>
              <a:lumOff val="-333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5F2E0A9-1C36-4C4D-9662-663B1D3B63EB}">
      <dsp:nvSpPr>
        <dsp:cNvPr id="0" name=""/>
        <dsp:cNvSpPr/>
      </dsp:nvSpPr>
      <dsp:spPr>
        <a:xfrm>
          <a:off x="2722089" y="2408528"/>
          <a:ext cx="841755" cy="666156"/>
        </a:xfrm>
        <a:prstGeom prst="chevron">
          <a:avLst>
            <a:gd name="adj" fmla="val 70610"/>
          </a:avLst>
        </a:prstGeom>
        <a:solidFill>
          <a:schemeClr val="accent5">
            <a:hueOff val="-6618010"/>
            <a:satOff val="-9205"/>
            <a:lumOff val="-3530"/>
            <a:alphaOff val="0"/>
          </a:schemeClr>
        </a:solidFill>
        <a:ln w="12700" cap="flat" cmpd="sng" algn="ctr">
          <a:solidFill>
            <a:schemeClr val="accent5">
              <a:hueOff val="-6618010"/>
              <a:satOff val="-9205"/>
              <a:lumOff val="-353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D1800F2-F432-4930-9F68-EAF09851BB3F}">
      <dsp:nvSpPr>
        <dsp:cNvPr id="0" name=""/>
        <dsp:cNvSpPr/>
      </dsp:nvSpPr>
      <dsp:spPr>
        <a:xfrm>
          <a:off x="3227702" y="2408528"/>
          <a:ext cx="841755" cy="666156"/>
        </a:xfrm>
        <a:prstGeom prst="chevron">
          <a:avLst>
            <a:gd name="adj" fmla="val 70610"/>
          </a:avLst>
        </a:prstGeom>
        <a:solidFill>
          <a:schemeClr val="accent5">
            <a:hueOff val="-6985677"/>
            <a:satOff val="-9717"/>
            <a:lumOff val="-3726"/>
            <a:alphaOff val="0"/>
          </a:schemeClr>
        </a:solidFill>
        <a:ln w="12700" cap="flat" cmpd="sng" algn="ctr">
          <a:solidFill>
            <a:schemeClr val="accent5">
              <a:hueOff val="-6985677"/>
              <a:satOff val="-9717"/>
              <a:lumOff val="-372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FD02869-B651-4110-8718-D312F8A33F56}">
      <dsp:nvSpPr>
        <dsp:cNvPr id="0" name=""/>
        <dsp:cNvSpPr/>
      </dsp:nvSpPr>
      <dsp:spPr>
        <a:xfrm>
          <a:off x="3733714" y="2408528"/>
          <a:ext cx="841755" cy="666156"/>
        </a:xfrm>
        <a:prstGeom prst="chevron">
          <a:avLst>
            <a:gd name="adj" fmla="val 70610"/>
          </a:avLst>
        </a:prstGeom>
        <a:solidFill>
          <a:schemeClr val="accent5">
            <a:hueOff val="-7353344"/>
            <a:satOff val="-10228"/>
            <a:lumOff val="-3922"/>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01835A4-926A-44B7-BA03-290782F821FD}">
      <dsp:nvSpPr>
        <dsp:cNvPr id="0" name=""/>
        <dsp:cNvSpPr/>
      </dsp:nvSpPr>
      <dsp:spPr>
        <a:xfrm>
          <a:off x="698839" y="2475143"/>
          <a:ext cx="3644008" cy="532925"/>
        </a:xfrm>
        <a:prstGeom prst="rect">
          <a:avLst/>
        </a:prstGeom>
        <a:solidFill>
          <a:schemeClr val="lt1">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5400" tIns="25400" rIns="25400" bIns="25400" numCol="1" spcCol="1270" anchor="ctr" anchorCtr="0">
          <a:noAutofit/>
        </a:bodyPr>
        <a:lstStyle/>
        <a:p>
          <a:pPr marL="0" lvl="0" indent="0" algn="l" defTabSz="444500">
            <a:lnSpc>
              <a:spcPct val="90000"/>
            </a:lnSpc>
            <a:spcBef>
              <a:spcPct val="0"/>
            </a:spcBef>
            <a:spcAft>
              <a:spcPct val="35000"/>
            </a:spcAft>
            <a:buNone/>
          </a:pPr>
          <a:r>
            <a:rPr lang="zh-TW" altLang="en-US" sz="1000" kern="1200">
              <a:latin typeface="Times New Roman" panose="02020603050405020304" pitchFamily="18" charset="0"/>
              <a:ea typeface="標楷體" panose="03000509000000000000" pitchFamily="65" charset="-120"/>
              <a:cs typeface="Times New Roman" panose="02020603050405020304" pitchFamily="18" charset="0"/>
            </a:rPr>
            <a:t>豬肉、雞肉、鴨肉、帶殼禽蛋。</a:t>
          </a:r>
        </a:p>
      </dsp:txBody>
      <dsp:txXfrm>
        <a:off x="698839" y="2475143"/>
        <a:ext cx="3644008" cy="53292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9F8A98-A087-4C05-926E-09AAC5266B2A}">
      <dsp:nvSpPr>
        <dsp:cNvPr id="0" name=""/>
        <dsp:cNvSpPr/>
      </dsp:nvSpPr>
      <dsp:spPr>
        <a:xfrm>
          <a:off x="0" y="195"/>
          <a:ext cx="5271715" cy="334204"/>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zh-TW" altLang="en-US" sz="1400" b="0" i="0" kern="1200">
              <a:latin typeface="標楷體" panose="03000509000000000000" pitchFamily="65" charset="-120"/>
              <a:ea typeface="標楷體" panose="03000509000000000000" pitchFamily="65" charset="-120"/>
              <a:cs typeface="Times New Roman" panose="02020603050405020304" pitchFamily="18" charset="0"/>
            </a:rPr>
            <a:t>推動農業加值，拓展國際市場</a:t>
          </a:r>
          <a:endParaRPr lang="zh-TW" altLang="en-US" sz="14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16314" y="16509"/>
        <a:ext cx="5239087" cy="301576"/>
      </dsp:txXfrm>
    </dsp:sp>
    <dsp:sp modelId="{A4905FDC-36F5-48AB-B6D4-5E8DEEA66EB2}">
      <dsp:nvSpPr>
        <dsp:cNvPr id="0" name=""/>
        <dsp:cNvSpPr/>
      </dsp:nvSpPr>
      <dsp:spPr>
        <a:xfrm>
          <a:off x="0" y="334399"/>
          <a:ext cx="5271715" cy="37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377" tIns="15240" rIns="85344" bIns="15240" numCol="1" spcCol="1270" anchor="t" anchorCtr="0">
          <a:noAutofit/>
        </a:bodyPr>
        <a:lstStyle/>
        <a:p>
          <a:pPr marL="114300" lvl="1" indent="-114300" algn="l" defTabSz="533400">
            <a:lnSpc>
              <a:spcPct val="90000"/>
            </a:lnSpc>
            <a:spcBef>
              <a:spcPct val="0"/>
            </a:spcBef>
            <a:spcAft>
              <a:spcPct val="20000"/>
            </a:spcAft>
            <a:buChar char="•"/>
          </a:pPr>
          <a:r>
            <a:rPr lang="zh-TW" altLang="en-US" sz="1200" kern="1200">
              <a:latin typeface="標楷體" panose="03000509000000000000" pitchFamily="65" charset="-120"/>
              <a:ea typeface="標楷體" panose="03000509000000000000" pitchFamily="65" charset="-120"/>
              <a:cs typeface="Times New Roman" panose="02020603050405020304" pitchFamily="18" charset="0"/>
            </a:rPr>
            <a:t>推動自由經濟示範區－農業加值；推動農業科技產業全球運籌；輔導建立品牌與強化國際行銷；維持漁業全球競爭力。</a:t>
          </a:r>
        </a:p>
      </dsp:txBody>
      <dsp:txXfrm>
        <a:off x="0" y="334399"/>
        <a:ext cx="5271715" cy="374479"/>
      </dsp:txXfrm>
    </dsp:sp>
    <dsp:sp modelId="{D3166BDB-FE60-4591-8302-A2CB80951BA0}">
      <dsp:nvSpPr>
        <dsp:cNvPr id="0" name=""/>
        <dsp:cNvSpPr/>
      </dsp:nvSpPr>
      <dsp:spPr>
        <a:xfrm>
          <a:off x="0" y="708879"/>
          <a:ext cx="5271715" cy="334204"/>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zh-TW" altLang="en-US" sz="1400" b="0" i="0" kern="1200">
              <a:latin typeface="標楷體" panose="03000509000000000000" pitchFamily="65" charset="-120"/>
              <a:ea typeface="標楷體" panose="03000509000000000000" pitchFamily="65" charset="-120"/>
              <a:cs typeface="Times New Roman" panose="02020603050405020304" pitchFamily="18" charset="0"/>
            </a:rPr>
            <a:t>促進地產地消，建立市場區隔</a:t>
          </a:r>
          <a:endParaRPr lang="zh-TW" altLang="en-US" sz="14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16314" y="725193"/>
        <a:ext cx="5239087" cy="301576"/>
      </dsp:txXfrm>
    </dsp:sp>
    <dsp:sp modelId="{9CFE2023-5573-457E-9CEB-0C225151915B}">
      <dsp:nvSpPr>
        <dsp:cNvPr id="0" name=""/>
        <dsp:cNvSpPr/>
      </dsp:nvSpPr>
      <dsp:spPr>
        <a:xfrm>
          <a:off x="0" y="1043083"/>
          <a:ext cx="5271715" cy="37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377" tIns="15240" rIns="85344" bIns="15240" numCol="1" spcCol="1270" anchor="t" anchorCtr="0">
          <a:noAutofit/>
        </a:bodyPr>
        <a:lstStyle/>
        <a:p>
          <a:pPr marL="114300" lvl="1" indent="-114300" algn="l" defTabSz="533400">
            <a:lnSpc>
              <a:spcPct val="90000"/>
            </a:lnSpc>
            <a:spcBef>
              <a:spcPct val="0"/>
            </a:spcBef>
            <a:spcAft>
              <a:spcPct val="20000"/>
            </a:spcAft>
            <a:buChar char="•"/>
          </a:pPr>
          <a:r>
            <a:rPr lang="zh-TW" altLang="en-US" sz="1200" b="0" i="0" kern="1200">
              <a:latin typeface="標楷體" panose="03000509000000000000" pitchFamily="65" charset="-120"/>
              <a:ea typeface="標楷體" panose="03000509000000000000" pitchFamily="65" charset="-120"/>
            </a:rPr>
            <a:t>強化農產品追溯及安全管理；發揮在地農產生鮮優勢；農村再生結合農村社區與產業；輔導專業農民成立微型農企業；加強食農教育與溝通。 </a:t>
          </a:r>
          <a:endParaRPr lang="zh-TW" altLang="en-US" sz="12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0" y="1043083"/>
        <a:ext cx="5271715" cy="374479"/>
      </dsp:txXfrm>
    </dsp:sp>
    <dsp:sp modelId="{C4EF6DA1-345D-4725-B5E5-DC5BF8C6D96A}">
      <dsp:nvSpPr>
        <dsp:cNvPr id="0" name=""/>
        <dsp:cNvSpPr/>
      </dsp:nvSpPr>
      <dsp:spPr>
        <a:xfrm>
          <a:off x="0" y="1417563"/>
          <a:ext cx="5271715" cy="334204"/>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zh-TW" altLang="en-US" sz="1400" b="0" i="0" kern="1200">
              <a:latin typeface="標楷體" panose="03000509000000000000" pitchFamily="65" charset="-120"/>
              <a:ea typeface="標楷體" panose="03000509000000000000" pitchFamily="65" charset="-120"/>
            </a:rPr>
            <a:t>加速結構調整，發揮產業與資源綜效</a:t>
          </a:r>
          <a:endParaRPr lang="zh-TW" altLang="en-US" sz="14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16314" y="1433877"/>
        <a:ext cx="5239087" cy="301576"/>
      </dsp:txXfrm>
    </dsp:sp>
    <dsp:sp modelId="{C34B1E4E-2709-4978-ACF9-1DF72F783616}">
      <dsp:nvSpPr>
        <dsp:cNvPr id="0" name=""/>
        <dsp:cNvSpPr/>
      </dsp:nvSpPr>
      <dsp:spPr>
        <a:xfrm>
          <a:off x="0" y="1751767"/>
          <a:ext cx="5271715" cy="37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377" tIns="15240" rIns="85344" bIns="15240" numCol="1" spcCol="1270" anchor="t" anchorCtr="0">
          <a:noAutofit/>
        </a:bodyPr>
        <a:lstStyle/>
        <a:p>
          <a:pPr marL="114300" lvl="1" indent="-114300" algn="l" defTabSz="533400">
            <a:lnSpc>
              <a:spcPct val="90000"/>
            </a:lnSpc>
            <a:spcBef>
              <a:spcPct val="0"/>
            </a:spcBef>
            <a:spcAft>
              <a:spcPct val="20000"/>
            </a:spcAft>
            <a:buChar char="•"/>
          </a:pPr>
          <a:r>
            <a:rPr lang="zh-TW" altLang="en-US" sz="1200" b="0" i="0" kern="1200">
              <a:latin typeface="標楷體" panose="03000509000000000000" pitchFamily="65" charset="-120"/>
              <a:ea typeface="標楷體" panose="03000509000000000000" pitchFamily="65" charset="-120"/>
            </a:rPr>
            <a:t>推動農業專區；調整耕作制度與規模；合理調整農地利用管理；培育農業青年人力。 </a:t>
          </a:r>
          <a:endParaRPr lang="zh-TW" altLang="en-US" sz="12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0" y="1751767"/>
        <a:ext cx="5271715" cy="374479"/>
      </dsp:txXfrm>
    </dsp:sp>
    <dsp:sp modelId="{195F7C17-C58C-4996-B010-029C42B65352}">
      <dsp:nvSpPr>
        <dsp:cNvPr id="0" name=""/>
        <dsp:cNvSpPr/>
      </dsp:nvSpPr>
      <dsp:spPr>
        <a:xfrm>
          <a:off x="0" y="2126247"/>
          <a:ext cx="5271715" cy="334204"/>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zh-TW" altLang="en-US" sz="1400" b="0" i="0" kern="1200">
              <a:latin typeface="標楷體" panose="03000509000000000000" pitchFamily="65" charset="-120"/>
              <a:ea typeface="標楷體" panose="03000509000000000000" pitchFamily="65" charset="-120"/>
            </a:rPr>
            <a:t>實施直接給付，保障農民所得</a:t>
          </a:r>
          <a:endParaRPr lang="zh-TW" altLang="en-US" sz="14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16314" y="2142561"/>
        <a:ext cx="5239087" cy="301576"/>
      </dsp:txXfrm>
    </dsp:sp>
    <dsp:sp modelId="{442A8BB8-C20C-467C-88E9-B4FA88A58566}">
      <dsp:nvSpPr>
        <dsp:cNvPr id="0" name=""/>
        <dsp:cNvSpPr/>
      </dsp:nvSpPr>
      <dsp:spPr>
        <a:xfrm>
          <a:off x="0" y="2460451"/>
          <a:ext cx="5271715" cy="37447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377" tIns="15240" rIns="85344" bIns="15240" numCol="1" spcCol="1270" anchor="t" anchorCtr="0">
          <a:noAutofit/>
        </a:bodyPr>
        <a:lstStyle/>
        <a:p>
          <a:pPr marL="114300" lvl="1" indent="-114300" algn="l" defTabSz="533400">
            <a:lnSpc>
              <a:spcPct val="90000"/>
            </a:lnSpc>
            <a:spcBef>
              <a:spcPct val="0"/>
            </a:spcBef>
            <a:spcAft>
              <a:spcPct val="20000"/>
            </a:spcAft>
            <a:buChar char="•"/>
          </a:pPr>
          <a:r>
            <a:rPr lang="zh-TW" altLang="en-US" sz="1200" b="0" i="0" kern="1200">
              <a:latin typeface="標楷體" panose="03000509000000000000" pitchFamily="65" charset="-120"/>
              <a:ea typeface="標楷體" panose="03000509000000000000" pitchFamily="65" charset="-120"/>
            </a:rPr>
            <a:t>漸進推動符合 </a:t>
          </a:r>
          <a:r>
            <a:rPr lang="en-US" sz="1200" b="0" i="0" kern="1200">
              <a:latin typeface="標楷體" panose="03000509000000000000" pitchFamily="65" charset="-120"/>
              <a:ea typeface="標楷體" panose="03000509000000000000" pitchFamily="65" charset="-120"/>
            </a:rPr>
            <a:t>WTO </a:t>
          </a:r>
          <a:r>
            <a:rPr lang="zh-TW" altLang="en-US" sz="1200" b="0" i="0" kern="1200">
              <a:latin typeface="標楷體" panose="03000509000000000000" pitchFamily="65" charset="-120"/>
              <a:ea typeface="標楷體" panose="03000509000000000000" pitchFamily="65" charset="-120"/>
            </a:rPr>
            <a:t>國際規範之綠色措施；強化農民補貼資訊整合管理；健全農民福利與社會保險制度。</a:t>
          </a:r>
          <a:endParaRPr lang="zh-TW" altLang="en-US" sz="12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0" y="2460451"/>
        <a:ext cx="5271715" cy="374479"/>
      </dsp:txXfrm>
    </dsp:sp>
    <dsp:sp modelId="{1C695FE5-E06A-4E73-8B19-409445B644CB}">
      <dsp:nvSpPr>
        <dsp:cNvPr id="0" name=""/>
        <dsp:cNvSpPr/>
      </dsp:nvSpPr>
      <dsp:spPr>
        <a:xfrm>
          <a:off x="0" y="2834931"/>
          <a:ext cx="5271715" cy="334204"/>
        </a:xfrm>
        <a:prstGeom prst="round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zh-TW" altLang="en-US" sz="1400" b="0" i="0" kern="1200">
              <a:latin typeface="標楷體" panose="03000509000000000000" pitchFamily="65" charset="-120"/>
              <a:ea typeface="標楷體" panose="03000509000000000000" pitchFamily="65" charset="-120"/>
            </a:rPr>
            <a:t>強化檢疫檢驗，維護優質環境</a:t>
          </a:r>
          <a:endParaRPr lang="zh-TW" altLang="en-US" sz="14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16314" y="2851245"/>
        <a:ext cx="5239087" cy="301576"/>
      </dsp:txXfrm>
    </dsp:sp>
    <dsp:sp modelId="{BC20C9A9-D005-441C-90E8-3E44C03DE1BC}">
      <dsp:nvSpPr>
        <dsp:cNvPr id="0" name=""/>
        <dsp:cNvSpPr/>
      </dsp:nvSpPr>
      <dsp:spPr>
        <a:xfrm>
          <a:off x="0" y="3169135"/>
          <a:ext cx="5271715" cy="20202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7377" tIns="15240" rIns="85344" bIns="15240" numCol="1" spcCol="1270" anchor="t" anchorCtr="0">
          <a:noAutofit/>
        </a:bodyPr>
        <a:lstStyle/>
        <a:p>
          <a:pPr marL="114300" lvl="1" indent="-114300" algn="l" defTabSz="533400">
            <a:lnSpc>
              <a:spcPct val="90000"/>
            </a:lnSpc>
            <a:spcBef>
              <a:spcPct val="0"/>
            </a:spcBef>
            <a:spcAft>
              <a:spcPct val="20000"/>
            </a:spcAft>
            <a:buChar char="•"/>
          </a:pPr>
          <a:r>
            <a:rPr lang="zh-TW" altLang="en-US" sz="1200" b="0" i="0" kern="1200">
              <a:latin typeface="標楷體" panose="03000509000000000000" pitchFamily="65" charset="-120"/>
              <a:ea typeface="標楷體" panose="03000509000000000000" pitchFamily="65" charset="-120"/>
            </a:rPr>
            <a:t>突破農產品外銷檢疫障礙；落實防疫檢疫措施。</a:t>
          </a:r>
          <a:endParaRPr lang="zh-TW" altLang="en-US" sz="1200" kern="1200">
            <a:latin typeface="標楷體" panose="03000509000000000000" pitchFamily="65" charset="-120"/>
            <a:ea typeface="標楷體" panose="03000509000000000000" pitchFamily="65" charset="-120"/>
            <a:cs typeface="Times New Roman" panose="02020603050405020304" pitchFamily="18" charset="0"/>
          </a:endParaRPr>
        </a:p>
      </dsp:txBody>
      <dsp:txXfrm>
        <a:off x="0" y="3169135"/>
        <a:ext cx="5271715" cy="202022"/>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8/layout/VerticalAccentList">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dgm:chPref/>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54A798-5FCD-47EE-A977-099150969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887</TotalTime>
  <Pages>402</Pages>
  <Words>44214</Words>
  <Characters>252022</Characters>
  <Application>Microsoft Office Word</Application>
  <DocSecurity>0</DocSecurity>
  <Lines>2100</Lines>
  <Paragraphs>591</Paragraphs>
  <ScaleCrop>false</ScaleCrop>
  <Company/>
  <LinksUpToDate>false</LinksUpToDate>
  <CharactersWithSpaces>295645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楊桂禎</dc:creator>
  <cp:lastModifiedBy>林祈昱</cp:lastModifiedBy>
  <cp:revision>497</cp:revision>
  <cp:lastPrinted>2016-11-23T10:14:00Z</cp:lastPrinted>
  <dcterms:created xsi:type="dcterms:W3CDTF">2016-12-19T02:42:00Z</dcterms:created>
  <dcterms:modified xsi:type="dcterms:W3CDTF">2016-12-28T00:21:00Z</dcterms:modified>
</cp:coreProperties>
</file>