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B158" w14:textId="2BC566EA" w:rsidR="009B1053" w:rsidRPr="002C0DFB" w:rsidRDefault="00C3557D" w:rsidP="00C3557D">
      <w:pPr>
        <w:jc w:val="center"/>
        <w:rPr>
          <w:rFonts w:ascii="標楷體" w:eastAsia="標楷體" w:hAnsi="標楷體"/>
          <w:sz w:val="28"/>
          <w:szCs w:val="28"/>
        </w:rPr>
      </w:pPr>
      <w:r w:rsidRPr="002C0DFB">
        <w:rPr>
          <w:rFonts w:ascii="標楷體" w:eastAsia="標楷體" w:hAnsi="標楷體" w:hint="eastAsia"/>
          <w:sz w:val="28"/>
          <w:szCs w:val="28"/>
        </w:rPr>
        <w:t>本會</w:t>
      </w:r>
      <w:r w:rsidRPr="002C0DFB">
        <w:rPr>
          <w:rFonts w:ascii="標楷體" w:eastAsia="標楷體" w:hAnsi="標楷體"/>
          <w:sz w:val="28"/>
          <w:szCs w:val="28"/>
        </w:rPr>
        <w:t>1</w:t>
      </w:r>
      <w:r w:rsidR="00B07A6E" w:rsidRPr="002C0DFB">
        <w:rPr>
          <w:rFonts w:ascii="標楷體" w:eastAsia="標楷體" w:hAnsi="標楷體" w:hint="eastAsia"/>
          <w:sz w:val="28"/>
          <w:szCs w:val="28"/>
        </w:rPr>
        <w:t>1</w:t>
      </w:r>
      <w:r w:rsidR="005331BF" w:rsidRPr="002C0DFB">
        <w:rPr>
          <w:rFonts w:ascii="標楷體" w:eastAsia="標楷體" w:hAnsi="標楷體" w:hint="eastAsia"/>
          <w:sz w:val="28"/>
          <w:szCs w:val="28"/>
        </w:rPr>
        <w:t>2</w:t>
      </w:r>
      <w:r w:rsidRPr="002C0DFB">
        <w:rPr>
          <w:rFonts w:ascii="標楷體" w:eastAsia="標楷體" w:hAnsi="標楷體" w:hint="eastAsia"/>
          <w:sz w:val="28"/>
          <w:szCs w:val="28"/>
        </w:rPr>
        <w:t>年度部會管制計畫</w:t>
      </w:r>
      <w:r w:rsidR="00FD4D06" w:rsidRPr="002C0DFB">
        <w:rPr>
          <w:rFonts w:ascii="標楷體" w:eastAsia="標楷體" w:hAnsi="標楷體" w:hint="eastAsia"/>
          <w:sz w:val="28"/>
          <w:szCs w:val="28"/>
        </w:rPr>
        <w:t>評</w:t>
      </w:r>
      <w:r w:rsidRPr="002C0DFB">
        <w:rPr>
          <w:rFonts w:ascii="標楷體" w:eastAsia="標楷體" w:hAnsi="標楷體" w:hint="eastAsia"/>
          <w:sz w:val="28"/>
          <w:szCs w:val="28"/>
        </w:rPr>
        <w:t>核</w:t>
      </w:r>
      <w:r w:rsidR="00C33994" w:rsidRPr="002C0DFB">
        <w:rPr>
          <w:rFonts w:ascii="標楷體" w:eastAsia="標楷體" w:hAnsi="標楷體" w:hint="eastAsia"/>
          <w:sz w:val="28"/>
          <w:szCs w:val="28"/>
        </w:rPr>
        <w:t>結果</w:t>
      </w:r>
    </w:p>
    <w:tbl>
      <w:tblPr>
        <w:tblStyle w:val="a3"/>
        <w:tblW w:w="9215" w:type="dxa"/>
        <w:tblInd w:w="-998" w:type="dxa"/>
        <w:tblLayout w:type="fixed"/>
        <w:tblLook w:val="04A0" w:firstRow="1" w:lastRow="0" w:firstColumn="1" w:lastColumn="0" w:noHBand="0" w:noVBand="1"/>
      </w:tblPr>
      <w:tblGrid>
        <w:gridCol w:w="425"/>
        <w:gridCol w:w="568"/>
        <w:gridCol w:w="851"/>
        <w:gridCol w:w="850"/>
        <w:gridCol w:w="6521"/>
      </w:tblGrid>
      <w:tr w:rsidR="00AA61F4" w:rsidRPr="002C0DFB" w14:paraId="0E2BD8E9" w14:textId="77777777" w:rsidTr="00AA61F4">
        <w:trPr>
          <w:trHeight w:val="677"/>
          <w:tblHeader/>
        </w:trPr>
        <w:tc>
          <w:tcPr>
            <w:tcW w:w="425" w:type="dxa"/>
            <w:vMerge w:val="restart"/>
            <w:shd w:val="clear" w:color="auto" w:fill="E7E6E6" w:themeFill="background2"/>
            <w:vAlign w:val="center"/>
          </w:tcPr>
          <w:p w14:paraId="446C6904" w14:textId="77777777" w:rsidR="00AA61F4" w:rsidRPr="002C0DFB" w:rsidRDefault="00AA61F4" w:rsidP="00FA365D">
            <w:pPr>
              <w:spacing w:line="360" w:lineRule="exact"/>
              <w:rPr>
                <w:rFonts w:ascii="標楷體" w:eastAsia="標楷體" w:hAnsi="標楷體"/>
                <w:szCs w:val="24"/>
              </w:rPr>
            </w:pPr>
            <w:r w:rsidRPr="002C0DFB">
              <w:rPr>
                <w:rFonts w:ascii="標楷體" w:eastAsia="標楷體" w:hAnsi="標楷體" w:hint="eastAsia"/>
                <w:szCs w:val="24"/>
              </w:rPr>
              <w:t>項次</w:t>
            </w:r>
          </w:p>
        </w:tc>
        <w:tc>
          <w:tcPr>
            <w:tcW w:w="568" w:type="dxa"/>
            <w:vMerge w:val="restart"/>
            <w:shd w:val="clear" w:color="auto" w:fill="E7E6E6" w:themeFill="background2"/>
            <w:vAlign w:val="center"/>
          </w:tcPr>
          <w:p w14:paraId="0E059573" w14:textId="77777777" w:rsidR="00AA61F4" w:rsidRPr="002C0DFB" w:rsidRDefault="00AA61F4" w:rsidP="00FA365D">
            <w:pPr>
              <w:spacing w:line="360" w:lineRule="exact"/>
              <w:rPr>
                <w:rFonts w:ascii="標楷體" w:eastAsia="標楷體" w:hAnsi="標楷體"/>
                <w:szCs w:val="24"/>
              </w:rPr>
            </w:pPr>
            <w:r w:rsidRPr="002C0DFB">
              <w:rPr>
                <w:rFonts w:ascii="標楷體" w:eastAsia="標楷體" w:hAnsi="標楷體" w:hint="eastAsia"/>
                <w:szCs w:val="24"/>
              </w:rPr>
              <w:t>主辦單位</w:t>
            </w:r>
          </w:p>
        </w:tc>
        <w:tc>
          <w:tcPr>
            <w:tcW w:w="851" w:type="dxa"/>
            <w:vMerge w:val="restart"/>
            <w:shd w:val="clear" w:color="auto" w:fill="E7E6E6" w:themeFill="background2"/>
            <w:vAlign w:val="center"/>
          </w:tcPr>
          <w:p w14:paraId="2DF58E4F" w14:textId="77777777" w:rsidR="00AA61F4" w:rsidRPr="002C0DFB" w:rsidRDefault="00AA61F4" w:rsidP="00FA365D">
            <w:pPr>
              <w:spacing w:line="360" w:lineRule="exact"/>
              <w:rPr>
                <w:rFonts w:ascii="標楷體" w:eastAsia="標楷體" w:hAnsi="標楷體"/>
                <w:szCs w:val="24"/>
              </w:rPr>
            </w:pPr>
            <w:r w:rsidRPr="002C0DFB">
              <w:rPr>
                <w:rFonts w:ascii="標楷體" w:eastAsia="標楷體" w:hAnsi="標楷體" w:hint="eastAsia"/>
                <w:szCs w:val="24"/>
              </w:rPr>
              <w:t>計畫</w:t>
            </w:r>
          </w:p>
          <w:p w14:paraId="07430BD6" w14:textId="7128313B" w:rsidR="00AA61F4" w:rsidRPr="002C0DFB" w:rsidRDefault="00AA61F4" w:rsidP="00FA365D">
            <w:pPr>
              <w:spacing w:line="360" w:lineRule="exact"/>
              <w:rPr>
                <w:rFonts w:ascii="標楷體" w:eastAsia="標楷體" w:hAnsi="標楷體"/>
                <w:szCs w:val="24"/>
              </w:rPr>
            </w:pPr>
            <w:r w:rsidRPr="002C0DFB">
              <w:rPr>
                <w:rFonts w:ascii="標楷體" w:eastAsia="標楷體" w:hAnsi="標楷體" w:hint="eastAsia"/>
                <w:szCs w:val="24"/>
              </w:rPr>
              <w:t>名稱</w:t>
            </w:r>
          </w:p>
        </w:tc>
        <w:tc>
          <w:tcPr>
            <w:tcW w:w="7371" w:type="dxa"/>
            <w:gridSpan w:val="2"/>
            <w:shd w:val="clear" w:color="auto" w:fill="E7E6E6" w:themeFill="background2"/>
            <w:vAlign w:val="center"/>
          </w:tcPr>
          <w:p w14:paraId="07C0E55D" w14:textId="22528876" w:rsidR="00AA61F4" w:rsidRPr="002C0DFB" w:rsidRDefault="00AA61F4" w:rsidP="00FA365D">
            <w:pPr>
              <w:spacing w:line="360" w:lineRule="exact"/>
              <w:jc w:val="center"/>
              <w:rPr>
                <w:rFonts w:ascii="標楷體" w:eastAsia="標楷體" w:hAnsi="標楷體"/>
                <w:szCs w:val="24"/>
              </w:rPr>
            </w:pPr>
            <w:r w:rsidRPr="002C0DFB">
              <w:rPr>
                <w:rFonts w:ascii="標楷體" w:eastAsia="標楷體" w:hAnsi="標楷體" w:hint="eastAsia"/>
                <w:szCs w:val="24"/>
              </w:rPr>
              <w:t>評核結果(公告全球資訊網)</w:t>
            </w:r>
          </w:p>
        </w:tc>
      </w:tr>
      <w:tr w:rsidR="00AA61F4" w:rsidRPr="002C0DFB" w14:paraId="792FB0C1" w14:textId="77777777" w:rsidTr="00AA61F4">
        <w:trPr>
          <w:trHeight w:val="837"/>
          <w:tblHeader/>
        </w:trPr>
        <w:tc>
          <w:tcPr>
            <w:tcW w:w="425" w:type="dxa"/>
            <w:vMerge/>
            <w:shd w:val="clear" w:color="auto" w:fill="E7E6E6" w:themeFill="background2"/>
            <w:vAlign w:val="center"/>
          </w:tcPr>
          <w:p w14:paraId="432D17FE" w14:textId="77777777" w:rsidR="00AA61F4" w:rsidRPr="002C0DFB" w:rsidRDefault="00AA61F4" w:rsidP="00FA365D">
            <w:pPr>
              <w:spacing w:line="360" w:lineRule="exact"/>
              <w:rPr>
                <w:rFonts w:ascii="標楷體" w:eastAsia="標楷體" w:hAnsi="標楷體"/>
                <w:szCs w:val="24"/>
              </w:rPr>
            </w:pPr>
          </w:p>
        </w:tc>
        <w:tc>
          <w:tcPr>
            <w:tcW w:w="568" w:type="dxa"/>
            <w:vMerge/>
            <w:shd w:val="clear" w:color="auto" w:fill="E7E6E6" w:themeFill="background2"/>
            <w:vAlign w:val="center"/>
          </w:tcPr>
          <w:p w14:paraId="33FE51B4" w14:textId="77777777" w:rsidR="00AA61F4" w:rsidRPr="002C0DFB" w:rsidRDefault="00AA61F4" w:rsidP="00FA365D">
            <w:pPr>
              <w:spacing w:line="360" w:lineRule="exact"/>
              <w:rPr>
                <w:rFonts w:ascii="標楷體" w:eastAsia="標楷體" w:hAnsi="標楷體"/>
                <w:szCs w:val="24"/>
              </w:rPr>
            </w:pPr>
          </w:p>
        </w:tc>
        <w:tc>
          <w:tcPr>
            <w:tcW w:w="851" w:type="dxa"/>
            <w:vMerge/>
            <w:shd w:val="clear" w:color="auto" w:fill="E7E6E6" w:themeFill="background2"/>
            <w:vAlign w:val="center"/>
          </w:tcPr>
          <w:p w14:paraId="3E91257B" w14:textId="77777777" w:rsidR="00AA61F4" w:rsidRPr="002C0DFB" w:rsidRDefault="00AA61F4" w:rsidP="00FA365D">
            <w:pPr>
              <w:spacing w:line="360" w:lineRule="exact"/>
              <w:rPr>
                <w:rFonts w:ascii="標楷體" w:eastAsia="標楷體" w:hAnsi="標楷體"/>
                <w:szCs w:val="24"/>
              </w:rPr>
            </w:pPr>
          </w:p>
        </w:tc>
        <w:tc>
          <w:tcPr>
            <w:tcW w:w="850" w:type="dxa"/>
            <w:shd w:val="clear" w:color="auto" w:fill="E7E6E6" w:themeFill="background2"/>
            <w:vAlign w:val="center"/>
          </w:tcPr>
          <w:p w14:paraId="14552536" w14:textId="2F4F85B8" w:rsidR="00AA61F4" w:rsidRPr="002C0DFB" w:rsidRDefault="00AA61F4" w:rsidP="00FA365D">
            <w:pPr>
              <w:spacing w:line="360" w:lineRule="exact"/>
              <w:jc w:val="center"/>
              <w:rPr>
                <w:rFonts w:ascii="標楷體" w:eastAsia="標楷體" w:hAnsi="標楷體"/>
                <w:szCs w:val="24"/>
              </w:rPr>
            </w:pPr>
            <w:r w:rsidRPr="002C0DFB">
              <w:rPr>
                <w:rFonts w:ascii="標楷體" w:eastAsia="標楷體" w:hAnsi="標楷體" w:hint="eastAsia"/>
                <w:szCs w:val="24"/>
              </w:rPr>
              <w:t>等第</w:t>
            </w:r>
          </w:p>
        </w:tc>
        <w:tc>
          <w:tcPr>
            <w:tcW w:w="6521" w:type="dxa"/>
            <w:shd w:val="clear" w:color="auto" w:fill="E7E6E6" w:themeFill="background2"/>
            <w:vAlign w:val="center"/>
          </w:tcPr>
          <w:p w14:paraId="218151E6" w14:textId="5B06BC0B" w:rsidR="00AA61F4" w:rsidRPr="002C0DFB" w:rsidRDefault="00AA61F4" w:rsidP="00FA365D">
            <w:pPr>
              <w:spacing w:line="360" w:lineRule="exact"/>
              <w:jc w:val="center"/>
              <w:rPr>
                <w:rFonts w:ascii="標楷體" w:eastAsia="標楷體" w:hAnsi="標楷體"/>
                <w:szCs w:val="24"/>
              </w:rPr>
            </w:pPr>
            <w:r w:rsidRPr="002C0DFB">
              <w:rPr>
                <w:rFonts w:ascii="標楷體" w:eastAsia="標楷體" w:hAnsi="標楷體" w:hint="eastAsia"/>
                <w:szCs w:val="24"/>
              </w:rPr>
              <w:t>評核意見</w:t>
            </w:r>
          </w:p>
        </w:tc>
      </w:tr>
      <w:tr w:rsidR="00AA61F4" w:rsidRPr="002C0DFB" w14:paraId="4368FA25" w14:textId="77777777" w:rsidTr="00AA61F4">
        <w:trPr>
          <w:trHeight w:val="437"/>
        </w:trPr>
        <w:tc>
          <w:tcPr>
            <w:tcW w:w="425" w:type="dxa"/>
          </w:tcPr>
          <w:p w14:paraId="359CD1E7" w14:textId="23023A43"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cs="Arial" w:hint="eastAsia"/>
                <w:kern w:val="0"/>
                <w:szCs w:val="24"/>
              </w:rPr>
              <w:t>1</w:t>
            </w:r>
          </w:p>
        </w:tc>
        <w:tc>
          <w:tcPr>
            <w:tcW w:w="568" w:type="dxa"/>
          </w:tcPr>
          <w:p w14:paraId="5C2D5313" w14:textId="3F77D843" w:rsidR="00AA61F4" w:rsidRPr="002C0DFB" w:rsidRDefault="00AA61F4" w:rsidP="00561757">
            <w:pPr>
              <w:widowControl/>
              <w:spacing w:line="400" w:lineRule="exact"/>
              <w:rPr>
                <w:rFonts w:ascii="標楷體" w:eastAsia="標楷體" w:hAnsi="標楷體" w:cs="Arial"/>
                <w:kern w:val="0"/>
                <w:szCs w:val="24"/>
              </w:rPr>
            </w:pPr>
            <w:r w:rsidRPr="002C0DFB">
              <w:rPr>
                <w:rFonts w:ascii="標楷體" w:eastAsia="標楷體" w:hAnsi="標楷體" w:cs="Arial" w:hint="eastAsia"/>
                <w:kern w:val="0"/>
                <w:szCs w:val="24"/>
              </w:rPr>
              <w:t>綜</w:t>
            </w:r>
            <w:proofErr w:type="gramStart"/>
            <w:r w:rsidRPr="002C0DFB">
              <w:rPr>
                <w:rFonts w:ascii="標楷體" w:eastAsia="標楷體" w:hAnsi="標楷體" w:cs="Arial" w:hint="eastAsia"/>
                <w:kern w:val="0"/>
                <w:szCs w:val="24"/>
              </w:rPr>
              <w:t>規</w:t>
            </w:r>
            <w:proofErr w:type="gramEnd"/>
            <w:r w:rsidRPr="002C0DFB">
              <w:rPr>
                <w:rFonts w:ascii="標楷體" w:eastAsia="標楷體" w:hAnsi="標楷體" w:cs="Arial" w:hint="eastAsia"/>
                <w:kern w:val="0"/>
                <w:szCs w:val="24"/>
              </w:rPr>
              <w:t>處</w:t>
            </w:r>
          </w:p>
        </w:tc>
        <w:tc>
          <w:tcPr>
            <w:tcW w:w="851" w:type="dxa"/>
          </w:tcPr>
          <w:p w14:paraId="51D8D6AB" w14:textId="5103946A" w:rsidR="00AA61F4" w:rsidRPr="002C0DFB" w:rsidRDefault="00AA61F4" w:rsidP="00561757">
            <w:pPr>
              <w:widowControl/>
              <w:spacing w:line="400" w:lineRule="exact"/>
              <w:jc w:val="both"/>
              <w:rPr>
                <w:rFonts w:ascii="標楷體" w:eastAsia="標楷體" w:hAnsi="標楷體" w:cs="Arial"/>
                <w:kern w:val="0"/>
                <w:szCs w:val="24"/>
              </w:rPr>
            </w:pPr>
            <w:r w:rsidRPr="002C0DFB">
              <w:rPr>
                <w:rFonts w:ascii="標楷體" w:eastAsia="標楷體" w:hAnsi="標楷體" w:cs="Arial" w:hint="eastAsia"/>
                <w:kern w:val="0"/>
                <w:szCs w:val="24"/>
              </w:rPr>
              <w:t>2030雙語政策計畫</w:t>
            </w:r>
          </w:p>
        </w:tc>
        <w:tc>
          <w:tcPr>
            <w:tcW w:w="850" w:type="dxa"/>
            <w:shd w:val="clear" w:color="auto" w:fill="FFFFFF" w:themeFill="background1"/>
          </w:tcPr>
          <w:p w14:paraId="31E71400" w14:textId="56D7D420"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hint="eastAsia"/>
                <w:szCs w:val="24"/>
              </w:rPr>
              <w:t>甲</w:t>
            </w:r>
          </w:p>
        </w:tc>
        <w:tc>
          <w:tcPr>
            <w:tcW w:w="6521" w:type="dxa"/>
          </w:tcPr>
          <w:p w14:paraId="24CD8739" w14:textId="5FB5BC49" w:rsidR="00AA61F4" w:rsidRPr="002C0DFB" w:rsidRDefault="00AA61F4" w:rsidP="00724C9A">
            <w:pPr>
              <w:pStyle w:val="a4"/>
              <w:numPr>
                <w:ilvl w:val="0"/>
                <w:numId w:val="4"/>
              </w:numPr>
              <w:spacing w:line="440" w:lineRule="exact"/>
              <w:ind w:leftChars="0" w:left="465" w:hanging="567"/>
              <w:jc w:val="both"/>
              <w:rPr>
                <w:rFonts w:ascii="標楷體" w:eastAsia="標楷體" w:hAnsi="標楷體"/>
                <w:szCs w:val="24"/>
              </w:rPr>
            </w:pPr>
            <w:r w:rsidRPr="002C0DFB">
              <w:rPr>
                <w:rFonts w:ascii="標楷體" w:eastAsia="標楷體" w:hAnsi="標楷體" w:hint="eastAsia"/>
                <w:szCs w:val="24"/>
              </w:rPr>
              <w:t>本計畫</w:t>
            </w:r>
            <w:proofErr w:type="gramStart"/>
            <w:r w:rsidRPr="002C0DFB">
              <w:rPr>
                <w:rFonts w:ascii="標楷體" w:eastAsia="標楷體" w:hAnsi="標楷體" w:hint="eastAsia"/>
                <w:szCs w:val="24"/>
              </w:rPr>
              <w:t>112</w:t>
            </w:r>
            <w:proofErr w:type="gramEnd"/>
            <w:r w:rsidRPr="002C0DFB">
              <w:rPr>
                <w:rFonts w:ascii="標楷體" w:eastAsia="標楷體" w:hAnsi="標楷體" w:hint="eastAsia"/>
                <w:szCs w:val="24"/>
              </w:rPr>
              <w:t>年度「打造高等教育雙語教學環境」、「推動高中以下學校運用英語進行多領域學習」、「</w:t>
            </w:r>
            <w:proofErr w:type="gramStart"/>
            <w:r w:rsidRPr="002C0DFB">
              <w:rPr>
                <w:rFonts w:ascii="標楷體" w:eastAsia="標楷體" w:hAnsi="標楷體" w:hint="eastAsia"/>
                <w:szCs w:val="24"/>
              </w:rPr>
              <w:t>擴增雙語</w:t>
            </w:r>
            <w:proofErr w:type="gramEnd"/>
            <w:r w:rsidRPr="002C0DFB">
              <w:rPr>
                <w:rFonts w:ascii="標楷體" w:eastAsia="標楷體" w:hAnsi="標楷體" w:hint="eastAsia"/>
                <w:szCs w:val="24"/>
              </w:rPr>
              <w:t>教學師資」、「</w:t>
            </w:r>
            <w:proofErr w:type="gramStart"/>
            <w:r w:rsidRPr="002C0DFB">
              <w:rPr>
                <w:rFonts w:ascii="標楷體" w:eastAsia="標楷體" w:hAnsi="標楷體" w:hint="eastAsia"/>
                <w:szCs w:val="24"/>
              </w:rPr>
              <w:t>製播雙語</w:t>
            </w:r>
            <w:proofErr w:type="gramEnd"/>
            <w:r w:rsidRPr="002C0DFB">
              <w:rPr>
                <w:rFonts w:ascii="標楷體" w:eastAsia="標楷體" w:hAnsi="標楷體" w:hint="eastAsia"/>
                <w:szCs w:val="24"/>
              </w:rPr>
              <w:t>廣播節目方面」、「推動國際</w:t>
            </w:r>
            <w:proofErr w:type="gramStart"/>
            <w:r w:rsidRPr="002C0DFB">
              <w:rPr>
                <w:rFonts w:ascii="標楷體" w:eastAsia="標楷體" w:hAnsi="標楷體" w:hint="eastAsia"/>
                <w:szCs w:val="24"/>
              </w:rPr>
              <w:t>數位學伴扎根</w:t>
            </w:r>
            <w:proofErr w:type="gramEnd"/>
            <w:r w:rsidRPr="002C0DFB">
              <w:rPr>
                <w:rFonts w:ascii="標楷體" w:eastAsia="標楷體" w:hAnsi="標楷體" w:hint="eastAsia"/>
                <w:szCs w:val="24"/>
              </w:rPr>
              <w:t>雙語教學人才培育」及「辦理公務雙語活動」等6項年度目標皆如預期達成，其中與 ICRT合作英語時事主題觸及787萬人次，優化雙語資源網超過238萬人使用，製作優質英語數位課程於8萬7,000人次選讀，招募1,712名外籍英語教學人員等皆在推動雙語政策上展現良好成果。</w:t>
            </w:r>
          </w:p>
          <w:p w14:paraId="2C4DE578" w14:textId="28E3D7C4" w:rsidR="00AA61F4" w:rsidRPr="002C0DFB" w:rsidRDefault="00AA61F4" w:rsidP="00724C9A">
            <w:pPr>
              <w:pStyle w:val="a4"/>
              <w:numPr>
                <w:ilvl w:val="0"/>
                <w:numId w:val="4"/>
              </w:numPr>
              <w:spacing w:line="440" w:lineRule="exact"/>
              <w:ind w:leftChars="0" w:left="465" w:hanging="567"/>
              <w:jc w:val="both"/>
              <w:rPr>
                <w:rFonts w:ascii="標楷體" w:eastAsia="標楷體" w:hAnsi="標楷體"/>
                <w:szCs w:val="24"/>
              </w:rPr>
            </w:pPr>
            <w:r w:rsidRPr="002C0DFB">
              <w:rPr>
                <w:rFonts w:ascii="標楷體" w:eastAsia="標楷體" w:hAnsi="標楷體" w:hint="eastAsia"/>
                <w:szCs w:val="24"/>
              </w:rPr>
              <w:t>另有關雙語政策之「行政法人設置條例草案」，雖於112年5月立法院司法及法制委員會完成審查報告，惟因屆期</w:t>
            </w:r>
            <w:proofErr w:type="gramStart"/>
            <w:r w:rsidRPr="002C0DFB">
              <w:rPr>
                <w:rFonts w:ascii="標楷體" w:eastAsia="標楷體" w:hAnsi="標楷體" w:hint="eastAsia"/>
                <w:szCs w:val="24"/>
              </w:rPr>
              <w:t>不</w:t>
            </w:r>
            <w:proofErr w:type="gramEnd"/>
            <w:r w:rsidRPr="002C0DFB">
              <w:rPr>
                <w:rFonts w:ascii="標楷體" w:eastAsia="標楷體" w:hAnsi="標楷體" w:hint="eastAsia"/>
                <w:szCs w:val="24"/>
              </w:rPr>
              <w:t>續審，請綜</w:t>
            </w:r>
            <w:proofErr w:type="gramStart"/>
            <w:r w:rsidRPr="002C0DFB">
              <w:rPr>
                <w:rFonts w:ascii="標楷體" w:eastAsia="標楷體" w:hAnsi="標楷體" w:hint="eastAsia"/>
                <w:szCs w:val="24"/>
              </w:rPr>
              <w:t>規</w:t>
            </w:r>
            <w:proofErr w:type="gramEnd"/>
            <w:r w:rsidRPr="002C0DFB">
              <w:rPr>
                <w:rFonts w:ascii="標楷體" w:eastAsia="標楷體" w:hAnsi="標楷體" w:hint="eastAsia"/>
                <w:szCs w:val="24"/>
              </w:rPr>
              <w:t>處</w:t>
            </w:r>
            <w:proofErr w:type="gramStart"/>
            <w:r w:rsidRPr="002C0DFB">
              <w:rPr>
                <w:rFonts w:ascii="標楷體" w:eastAsia="標楷體" w:hAnsi="標楷體" w:hint="eastAsia"/>
                <w:szCs w:val="24"/>
              </w:rPr>
              <w:t>研</w:t>
            </w:r>
            <w:proofErr w:type="gramEnd"/>
            <w:r w:rsidRPr="002C0DFB">
              <w:rPr>
                <w:rFonts w:ascii="標楷體" w:eastAsia="標楷體" w:hAnsi="標楷體" w:hint="eastAsia"/>
                <w:szCs w:val="24"/>
              </w:rPr>
              <w:t>議後續處理方式。</w:t>
            </w:r>
          </w:p>
        </w:tc>
      </w:tr>
      <w:tr w:rsidR="00AA61F4" w:rsidRPr="002C0DFB" w14:paraId="13C995E1" w14:textId="77777777" w:rsidTr="00AA61F4">
        <w:trPr>
          <w:trHeight w:val="437"/>
        </w:trPr>
        <w:tc>
          <w:tcPr>
            <w:tcW w:w="425" w:type="dxa"/>
          </w:tcPr>
          <w:p w14:paraId="72DEB6A2" w14:textId="11618F56"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cs="Arial"/>
                <w:kern w:val="0"/>
                <w:szCs w:val="24"/>
              </w:rPr>
              <w:t>2</w:t>
            </w:r>
          </w:p>
        </w:tc>
        <w:tc>
          <w:tcPr>
            <w:tcW w:w="568" w:type="dxa"/>
          </w:tcPr>
          <w:p w14:paraId="65116B0C" w14:textId="66C48E23" w:rsidR="00AA61F4" w:rsidRPr="002C0DFB" w:rsidRDefault="00AA61F4" w:rsidP="00561757">
            <w:pPr>
              <w:widowControl/>
              <w:spacing w:line="400" w:lineRule="exact"/>
              <w:rPr>
                <w:rFonts w:ascii="標楷體" w:eastAsia="標楷體" w:hAnsi="標楷體" w:cs="Arial"/>
                <w:kern w:val="0"/>
                <w:szCs w:val="24"/>
              </w:rPr>
            </w:pPr>
            <w:r w:rsidRPr="002C0DFB">
              <w:rPr>
                <w:rFonts w:ascii="標楷體" w:eastAsia="標楷體" w:hAnsi="標楷體" w:cs="Arial" w:hint="eastAsia"/>
                <w:kern w:val="0"/>
                <w:szCs w:val="24"/>
              </w:rPr>
              <w:t>綜</w:t>
            </w:r>
            <w:proofErr w:type="gramStart"/>
            <w:r w:rsidRPr="002C0DFB">
              <w:rPr>
                <w:rFonts w:ascii="標楷體" w:eastAsia="標楷體" w:hAnsi="標楷體" w:cs="Arial" w:hint="eastAsia"/>
                <w:kern w:val="0"/>
                <w:szCs w:val="24"/>
              </w:rPr>
              <w:t>規</w:t>
            </w:r>
            <w:proofErr w:type="gramEnd"/>
            <w:r w:rsidRPr="002C0DFB">
              <w:rPr>
                <w:rFonts w:ascii="標楷體" w:eastAsia="標楷體" w:hAnsi="標楷體" w:cs="Arial" w:hint="eastAsia"/>
                <w:kern w:val="0"/>
                <w:szCs w:val="24"/>
              </w:rPr>
              <w:t>處</w:t>
            </w:r>
          </w:p>
        </w:tc>
        <w:tc>
          <w:tcPr>
            <w:tcW w:w="851" w:type="dxa"/>
          </w:tcPr>
          <w:p w14:paraId="6844917C" w14:textId="1D8DC1E3" w:rsidR="00AA61F4" w:rsidRPr="002C0DFB" w:rsidRDefault="00AA61F4" w:rsidP="00561757">
            <w:pPr>
              <w:widowControl/>
              <w:spacing w:line="400" w:lineRule="exact"/>
              <w:jc w:val="both"/>
              <w:rPr>
                <w:rFonts w:ascii="標楷體" w:eastAsia="標楷體" w:hAnsi="標楷體" w:cs="Arial"/>
                <w:kern w:val="0"/>
                <w:szCs w:val="24"/>
              </w:rPr>
            </w:pPr>
            <w:proofErr w:type="gramStart"/>
            <w:r w:rsidRPr="002C0DFB">
              <w:rPr>
                <w:rFonts w:ascii="標楷體" w:eastAsia="標楷體" w:hAnsi="標楷體" w:cs="Arial" w:hint="eastAsia"/>
                <w:kern w:val="0"/>
                <w:szCs w:val="24"/>
              </w:rPr>
              <w:t>淨零公正</w:t>
            </w:r>
            <w:proofErr w:type="gramEnd"/>
            <w:r w:rsidRPr="002C0DFB">
              <w:rPr>
                <w:rFonts w:ascii="標楷體" w:eastAsia="標楷體" w:hAnsi="標楷體" w:cs="Arial" w:hint="eastAsia"/>
                <w:kern w:val="0"/>
                <w:szCs w:val="24"/>
              </w:rPr>
              <w:t>轉型關鍵戰略推動計畫</w:t>
            </w:r>
          </w:p>
        </w:tc>
        <w:tc>
          <w:tcPr>
            <w:tcW w:w="850" w:type="dxa"/>
            <w:shd w:val="clear" w:color="auto" w:fill="FFFFFF" w:themeFill="background1"/>
          </w:tcPr>
          <w:p w14:paraId="31800EDA" w14:textId="5A4CA459" w:rsidR="00AA61F4" w:rsidRPr="002C0DFB" w:rsidRDefault="00AA61F4" w:rsidP="00561757">
            <w:pPr>
              <w:widowControl/>
              <w:spacing w:line="400" w:lineRule="exact"/>
              <w:jc w:val="center"/>
              <w:rPr>
                <w:rFonts w:ascii="標楷體" w:eastAsia="標楷體" w:hAnsi="標楷體"/>
                <w:szCs w:val="24"/>
              </w:rPr>
            </w:pPr>
            <w:r w:rsidRPr="002C0DFB">
              <w:rPr>
                <w:rFonts w:ascii="標楷體" w:eastAsia="標楷體" w:hAnsi="標楷體" w:hint="eastAsia"/>
                <w:szCs w:val="24"/>
              </w:rPr>
              <w:t>乙</w:t>
            </w:r>
          </w:p>
        </w:tc>
        <w:tc>
          <w:tcPr>
            <w:tcW w:w="6521" w:type="dxa"/>
          </w:tcPr>
          <w:p w14:paraId="29561D88" w14:textId="530E6495" w:rsidR="00AA61F4" w:rsidRPr="002C0DFB" w:rsidRDefault="00AA61F4" w:rsidP="00724C9A">
            <w:pPr>
              <w:pStyle w:val="a4"/>
              <w:numPr>
                <w:ilvl w:val="0"/>
                <w:numId w:val="2"/>
              </w:numPr>
              <w:spacing w:line="440" w:lineRule="exact"/>
              <w:ind w:leftChars="0" w:left="602" w:hanging="622"/>
              <w:jc w:val="both"/>
              <w:rPr>
                <w:rFonts w:ascii="標楷體" w:eastAsia="標楷體" w:hAnsi="標楷體"/>
                <w:szCs w:val="24"/>
              </w:rPr>
            </w:pPr>
            <w:r w:rsidRPr="002C0DFB">
              <w:rPr>
                <w:rFonts w:ascii="標楷體" w:eastAsia="標楷體" w:hAnsi="標楷體" w:hint="eastAsia"/>
                <w:szCs w:val="24"/>
              </w:rPr>
              <w:t>本計畫</w:t>
            </w:r>
            <w:proofErr w:type="gramStart"/>
            <w:r w:rsidRPr="002C0DFB">
              <w:rPr>
                <w:rFonts w:ascii="標楷體" w:eastAsia="標楷體" w:hAnsi="標楷體" w:hint="eastAsia"/>
                <w:szCs w:val="24"/>
              </w:rPr>
              <w:t>112</w:t>
            </w:r>
            <w:proofErr w:type="gramEnd"/>
            <w:r w:rsidRPr="002C0DFB">
              <w:rPr>
                <w:rFonts w:ascii="標楷體" w:eastAsia="標楷體" w:hAnsi="標楷體" w:hint="eastAsia"/>
                <w:szCs w:val="24"/>
              </w:rPr>
              <w:t>年度為新興計畫，相關議題-「</w:t>
            </w:r>
            <w:proofErr w:type="gramStart"/>
            <w:r w:rsidRPr="002C0DFB">
              <w:rPr>
                <w:rFonts w:ascii="標楷體" w:eastAsia="標楷體" w:hAnsi="標楷體" w:hint="eastAsia"/>
                <w:szCs w:val="24"/>
              </w:rPr>
              <w:t>淨零公正</w:t>
            </w:r>
            <w:proofErr w:type="gramEnd"/>
            <w:r w:rsidRPr="002C0DFB">
              <w:rPr>
                <w:rFonts w:ascii="標楷體" w:eastAsia="標楷體" w:hAnsi="標楷體" w:hint="eastAsia"/>
                <w:szCs w:val="24"/>
              </w:rPr>
              <w:t>轉型」對於國內各界而言較為陌生，屬於新課題，因無前例和既有政策經驗，在計畫推動及採購招標有其困難度及挑戰性，致經費執行未如預期。</w:t>
            </w:r>
          </w:p>
          <w:p w14:paraId="32A4CD49" w14:textId="77777777" w:rsidR="00AA61F4" w:rsidRPr="002C0DFB" w:rsidRDefault="00AA61F4" w:rsidP="00724C9A">
            <w:pPr>
              <w:pStyle w:val="a4"/>
              <w:numPr>
                <w:ilvl w:val="0"/>
                <w:numId w:val="2"/>
              </w:numPr>
              <w:spacing w:line="440" w:lineRule="exact"/>
              <w:ind w:leftChars="0" w:left="602" w:hanging="622"/>
              <w:jc w:val="both"/>
              <w:rPr>
                <w:rFonts w:ascii="標楷體" w:eastAsia="標楷體" w:hAnsi="標楷體"/>
                <w:szCs w:val="24"/>
              </w:rPr>
            </w:pPr>
            <w:r w:rsidRPr="002C0DFB">
              <w:rPr>
                <w:rFonts w:ascii="標楷體" w:eastAsia="標楷體" w:hAnsi="標楷體" w:hint="eastAsia"/>
                <w:szCs w:val="24"/>
              </w:rPr>
              <w:t>為促進轉型過程中相關產業、區域、勞工以及民生面向合作的公私協力，期待實現「</w:t>
            </w:r>
            <w:proofErr w:type="gramStart"/>
            <w:r w:rsidRPr="002C0DFB">
              <w:rPr>
                <w:rFonts w:ascii="標楷體" w:eastAsia="標楷體" w:hAnsi="標楷體" w:hint="eastAsia"/>
                <w:szCs w:val="24"/>
              </w:rPr>
              <w:t>不</w:t>
            </w:r>
            <w:proofErr w:type="gramEnd"/>
            <w:r w:rsidRPr="002C0DFB">
              <w:rPr>
                <w:rFonts w:ascii="標楷體" w:eastAsia="標楷體" w:hAnsi="標楷體" w:hint="eastAsia"/>
                <w:szCs w:val="24"/>
              </w:rPr>
              <w:t>遺落任何人」公正轉型目標，公正轉型主流化涉及整體戰略到落地案例等多元層次說明，可</w:t>
            </w:r>
            <w:proofErr w:type="gramStart"/>
            <w:r w:rsidRPr="002C0DFB">
              <w:rPr>
                <w:rFonts w:ascii="標楷體" w:eastAsia="標楷體" w:hAnsi="標楷體" w:hint="eastAsia"/>
                <w:szCs w:val="24"/>
              </w:rPr>
              <w:t>採</w:t>
            </w:r>
            <w:proofErr w:type="gramEnd"/>
            <w:r w:rsidRPr="002C0DFB">
              <w:rPr>
                <w:rFonts w:ascii="標楷體" w:eastAsia="標楷體" w:hAnsi="標楷體" w:hint="eastAsia"/>
                <w:szCs w:val="24"/>
              </w:rPr>
              <w:t>彙編主流化說明資料等多元方式推動，</w:t>
            </w:r>
            <w:proofErr w:type="gramStart"/>
            <w:r w:rsidRPr="002C0DFB">
              <w:rPr>
                <w:rFonts w:ascii="標楷體" w:eastAsia="標楷體" w:hAnsi="標楷體" w:hint="eastAsia"/>
                <w:szCs w:val="24"/>
              </w:rPr>
              <w:t>俾</w:t>
            </w:r>
            <w:proofErr w:type="gramEnd"/>
            <w:r w:rsidRPr="002C0DFB">
              <w:rPr>
                <w:rFonts w:ascii="標楷體" w:eastAsia="標楷體" w:hAnsi="標楷體" w:hint="eastAsia"/>
                <w:szCs w:val="24"/>
              </w:rPr>
              <w:t>擴大辦理成效。</w:t>
            </w:r>
          </w:p>
          <w:p w14:paraId="18C68ADA" w14:textId="0171AE1A" w:rsidR="00AA61F4" w:rsidRPr="002C0DFB" w:rsidRDefault="00AA61F4" w:rsidP="00724C9A">
            <w:pPr>
              <w:pStyle w:val="a4"/>
              <w:numPr>
                <w:ilvl w:val="0"/>
                <w:numId w:val="2"/>
              </w:numPr>
              <w:spacing w:line="440" w:lineRule="exact"/>
              <w:ind w:leftChars="0" w:left="602" w:hanging="622"/>
              <w:jc w:val="both"/>
              <w:rPr>
                <w:rFonts w:ascii="標楷體" w:eastAsia="標楷體" w:hAnsi="標楷體"/>
                <w:szCs w:val="24"/>
              </w:rPr>
            </w:pPr>
            <w:r w:rsidRPr="002C0DFB">
              <w:rPr>
                <w:rFonts w:ascii="標楷體" w:eastAsia="標楷體" w:hAnsi="標楷體" w:hint="eastAsia"/>
                <w:szCs w:val="24"/>
              </w:rPr>
              <w:t>本計畫</w:t>
            </w:r>
            <w:proofErr w:type="gramStart"/>
            <w:r w:rsidRPr="002C0DFB">
              <w:rPr>
                <w:rFonts w:ascii="標楷體" w:eastAsia="標楷體" w:hAnsi="標楷體" w:hint="eastAsia"/>
                <w:szCs w:val="24"/>
              </w:rPr>
              <w:t>112</w:t>
            </w:r>
            <w:proofErr w:type="gramEnd"/>
            <w:r w:rsidRPr="002C0DFB">
              <w:rPr>
                <w:rFonts w:ascii="標楷體" w:eastAsia="標楷體" w:hAnsi="標楷體" w:hint="eastAsia"/>
                <w:szCs w:val="24"/>
              </w:rPr>
              <w:t>年度4項年度目標「完善公正轉型推動機制」「擴大公民參與</w:t>
            </w:r>
            <w:proofErr w:type="gramStart"/>
            <w:r w:rsidRPr="002C0DFB">
              <w:rPr>
                <w:rFonts w:ascii="標楷體" w:eastAsia="標楷體" w:hAnsi="標楷體" w:hint="eastAsia"/>
                <w:szCs w:val="24"/>
              </w:rPr>
              <w:t>與</w:t>
            </w:r>
            <w:proofErr w:type="gramEnd"/>
            <w:r w:rsidRPr="002C0DFB">
              <w:rPr>
                <w:rFonts w:ascii="標楷體" w:eastAsia="標楷體" w:hAnsi="標楷體" w:hint="eastAsia"/>
                <w:szCs w:val="24"/>
              </w:rPr>
              <w:t>加強社會溝通」、「厚植公正轉型政策實證基礎」及「增進社會大眾</w:t>
            </w:r>
            <w:proofErr w:type="gramStart"/>
            <w:r w:rsidRPr="002C0DFB">
              <w:rPr>
                <w:rFonts w:ascii="標楷體" w:eastAsia="標楷體" w:hAnsi="標楷體" w:hint="eastAsia"/>
                <w:szCs w:val="24"/>
              </w:rPr>
              <w:t>對淨零</w:t>
            </w:r>
            <w:proofErr w:type="gramEnd"/>
            <w:r w:rsidRPr="002C0DFB">
              <w:rPr>
                <w:rFonts w:ascii="標楷體" w:eastAsia="標楷體" w:hAnsi="標楷體" w:hint="eastAsia"/>
                <w:szCs w:val="24"/>
              </w:rPr>
              <w:t>轉型的認知」，屬跨年度工作項目，</w:t>
            </w:r>
            <w:proofErr w:type="gramStart"/>
            <w:r w:rsidRPr="002C0DFB">
              <w:rPr>
                <w:rFonts w:ascii="標楷體" w:eastAsia="標楷體" w:hAnsi="標楷體" w:hint="eastAsia"/>
                <w:szCs w:val="24"/>
              </w:rPr>
              <w:t>112</w:t>
            </w:r>
            <w:proofErr w:type="gramEnd"/>
            <w:r w:rsidRPr="002C0DFB">
              <w:rPr>
                <w:rFonts w:ascii="標楷體" w:eastAsia="標楷體" w:hAnsi="標楷體" w:hint="eastAsia"/>
                <w:szCs w:val="24"/>
              </w:rPr>
              <w:t>年度對於與利害關係人和社會溝通應具有一定成效，後續請主辦單位掌握各階段工作</w:t>
            </w:r>
            <w:r w:rsidRPr="002C0DFB">
              <w:rPr>
                <w:rFonts w:ascii="標楷體" w:eastAsia="標楷體" w:hAnsi="標楷體" w:hint="eastAsia"/>
                <w:szCs w:val="24"/>
              </w:rPr>
              <w:lastRenderedPageBreak/>
              <w:t>里程碑，以順利推動計畫執行。</w:t>
            </w:r>
          </w:p>
        </w:tc>
      </w:tr>
      <w:tr w:rsidR="00AA61F4" w:rsidRPr="002C0DFB" w14:paraId="35C047A6" w14:textId="77777777" w:rsidTr="00AA61F4">
        <w:trPr>
          <w:trHeight w:val="1553"/>
        </w:trPr>
        <w:tc>
          <w:tcPr>
            <w:tcW w:w="425" w:type="dxa"/>
          </w:tcPr>
          <w:p w14:paraId="68EA9C3F" w14:textId="48DA2828"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cs="Arial" w:hint="eastAsia"/>
                <w:kern w:val="0"/>
                <w:szCs w:val="24"/>
              </w:rPr>
              <w:lastRenderedPageBreak/>
              <w:t>3</w:t>
            </w:r>
          </w:p>
        </w:tc>
        <w:tc>
          <w:tcPr>
            <w:tcW w:w="568" w:type="dxa"/>
          </w:tcPr>
          <w:p w14:paraId="0B791334" w14:textId="5913FFD4" w:rsidR="00AA61F4" w:rsidRPr="002C0DFB" w:rsidRDefault="00AA61F4" w:rsidP="00561757">
            <w:pPr>
              <w:widowControl/>
              <w:spacing w:line="400" w:lineRule="exact"/>
              <w:rPr>
                <w:rFonts w:ascii="標楷體" w:eastAsia="標楷體" w:hAnsi="標楷體" w:cs="Arial"/>
                <w:kern w:val="0"/>
                <w:szCs w:val="24"/>
              </w:rPr>
            </w:pPr>
            <w:r w:rsidRPr="002C0DFB">
              <w:rPr>
                <w:rFonts w:ascii="標楷體" w:eastAsia="標楷體" w:hAnsi="標楷體" w:cs="Arial" w:hint="eastAsia"/>
                <w:kern w:val="0"/>
                <w:szCs w:val="24"/>
              </w:rPr>
              <w:t>產業處</w:t>
            </w:r>
          </w:p>
        </w:tc>
        <w:tc>
          <w:tcPr>
            <w:tcW w:w="851" w:type="dxa"/>
          </w:tcPr>
          <w:p w14:paraId="3EE25E19" w14:textId="0F2EFBD6" w:rsidR="00AA61F4" w:rsidRPr="002C0DFB" w:rsidRDefault="00AA61F4" w:rsidP="00561757">
            <w:pPr>
              <w:widowControl/>
              <w:spacing w:line="400" w:lineRule="exact"/>
              <w:jc w:val="both"/>
              <w:rPr>
                <w:rFonts w:ascii="標楷體" w:eastAsia="標楷體" w:hAnsi="標楷體" w:cs="Arial"/>
                <w:kern w:val="0"/>
                <w:szCs w:val="24"/>
              </w:rPr>
            </w:pPr>
            <w:r w:rsidRPr="002C0DFB">
              <w:rPr>
                <w:rFonts w:ascii="標楷體" w:eastAsia="標楷體" w:hAnsi="標楷體" w:cs="Arial" w:hint="eastAsia"/>
                <w:kern w:val="0"/>
                <w:szCs w:val="24"/>
              </w:rPr>
              <w:t>亞洲．矽谷5G創新應用計畫</w:t>
            </w:r>
          </w:p>
        </w:tc>
        <w:tc>
          <w:tcPr>
            <w:tcW w:w="850" w:type="dxa"/>
            <w:shd w:val="clear" w:color="auto" w:fill="FFFFFF" w:themeFill="background1"/>
          </w:tcPr>
          <w:p w14:paraId="08E06A4A" w14:textId="57F29FFD"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hint="eastAsia"/>
                <w:szCs w:val="24"/>
              </w:rPr>
              <w:t>甲</w:t>
            </w:r>
          </w:p>
        </w:tc>
        <w:tc>
          <w:tcPr>
            <w:tcW w:w="6521" w:type="dxa"/>
          </w:tcPr>
          <w:p w14:paraId="6E10EF4A" w14:textId="38F85FBD" w:rsidR="00AA61F4" w:rsidRPr="002C0DFB" w:rsidRDefault="00AA61F4" w:rsidP="00561757">
            <w:pPr>
              <w:widowControl/>
              <w:spacing w:line="440" w:lineRule="exact"/>
              <w:ind w:left="518" w:hangingChars="216" w:hanging="518"/>
              <w:jc w:val="both"/>
              <w:rPr>
                <w:rFonts w:ascii="標楷體" w:eastAsia="標楷體" w:hAnsi="標楷體"/>
                <w:szCs w:val="24"/>
              </w:rPr>
            </w:pPr>
            <w:r w:rsidRPr="002C0DFB">
              <w:rPr>
                <w:rFonts w:ascii="標楷體" w:eastAsia="標楷體" w:hAnsi="標楷體" w:hint="eastAsia"/>
                <w:szCs w:val="24"/>
              </w:rPr>
              <w:t>一、</w:t>
            </w:r>
            <w:proofErr w:type="gramStart"/>
            <w:r w:rsidRPr="002C0DFB">
              <w:rPr>
                <w:rFonts w:ascii="標楷體" w:eastAsia="標楷體" w:hAnsi="標楷體" w:hint="eastAsia"/>
                <w:szCs w:val="24"/>
              </w:rPr>
              <w:t>112</w:t>
            </w:r>
            <w:proofErr w:type="gramEnd"/>
            <w:r w:rsidRPr="002C0DFB">
              <w:rPr>
                <w:rFonts w:ascii="標楷體" w:eastAsia="標楷體" w:hAnsi="標楷體" w:hint="eastAsia"/>
                <w:szCs w:val="24"/>
              </w:rPr>
              <w:t>年度智慧城鄉計有14家獲審查通過並完成簽約，領域涵蓋智慧交通、智慧教育、智慧治理、智慧健康、智慧製造等，如和</w:t>
            </w:r>
            <w:proofErr w:type="gramStart"/>
            <w:r w:rsidRPr="002C0DFB">
              <w:rPr>
                <w:rFonts w:ascii="標楷體" w:eastAsia="標楷體" w:hAnsi="標楷體" w:hint="eastAsia"/>
                <w:szCs w:val="24"/>
              </w:rPr>
              <w:t>碩將</w:t>
            </w:r>
            <w:proofErr w:type="gramEnd"/>
            <w:r w:rsidRPr="002C0DFB">
              <w:rPr>
                <w:rFonts w:ascii="標楷體" w:eastAsia="標楷體" w:hAnsi="標楷體" w:hint="eastAsia"/>
                <w:szCs w:val="24"/>
              </w:rPr>
              <w:t>5G ORAN專網結合低軌衛星應用於遠洋貨櫃輪船提升船舶數位通訊韌性(全球首創)、中華電信於高雄推動5G</w:t>
            </w:r>
            <w:proofErr w:type="gramStart"/>
            <w:r w:rsidRPr="002C0DFB">
              <w:rPr>
                <w:rFonts w:ascii="標楷體" w:eastAsia="標楷體" w:hAnsi="標楷體" w:hint="eastAsia"/>
                <w:szCs w:val="24"/>
              </w:rPr>
              <w:t>輕軌防碰撞</w:t>
            </w:r>
            <w:proofErr w:type="gramEnd"/>
            <w:r w:rsidRPr="002C0DFB">
              <w:rPr>
                <w:rFonts w:ascii="標楷體" w:eastAsia="標楷體" w:hAnsi="標楷體" w:hint="eastAsia"/>
                <w:szCs w:val="24"/>
              </w:rPr>
              <w:t>服務、台灣固網於</w:t>
            </w:r>
            <w:proofErr w:type="gramStart"/>
            <w:r w:rsidRPr="002C0DFB">
              <w:rPr>
                <w:rFonts w:ascii="標楷體" w:eastAsia="標楷體" w:hAnsi="標楷體" w:hint="eastAsia"/>
                <w:szCs w:val="24"/>
              </w:rPr>
              <w:t>臺</w:t>
            </w:r>
            <w:proofErr w:type="gramEnd"/>
            <w:r w:rsidRPr="002C0DFB">
              <w:rPr>
                <w:rFonts w:ascii="標楷體" w:eastAsia="標楷體" w:hAnsi="標楷體" w:hint="eastAsia"/>
                <w:szCs w:val="24"/>
              </w:rPr>
              <w:t>北松</w:t>
            </w:r>
            <w:proofErr w:type="gramStart"/>
            <w:r w:rsidRPr="002C0DFB">
              <w:rPr>
                <w:rFonts w:ascii="標楷體" w:eastAsia="標楷體" w:hAnsi="標楷體" w:hint="eastAsia"/>
                <w:szCs w:val="24"/>
              </w:rPr>
              <w:t>菸文創</w:t>
            </w:r>
            <w:proofErr w:type="gramEnd"/>
            <w:r w:rsidRPr="002C0DFB">
              <w:rPr>
                <w:rFonts w:ascii="標楷體" w:eastAsia="標楷體" w:hAnsi="標楷體" w:hint="eastAsia"/>
                <w:szCs w:val="24"/>
              </w:rPr>
              <w:t>園區推動5G專網古蹟場域智慧應用整合開發、亞旭電腦於新北、桃園推動5G ORAN專網結合</w:t>
            </w:r>
            <w:proofErr w:type="spellStart"/>
            <w:r w:rsidRPr="002C0DFB">
              <w:rPr>
                <w:rFonts w:ascii="標楷體" w:eastAsia="標楷體" w:hAnsi="標楷體" w:hint="eastAsia"/>
                <w:szCs w:val="24"/>
              </w:rPr>
              <w:t>AIoT</w:t>
            </w:r>
            <w:proofErr w:type="spellEnd"/>
            <w:r w:rsidRPr="002C0DFB">
              <w:rPr>
                <w:rFonts w:ascii="標楷體" w:eastAsia="標楷體" w:hAnsi="標楷體" w:hint="eastAsia"/>
                <w:szCs w:val="24"/>
              </w:rPr>
              <w:t>進行智慧</w:t>
            </w:r>
            <w:proofErr w:type="gramStart"/>
            <w:r w:rsidRPr="002C0DFB">
              <w:rPr>
                <w:rFonts w:ascii="標楷體" w:eastAsia="標楷體" w:hAnsi="標楷體" w:hint="eastAsia"/>
                <w:szCs w:val="24"/>
              </w:rPr>
              <w:t>製造跨場域</w:t>
            </w:r>
            <w:proofErr w:type="gramEnd"/>
            <w:r w:rsidRPr="002C0DFB">
              <w:rPr>
                <w:rFonts w:ascii="標楷體" w:eastAsia="標楷體" w:hAnsi="標楷體" w:hint="eastAsia"/>
                <w:szCs w:val="24"/>
              </w:rPr>
              <w:t>整合應用等，帶動廠商投入至少新臺幣6.48億元；此外迄112年底已發出8張獲國際O-RAN聯盟認證的5G開放網路設備證書，展現臺灣網通產業在5G開放網路關鍵技術自主能力，值得肯定。</w:t>
            </w:r>
          </w:p>
          <w:p w14:paraId="245A42C5" w14:textId="51BC1FD5" w:rsidR="00AA61F4" w:rsidRPr="002C0DFB" w:rsidRDefault="00AA61F4" w:rsidP="00561757">
            <w:pPr>
              <w:widowControl/>
              <w:spacing w:line="440" w:lineRule="exact"/>
              <w:ind w:left="518" w:hangingChars="216" w:hanging="518"/>
              <w:jc w:val="both"/>
              <w:rPr>
                <w:rFonts w:ascii="標楷體" w:eastAsia="標楷體" w:hAnsi="標楷體"/>
                <w:szCs w:val="24"/>
              </w:rPr>
            </w:pPr>
            <w:r w:rsidRPr="002C0DFB">
              <w:rPr>
                <w:rFonts w:ascii="標楷體" w:eastAsia="標楷體" w:hAnsi="標楷體" w:hint="eastAsia"/>
                <w:szCs w:val="24"/>
              </w:rPr>
              <w:t>二、後續請與各項工作之執行單位保持密切聯繫，以充分掌握本計畫執行進度，並視需要透過如亞洲．矽谷計畫工作會議、亞洲．矽谷執行中心會議等適時掌握推動進度。</w:t>
            </w:r>
          </w:p>
        </w:tc>
      </w:tr>
      <w:tr w:rsidR="00AA61F4" w:rsidRPr="002C0DFB" w14:paraId="6C6A88BE" w14:textId="77777777" w:rsidTr="00AA61F4">
        <w:trPr>
          <w:trHeight w:val="579"/>
        </w:trPr>
        <w:tc>
          <w:tcPr>
            <w:tcW w:w="425" w:type="dxa"/>
          </w:tcPr>
          <w:p w14:paraId="48003B39" w14:textId="01B743C7"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cs="Arial" w:hint="eastAsia"/>
                <w:kern w:val="0"/>
                <w:szCs w:val="24"/>
              </w:rPr>
              <w:t>4</w:t>
            </w:r>
          </w:p>
        </w:tc>
        <w:tc>
          <w:tcPr>
            <w:tcW w:w="568" w:type="dxa"/>
          </w:tcPr>
          <w:p w14:paraId="4BECE1DB" w14:textId="68E6A392" w:rsidR="00AA61F4" w:rsidRPr="002C0DFB" w:rsidRDefault="00AA61F4" w:rsidP="00561757">
            <w:pPr>
              <w:widowControl/>
              <w:spacing w:line="400" w:lineRule="exact"/>
              <w:rPr>
                <w:rFonts w:ascii="標楷體" w:eastAsia="標楷體" w:hAnsi="標楷體" w:cs="Arial"/>
                <w:kern w:val="0"/>
                <w:szCs w:val="24"/>
              </w:rPr>
            </w:pPr>
            <w:r w:rsidRPr="002C0DFB">
              <w:rPr>
                <w:rFonts w:ascii="標楷體" w:eastAsia="標楷體" w:hAnsi="標楷體" w:cs="Arial" w:hint="eastAsia"/>
                <w:kern w:val="0"/>
                <w:szCs w:val="24"/>
              </w:rPr>
              <w:t>國土處</w:t>
            </w:r>
          </w:p>
        </w:tc>
        <w:tc>
          <w:tcPr>
            <w:tcW w:w="851" w:type="dxa"/>
          </w:tcPr>
          <w:p w14:paraId="59A17AD4" w14:textId="616478EC" w:rsidR="00AA61F4" w:rsidRPr="002C0DFB" w:rsidRDefault="00AA61F4" w:rsidP="00561757">
            <w:pPr>
              <w:widowControl/>
              <w:spacing w:line="400" w:lineRule="exact"/>
              <w:jc w:val="both"/>
              <w:rPr>
                <w:rFonts w:ascii="標楷體" w:eastAsia="標楷體" w:hAnsi="標楷體" w:cs="Arial"/>
                <w:kern w:val="0"/>
                <w:szCs w:val="24"/>
              </w:rPr>
            </w:pPr>
            <w:r w:rsidRPr="002C0DFB">
              <w:rPr>
                <w:rFonts w:ascii="標楷體" w:eastAsia="標楷體" w:hAnsi="標楷體" w:cs="Arial" w:hint="eastAsia"/>
                <w:kern w:val="0"/>
                <w:szCs w:val="24"/>
              </w:rPr>
              <w:t>加速推動地方創生計畫</w:t>
            </w:r>
          </w:p>
        </w:tc>
        <w:tc>
          <w:tcPr>
            <w:tcW w:w="850" w:type="dxa"/>
            <w:shd w:val="clear" w:color="auto" w:fill="FFFFFF" w:themeFill="background1"/>
          </w:tcPr>
          <w:p w14:paraId="39669410" w14:textId="239DEF10"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hint="eastAsia"/>
                <w:szCs w:val="24"/>
              </w:rPr>
              <w:t>甲</w:t>
            </w:r>
          </w:p>
        </w:tc>
        <w:tc>
          <w:tcPr>
            <w:tcW w:w="6521" w:type="dxa"/>
          </w:tcPr>
          <w:p w14:paraId="6DE0BC1C" w14:textId="537E2C78" w:rsidR="00AA61F4" w:rsidRPr="002C0DFB" w:rsidRDefault="00AA61F4" w:rsidP="00724C9A">
            <w:pPr>
              <w:pStyle w:val="a4"/>
              <w:numPr>
                <w:ilvl w:val="0"/>
                <w:numId w:val="1"/>
              </w:numPr>
              <w:spacing w:line="440" w:lineRule="exact"/>
              <w:ind w:leftChars="0" w:left="606" w:hanging="580"/>
              <w:jc w:val="both"/>
              <w:rPr>
                <w:rFonts w:ascii="標楷體" w:eastAsia="標楷體" w:hAnsi="標楷體"/>
                <w:szCs w:val="24"/>
              </w:rPr>
            </w:pPr>
            <w:r w:rsidRPr="002C0DFB">
              <w:rPr>
                <w:rFonts w:ascii="標楷體" w:eastAsia="標楷體" w:hAnsi="標楷體" w:hint="eastAsia"/>
                <w:szCs w:val="24"/>
              </w:rPr>
              <w:t>本計畫112年通過172項地方創生事業提案、吸引272位青年留鄉或返鄉推動地方創生，達年度目標。另新設青年培力工作站31處，範圍已涵蓋22縣市之67鄉鎮市區，實質鼓勵具有在</w:t>
            </w:r>
            <w:proofErr w:type="gramStart"/>
            <w:r w:rsidRPr="002C0DFB">
              <w:rPr>
                <w:rFonts w:ascii="標楷體" w:eastAsia="標楷體" w:hAnsi="標楷體" w:hint="eastAsia"/>
                <w:szCs w:val="24"/>
              </w:rPr>
              <w:t>地蹲點經驗</w:t>
            </w:r>
            <w:proofErr w:type="gramEnd"/>
            <w:r w:rsidRPr="002C0DFB">
              <w:rPr>
                <w:rFonts w:ascii="標楷體" w:eastAsia="標楷體" w:hAnsi="標楷體" w:hint="eastAsia"/>
                <w:szCs w:val="24"/>
              </w:rPr>
              <w:t>者，陪伴輔導青年留鄉或返鄉紮根，開創地方創生事業；本年度營運25組學習</w:t>
            </w:r>
            <w:proofErr w:type="gramStart"/>
            <w:r w:rsidRPr="002C0DFB">
              <w:rPr>
                <w:rFonts w:ascii="標楷體" w:eastAsia="標楷體" w:hAnsi="標楷體" w:hint="eastAsia"/>
                <w:szCs w:val="24"/>
              </w:rPr>
              <w:t>性青聚</w:t>
            </w:r>
            <w:proofErr w:type="gramEnd"/>
            <w:r w:rsidRPr="002C0DFB">
              <w:rPr>
                <w:rFonts w:ascii="標楷體" w:eastAsia="標楷體" w:hAnsi="標楷體" w:hint="eastAsia"/>
                <w:szCs w:val="24"/>
              </w:rPr>
              <w:t>點，辦理131堂課程，輔導</w:t>
            </w:r>
            <w:proofErr w:type="gramStart"/>
            <w:r w:rsidRPr="002C0DFB">
              <w:rPr>
                <w:rFonts w:ascii="標楷體" w:eastAsia="標楷體" w:hAnsi="標楷體" w:hint="eastAsia"/>
                <w:szCs w:val="24"/>
              </w:rPr>
              <w:t>71名蹲點</w:t>
            </w:r>
            <w:proofErr w:type="gramEnd"/>
            <w:r w:rsidRPr="002C0DFB">
              <w:rPr>
                <w:rFonts w:ascii="標楷體" w:eastAsia="標楷體" w:hAnsi="標楷體" w:hint="eastAsia"/>
                <w:szCs w:val="24"/>
              </w:rPr>
              <w:t>實作生，為發展在地青年典範學習</w:t>
            </w:r>
            <w:proofErr w:type="gramStart"/>
            <w:r w:rsidRPr="002C0DFB">
              <w:rPr>
                <w:rFonts w:ascii="標楷體" w:eastAsia="標楷體" w:hAnsi="標楷體" w:hint="eastAsia"/>
                <w:szCs w:val="24"/>
              </w:rPr>
              <w:t>性青聚</w:t>
            </w:r>
            <w:proofErr w:type="gramEnd"/>
            <w:r w:rsidRPr="002C0DFB">
              <w:rPr>
                <w:rFonts w:ascii="標楷體" w:eastAsia="標楷體" w:hAnsi="標楷體" w:hint="eastAsia"/>
                <w:szCs w:val="24"/>
              </w:rPr>
              <w:t>點，結合在地青年行動家運用行動場域及推動經驗，建立常態性營運之在地學習點，共同推動地方創生相關工作。</w:t>
            </w:r>
          </w:p>
          <w:p w14:paraId="4323D14A" w14:textId="2A7CC73F" w:rsidR="00AA61F4" w:rsidRPr="002C0DFB" w:rsidRDefault="00AA61F4" w:rsidP="00724C9A">
            <w:pPr>
              <w:pStyle w:val="a4"/>
              <w:numPr>
                <w:ilvl w:val="0"/>
                <w:numId w:val="1"/>
              </w:numPr>
              <w:spacing w:line="440" w:lineRule="exact"/>
              <w:ind w:leftChars="0" w:left="606" w:hanging="580"/>
              <w:jc w:val="both"/>
              <w:rPr>
                <w:rFonts w:ascii="標楷體" w:eastAsia="標楷體" w:hAnsi="標楷體"/>
                <w:szCs w:val="24"/>
              </w:rPr>
            </w:pPr>
            <w:r w:rsidRPr="002C0DFB">
              <w:rPr>
                <w:rFonts w:ascii="標楷體" w:eastAsia="標楷體" w:hAnsi="標楷體" w:hint="eastAsia"/>
                <w:szCs w:val="24"/>
              </w:rPr>
              <w:t>根據《TPOC台灣議題研究中心》近期公布政府</w:t>
            </w:r>
            <w:proofErr w:type="gramStart"/>
            <w:r w:rsidRPr="002C0DFB">
              <w:rPr>
                <w:rFonts w:ascii="標楷體" w:eastAsia="標楷體" w:hAnsi="標楷體" w:hint="eastAsia"/>
                <w:szCs w:val="24"/>
              </w:rPr>
              <w:t>近一年來十大</w:t>
            </w:r>
            <w:proofErr w:type="gramEnd"/>
            <w:r w:rsidRPr="002C0DFB">
              <w:rPr>
                <w:rFonts w:ascii="標楷體" w:eastAsia="標楷體" w:hAnsi="標楷體" w:hint="eastAsia"/>
                <w:szCs w:val="24"/>
              </w:rPr>
              <w:t>政策的聲量數據，地方創生</w:t>
            </w:r>
            <w:proofErr w:type="gramStart"/>
            <w:r w:rsidRPr="002C0DFB">
              <w:rPr>
                <w:rFonts w:ascii="標楷體" w:eastAsia="標楷體" w:hAnsi="標楷體" w:hint="eastAsia"/>
                <w:szCs w:val="24"/>
              </w:rPr>
              <w:t>政策總聲量</w:t>
            </w:r>
            <w:proofErr w:type="gramEnd"/>
            <w:r w:rsidRPr="002C0DFB">
              <w:rPr>
                <w:rFonts w:ascii="標楷體" w:eastAsia="標楷體" w:hAnsi="標楷體" w:hint="eastAsia"/>
                <w:szCs w:val="24"/>
              </w:rPr>
              <w:t>排名第3、好感度排名第1，院長於113年3月10日訪視宜蘭縣員山鄉青年培力工作站時，亦肯定地方創生</w:t>
            </w:r>
            <w:proofErr w:type="gramStart"/>
            <w:r w:rsidRPr="002C0DFB">
              <w:rPr>
                <w:rFonts w:ascii="標楷體" w:eastAsia="標楷體" w:hAnsi="標楷體" w:hint="eastAsia"/>
                <w:szCs w:val="24"/>
              </w:rPr>
              <w:t>政策總聲</w:t>
            </w:r>
            <w:r w:rsidRPr="002C0DFB">
              <w:rPr>
                <w:rFonts w:ascii="標楷體" w:eastAsia="標楷體" w:hAnsi="標楷體" w:hint="eastAsia"/>
                <w:szCs w:val="24"/>
              </w:rPr>
              <w:lastRenderedPageBreak/>
              <w:t>量</w:t>
            </w:r>
            <w:proofErr w:type="gramEnd"/>
            <w:r w:rsidRPr="002C0DFB">
              <w:rPr>
                <w:rFonts w:ascii="標楷體" w:eastAsia="標楷體" w:hAnsi="標楷體" w:hint="eastAsia"/>
                <w:szCs w:val="24"/>
              </w:rPr>
              <w:t>，都歸功於投入地方創生的青年團隊，值得肯定。</w:t>
            </w:r>
          </w:p>
          <w:p w14:paraId="2F4B0779" w14:textId="497A3A6A" w:rsidR="00AA61F4" w:rsidRPr="002C0DFB" w:rsidRDefault="00AA61F4" w:rsidP="00724C9A">
            <w:pPr>
              <w:pStyle w:val="a4"/>
              <w:numPr>
                <w:ilvl w:val="0"/>
                <w:numId w:val="1"/>
              </w:numPr>
              <w:spacing w:line="440" w:lineRule="exact"/>
              <w:ind w:leftChars="0" w:left="606" w:hanging="580"/>
              <w:jc w:val="both"/>
              <w:rPr>
                <w:rFonts w:ascii="標楷體" w:eastAsia="標楷體" w:hAnsi="標楷體"/>
                <w:b/>
                <w:bCs/>
                <w:szCs w:val="24"/>
              </w:rPr>
            </w:pPr>
            <w:r w:rsidRPr="002C0DFB">
              <w:rPr>
                <w:rFonts w:ascii="標楷體" w:eastAsia="標楷體" w:hAnsi="標楷體" w:hint="eastAsia"/>
                <w:szCs w:val="24"/>
              </w:rPr>
              <w:t>本計畫涉及中央10個部會政府，計畫性質有別於一般公共工程建設，由地方為主體，需要長期耕耘及凝聚共識，須花費較長時間輔導及討論，故計畫核定時程不易掌握，亦無法完全配合預算年度加速核定。請國土處責成分區輔導中心加速整合及輔導轄區內地方創生計畫及相關事業提案，持續針對已通過</w:t>
            </w:r>
            <w:proofErr w:type="gramStart"/>
            <w:r w:rsidRPr="002C0DFB">
              <w:rPr>
                <w:rFonts w:ascii="標楷體" w:eastAsia="標楷體" w:hAnsi="標楷體" w:hint="eastAsia"/>
                <w:szCs w:val="24"/>
              </w:rPr>
              <w:t>之創生計畫</w:t>
            </w:r>
            <w:proofErr w:type="gramEnd"/>
            <w:r w:rsidRPr="002C0DFB">
              <w:rPr>
                <w:rFonts w:ascii="標楷體" w:eastAsia="標楷體" w:hAnsi="標楷體" w:hint="eastAsia"/>
                <w:szCs w:val="24"/>
              </w:rPr>
              <w:t>，衡酌實際執行狀況，滾動檢討事業提案內容。</w:t>
            </w:r>
          </w:p>
        </w:tc>
      </w:tr>
      <w:tr w:rsidR="00AA61F4" w:rsidRPr="002C0DFB" w14:paraId="75E4D32B" w14:textId="77777777" w:rsidTr="00AA61F4">
        <w:trPr>
          <w:trHeight w:val="1004"/>
        </w:trPr>
        <w:tc>
          <w:tcPr>
            <w:tcW w:w="425" w:type="dxa"/>
          </w:tcPr>
          <w:p w14:paraId="01FC8E7A" w14:textId="667FE2C1"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cs="Arial" w:hint="eastAsia"/>
                <w:kern w:val="0"/>
                <w:szCs w:val="24"/>
              </w:rPr>
              <w:lastRenderedPageBreak/>
              <w:t>5</w:t>
            </w:r>
          </w:p>
        </w:tc>
        <w:tc>
          <w:tcPr>
            <w:tcW w:w="568" w:type="dxa"/>
          </w:tcPr>
          <w:p w14:paraId="50F2958B" w14:textId="532AEAF7" w:rsidR="00AA61F4" w:rsidRPr="002C0DFB" w:rsidRDefault="00AA61F4" w:rsidP="00561757">
            <w:pPr>
              <w:widowControl/>
              <w:spacing w:line="400" w:lineRule="exact"/>
              <w:rPr>
                <w:rFonts w:ascii="標楷體" w:eastAsia="標楷體" w:hAnsi="標楷體" w:cs="Arial"/>
                <w:kern w:val="0"/>
                <w:szCs w:val="24"/>
              </w:rPr>
            </w:pPr>
            <w:r w:rsidRPr="002C0DFB">
              <w:rPr>
                <w:rFonts w:ascii="標楷體" w:eastAsia="標楷體" w:hAnsi="標楷體" w:cs="Arial" w:hint="eastAsia"/>
                <w:kern w:val="0"/>
                <w:szCs w:val="24"/>
              </w:rPr>
              <w:t>中興活化辦公室</w:t>
            </w:r>
          </w:p>
        </w:tc>
        <w:tc>
          <w:tcPr>
            <w:tcW w:w="851" w:type="dxa"/>
          </w:tcPr>
          <w:p w14:paraId="055FCA52" w14:textId="3084F24E" w:rsidR="00AA61F4" w:rsidRPr="002C0DFB" w:rsidRDefault="00AA61F4" w:rsidP="00561757">
            <w:pPr>
              <w:widowControl/>
              <w:spacing w:line="400" w:lineRule="exact"/>
              <w:jc w:val="both"/>
              <w:rPr>
                <w:rFonts w:ascii="標楷體" w:eastAsia="標楷體" w:hAnsi="標楷體" w:cs="Arial"/>
                <w:kern w:val="0"/>
                <w:szCs w:val="24"/>
              </w:rPr>
            </w:pPr>
            <w:r w:rsidRPr="002C0DFB">
              <w:rPr>
                <w:rFonts w:ascii="標楷體" w:eastAsia="標楷體" w:hAnsi="標楷體" w:cs="Arial" w:hint="eastAsia"/>
                <w:kern w:val="0"/>
                <w:szCs w:val="24"/>
              </w:rPr>
              <w:t>中興新村北、中核心公有資產活化建設計畫</w:t>
            </w:r>
          </w:p>
        </w:tc>
        <w:tc>
          <w:tcPr>
            <w:tcW w:w="850" w:type="dxa"/>
            <w:shd w:val="clear" w:color="auto" w:fill="FFFFFF" w:themeFill="background1"/>
          </w:tcPr>
          <w:p w14:paraId="18617721" w14:textId="5DC7F7AE" w:rsidR="00AA61F4" w:rsidRPr="002C0DFB" w:rsidRDefault="00AA61F4" w:rsidP="00561757">
            <w:pPr>
              <w:widowControl/>
              <w:spacing w:line="400" w:lineRule="exact"/>
              <w:jc w:val="center"/>
              <w:rPr>
                <w:rFonts w:ascii="標楷體" w:eastAsia="標楷體" w:hAnsi="標楷體"/>
                <w:szCs w:val="24"/>
              </w:rPr>
            </w:pPr>
            <w:r w:rsidRPr="002C0DFB">
              <w:rPr>
                <w:rFonts w:ascii="標楷體" w:eastAsia="標楷體" w:hAnsi="標楷體" w:hint="eastAsia"/>
                <w:szCs w:val="24"/>
              </w:rPr>
              <w:t>乙</w:t>
            </w:r>
          </w:p>
        </w:tc>
        <w:tc>
          <w:tcPr>
            <w:tcW w:w="6521" w:type="dxa"/>
          </w:tcPr>
          <w:p w14:paraId="257B0B7D" w14:textId="77777777" w:rsidR="00AA61F4" w:rsidRPr="002C0DFB" w:rsidRDefault="00AA61F4" w:rsidP="00724C9A">
            <w:pPr>
              <w:pStyle w:val="a4"/>
              <w:numPr>
                <w:ilvl w:val="0"/>
                <w:numId w:val="5"/>
              </w:numPr>
              <w:spacing w:line="440" w:lineRule="exact"/>
              <w:ind w:leftChars="0"/>
              <w:jc w:val="both"/>
              <w:rPr>
                <w:rFonts w:ascii="標楷體" w:eastAsia="標楷體" w:hAnsi="標楷體"/>
                <w:szCs w:val="24"/>
              </w:rPr>
            </w:pPr>
            <w:r w:rsidRPr="002C0DFB">
              <w:rPr>
                <w:rFonts w:ascii="標楷體" w:eastAsia="標楷體" w:hAnsi="標楷體" w:hint="eastAsia"/>
                <w:szCs w:val="24"/>
              </w:rPr>
              <w:t>本計畫「中興新村宿舍優化改善工程」、「中興新村智慧路燈建置工程」、「青少年活動中心暨羽球館優化工程」及「中興新村光華路暨公共設施等改善工程」等</w:t>
            </w:r>
            <w:r w:rsidRPr="002C0DFB">
              <w:rPr>
                <w:rFonts w:ascii="標楷體" w:eastAsia="標楷體" w:hAnsi="標楷體"/>
                <w:szCs w:val="24"/>
              </w:rPr>
              <w:t>4</w:t>
            </w:r>
            <w:r w:rsidRPr="002C0DFB">
              <w:rPr>
                <w:rFonts w:ascii="標楷體" w:eastAsia="標楷體" w:hAnsi="標楷體" w:hint="eastAsia"/>
                <w:szCs w:val="24"/>
              </w:rPr>
              <w:t>項工程採購案或因受文資審議及天候影響，未能如期上網發包，或因廠商缺乏相關經驗，影響工程施作等，導致經費執行率偏低，影響整體績效。</w:t>
            </w:r>
          </w:p>
          <w:p w14:paraId="6E23FE6F" w14:textId="2166CFF0" w:rsidR="00AA61F4" w:rsidRPr="002C0DFB" w:rsidRDefault="00AA61F4" w:rsidP="00DA27BD">
            <w:pPr>
              <w:pStyle w:val="a4"/>
              <w:numPr>
                <w:ilvl w:val="0"/>
                <w:numId w:val="5"/>
              </w:numPr>
              <w:spacing w:line="440" w:lineRule="exact"/>
              <w:ind w:leftChars="0"/>
              <w:jc w:val="both"/>
              <w:rPr>
                <w:rFonts w:ascii="標楷體" w:eastAsia="標楷體" w:hAnsi="標楷體"/>
                <w:szCs w:val="24"/>
              </w:rPr>
            </w:pPr>
            <w:r w:rsidRPr="002C0DFB">
              <w:rPr>
                <w:rFonts w:ascii="標楷體" w:eastAsia="標楷體" w:hAnsi="標楷體" w:hint="eastAsia"/>
                <w:szCs w:val="24"/>
              </w:rPr>
              <w:t>針對前述文資審查時間未能掌握及低價搶標不適任廠商</w:t>
            </w:r>
            <w:r w:rsidRPr="002C0DFB">
              <w:rPr>
                <w:rFonts w:ascii="標楷體" w:eastAsia="標楷體" w:hAnsi="標楷體"/>
                <w:szCs w:val="24"/>
              </w:rPr>
              <w:t>(</w:t>
            </w:r>
            <w:r w:rsidRPr="002C0DFB">
              <w:rPr>
                <w:rFonts w:ascii="標楷體" w:eastAsia="標楷體" w:hAnsi="標楷體" w:hint="eastAsia"/>
                <w:szCs w:val="24"/>
              </w:rPr>
              <w:t>活動中心暨羽球館</w:t>
            </w:r>
            <w:r w:rsidRPr="002C0DFB">
              <w:rPr>
                <w:rFonts w:ascii="標楷體" w:eastAsia="標楷體" w:hAnsi="標楷體"/>
                <w:szCs w:val="24"/>
              </w:rPr>
              <w:t>)</w:t>
            </w:r>
            <w:r w:rsidRPr="002C0DFB">
              <w:rPr>
                <w:rFonts w:ascii="標楷體" w:eastAsia="標楷體" w:hAnsi="標楷體" w:hint="eastAsia"/>
                <w:szCs w:val="24"/>
              </w:rPr>
              <w:t>情形，請中興辦公室皆應徹底檢討，</w:t>
            </w:r>
            <w:r w:rsidRPr="002C0DFB">
              <w:rPr>
                <w:rFonts w:ascii="標楷體" w:eastAsia="標楷體" w:hAnsi="標楷體"/>
                <w:szCs w:val="24"/>
              </w:rPr>
              <w:t>113</w:t>
            </w:r>
            <w:r w:rsidRPr="002C0DFB">
              <w:rPr>
                <w:rFonts w:ascii="標楷體" w:eastAsia="標楷體" w:hAnsi="標楷體" w:hint="eastAsia"/>
                <w:szCs w:val="24"/>
              </w:rPr>
              <w:t>年請嚴加督導施工單位改善落後項目，積極控管工程品質及趱趕進度。另有關文資審查方面，請與文資審查單位充分溝通並積極掌握文資審議期程，未來類似作業之時間亦請納入前置規劃作業，不宜列為計畫推動之不可抗力因素。</w:t>
            </w:r>
            <w:r w:rsidRPr="002C0DFB">
              <w:rPr>
                <w:rFonts w:ascii="標楷體" w:eastAsia="標楷體" w:hAnsi="標楷體"/>
                <w:szCs w:val="24"/>
              </w:rPr>
              <w:t xml:space="preserve"> </w:t>
            </w:r>
          </w:p>
        </w:tc>
      </w:tr>
      <w:tr w:rsidR="00AA61F4" w:rsidRPr="002C0DFB" w14:paraId="302E08B9" w14:textId="77777777" w:rsidTr="00AA61F4">
        <w:tc>
          <w:tcPr>
            <w:tcW w:w="425" w:type="dxa"/>
          </w:tcPr>
          <w:p w14:paraId="5E8CF30F" w14:textId="5FE8492C"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cs="Arial" w:hint="eastAsia"/>
                <w:kern w:val="0"/>
                <w:szCs w:val="24"/>
              </w:rPr>
              <w:t>6</w:t>
            </w:r>
          </w:p>
        </w:tc>
        <w:tc>
          <w:tcPr>
            <w:tcW w:w="568" w:type="dxa"/>
          </w:tcPr>
          <w:p w14:paraId="6055642F" w14:textId="1717C504" w:rsidR="00AA61F4" w:rsidRPr="002C0DFB" w:rsidRDefault="00AA61F4" w:rsidP="00561757">
            <w:pPr>
              <w:widowControl/>
              <w:spacing w:line="400" w:lineRule="exact"/>
              <w:rPr>
                <w:rFonts w:ascii="標楷體" w:eastAsia="標楷體" w:hAnsi="標楷體" w:cs="Arial"/>
                <w:kern w:val="0"/>
                <w:szCs w:val="24"/>
              </w:rPr>
            </w:pPr>
            <w:r w:rsidRPr="002C0DFB">
              <w:rPr>
                <w:rFonts w:ascii="標楷體" w:eastAsia="標楷體" w:hAnsi="標楷體" w:cs="Arial" w:hint="eastAsia"/>
                <w:kern w:val="0"/>
                <w:szCs w:val="24"/>
              </w:rPr>
              <w:t>檔案管理局</w:t>
            </w:r>
          </w:p>
        </w:tc>
        <w:tc>
          <w:tcPr>
            <w:tcW w:w="851" w:type="dxa"/>
          </w:tcPr>
          <w:p w14:paraId="46F141D4" w14:textId="12E33411" w:rsidR="00AA61F4" w:rsidRPr="002C0DFB" w:rsidRDefault="00AA61F4" w:rsidP="00561757">
            <w:pPr>
              <w:widowControl/>
              <w:spacing w:line="400" w:lineRule="exact"/>
              <w:jc w:val="both"/>
              <w:rPr>
                <w:rFonts w:ascii="標楷體" w:eastAsia="標楷體" w:hAnsi="標楷體" w:cs="Arial"/>
                <w:kern w:val="0"/>
                <w:szCs w:val="24"/>
              </w:rPr>
            </w:pPr>
            <w:r w:rsidRPr="002C0DFB">
              <w:rPr>
                <w:rFonts w:ascii="標楷體" w:eastAsia="標楷體" w:hAnsi="標楷體" w:cs="Arial" w:hint="eastAsia"/>
                <w:kern w:val="0"/>
                <w:szCs w:val="24"/>
              </w:rPr>
              <w:t>國家檔案典藏及服務建設計畫</w:t>
            </w:r>
          </w:p>
        </w:tc>
        <w:tc>
          <w:tcPr>
            <w:tcW w:w="850" w:type="dxa"/>
            <w:shd w:val="clear" w:color="auto" w:fill="FFFFFF" w:themeFill="background1"/>
          </w:tcPr>
          <w:p w14:paraId="6B903796" w14:textId="3EC545E9" w:rsidR="00AA61F4" w:rsidRPr="002C0DFB" w:rsidRDefault="00AA61F4" w:rsidP="00561757">
            <w:pPr>
              <w:widowControl/>
              <w:spacing w:line="400" w:lineRule="exact"/>
              <w:jc w:val="center"/>
              <w:rPr>
                <w:rFonts w:ascii="標楷體" w:eastAsia="標楷體" w:hAnsi="標楷體" w:cs="Arial"/>
                <w:kern w:val="0"/>
                <w:szCs w:val="24"/>
              </w:rPr>
            </w:pPr>
            <w:r w:rsidRPr="002C0DFB">
              <w:rPr>
                <w:rFonts w:ascii="標楷體" w:eastAsia="標楷體" w:hAnsi="標楷體" w:hint="eastAsia"/>
                <w:szCs w:val="24"/>
              </w:rPr>
              <w:t>優</w:t>
            </w:r>
          </w:p>
        </w:tc>
        <w:tc>
          <w:tcPr>
            <w:tcW w:w="6521" w:type="dxa"/>
          </w:tcPr>
          <w:p w14:paraId="46B1D983" w14:textId="24992522" w:rsidR="00AA61F4" w:rsidRPr="002C0DFB" w:rsidRDefault="00AA61F4" w:rsidP="00724C9A">
            <w:pPr>
              <w:pStyle w:val="a4"/>
              <w:widowControl/>
              <w:numPr>
                <w:ilvl w:val="0"/>
                <w:numId w:val="3"/>
              </w:numPr>
              <w:spacing w:line="440" w:lineRule="exact"/>
              <w:ind w:leftChars="0" w:left="602" w:hanging="602"/>
              <w:jc w:val="both"/>
              <w:rPr>
                <w:rFonts w:ascii="標楷體" w:eastAsia="標楷體" w:hAnsi="標楷體"/>
                <w:szCs w:val="24"/>
              </w:rPr>
            </w:pPr>
            <w:r w:rsidRPr="002C0DFB">
              <w:rPr>
                <w:rFonts w:ascii="標楷體" w:eastAsia="標楷體" w:hAnsi="標楷體" w:hint="eastAsia"/>
                <w:szCs w:val="24"/>
              </w:rPr>
              <w:t>本案工作進度及預算執行皆達原定目標，並有多項分項工作超越原訂目標。112年完成主體結構體構築，並榮獲第12屆新北市工安獎及第17屆勞動部推動職業安全衛生優良工程金安獎等獎項肯定，</w:t>
            </w:r>
          </w:p>
          <w:p w14:paraId="46722209" w14:textId="545E34F4" w:rsidR="00AA61F4" w:rsidRPr="002C0DFB" w:rsidRDefault="00AA61F4" w:rsidP="00724C9A">
            <w:pPr>
              <w:pStyle w:val="a4"/>
              <w:widowControl/>
              <w:numPr>
                <w:ilvl w:val="0"/>
                <w:numId w:val="3"/>
              </w:numPr>
              <w:spacing w:line="440" w:lineRule="exact"/>
              <w:ind w:leftChars="0" w:left="602" w:hanging="602"/>
              <w:jc w:val="both"/>
              <w:rPr>
                <w:rFonts w:ascii="標楷體" w:eastAsia="標楷體" w:hAnsi="標楷體"/>
                <w:szCs w:val="24"/>
              </w:rPr>
            </w:pPr>
            <w:r w:rsidRPr="002C0DFB">
              <w:rPr>
                <w:rFonts w:ascii="標楷體" w:eastAsia="標楷體" w:hAnsi="標楷體" w:hint="eastAsia"/>
                <w:szCs w:val="24"/>
              </w:rPr>
              <w:t>截至112年底，庫房主體施工實際進度為63%，超前0.17</w:t>
            </w:r>
            <w:r>
              <w:rPr>
                <w:rFonts w:ascii="標楷體" w:eastAsia="標楷體" w:hAnsi="標楷體" w:hint="eastAsia"/>
                <w:szCs w:val="24"/>
              </w:rPr>
              <w:t>個百分點</w:t>
            </w:r>
            <w:r w:rsidRPr="002C0DFB">
              <w:rPr>
                <w:rFonts w:ascii="標楷體" w:eastAsia="標楷體" w:hAnsi="標楷體" w:hint="eastAsia"/>
                <w:szCs w:val="24"/>
              </w:rPr>
              <w:t>，已完成地下2樓至</w:t>
            </w:r>
            <w:proofErr w:type="gramStart"/>
            <w:r w:rsidRPr="002C0DFB">
              <w:rPr>
                <w:rFonts w:ascii="標楷體" w:eastAsia="標楷體" w:hAnsi="標楷體" w:hint="eastAsia"/>
                <w:szCs w:val="24"/>
              </w:rPr>
              <w:t>屋頂屋突構築</w:t>
            </w:r>
            <w:proofErr w:type="gramEnd"/>
            <w:r w:rsidRPr="002C0DFB">
              <w:rPr>
                <w:rFonts w:ascii="標楷體" w:eastAsia="標楷體" w:hAnsi="標楷體" w:hint="eastAsia"/>
                <w:szCs w:val="24"/>
              </w:rPr>
              <w:t>及</w:t>
            </w:r>
            <w:proofErr w:type="gramStart"/>
            <w:r w:rsidRPr="002C0DFB">
              <w:rPr>
                <w:rFonts w:ascii="標楷體" w:eastAsia="標楷體" w:hAnsi="標楷體" w:hint="eastAsia"/>
                <w:szCs w:val="24"/>
              </w:rPr>
              <w:t>滯洪池結構體</w:t>
            </w:r>
            <w:proofErr w:type="gramEnd"/>
            <w:r w:rsidRPr="002C0DFB">
              <w:rPr>
                <w:rFonts w:ascii="標楷體" w:eastAsia="標楷體" w:hAnsi="標楷體" w:hint="eastAsia"/>
                <w:szCs w:val="24"/>
              </w:rPr>
              <w:t>混凝土澆置等工項，並進行外牆玻璃帷幕、室內裝</w:t>
            </w:r>
            <w:r w:rsidRPr="002C0DFB">
              <w:rPr>
                <w:rFonts w:ascii="標楷體" w:eastAsia="標楷體" w:hAnsi="標楷體" w:hint="eastAsia"/>
                <w:szCs w:val="24"/>
              </w:rPr>
              <w:lastRenderedPageBreak/>
              <w:t>修、水電、消防、空調、檔案架及景觀設施等</w:t>
            </w:r>
            <w:proofErr w:type="gramStart"/>
            <w:r w:rsidRPr="002C0DFB">
              <w:rPr>
                <w:rFonts w:ascii="標楷體" w:eastAsia="標楷體" w:hAnsi="標楷體" w:hint="eastAsia"/>
                <w:szCs w:val="24"/>
              </w:rPr>
              <w:t>工項施作</w:t>
            </w:r>
            <w:proofErr w:type="gramEnd"/>
            <w:r w:rsidRPr="002C0DFB">
              <w:rPr>
                <w:rFonts w:ascii="標楷體" w:eastAsia="標楷體" w:hAnsi="標楷體" w:hint="eastAsia"/>
                <w:szCs w:val="24"/>
              </w:rPr>
              <w:t>；此外屆期檔案移轉審核方面，完成84個機關，</w:t>
            </w:r>
            <w:proofErr w:type="gramStart"/>
            <w:r w:rsidRPr="002C0DFB">
              <w:rPr>
                <w:rFonts w:ascii="標楷體" w:eastAsia="標楷體" w:hAnsi="標楷體" w:hint="eastAsia"/>
                <w:szCs w:val="24"/>
              </w:rPr>
              <w:t>有助擴增</w:t>
            </w:r>
            <w:proofErr w:type="gramEnd"/>
            <w:r w:rsidRPr="002C0DFB">
              <w:rPr>
                <w:rFonts w:ascii="標楷體" w:eastAsia="標楷體" w:hAnsi="標楷體" w:hint="eastAsia"/>
                <w:szCs w:val="24"/>
              </w:rPr>
              <w:t>國家檔案主題及典藏量，提升國家檔案典藏質量，值得肯定。</w:t>
            </w:r>
          </w:p>
          <w:p w14:paraId="16B1704D" w14:textId="16AD659F" w:rsidR="00AA61F4" w:rsidRPr="002C0DFB" w:rsidRDefault="00AA61F4" w:rsidP="00724C9A">
            <w:pPr>
              <w:pStyle w:val="a4"/>
              <w:widowControl/>
              <w:numPr>
                <w:ilvl w:val="0"/>
                <w:numId w:val="3"/>
              </w:numPr>
              <w:spacing w:line="440" w:lineRule="exact"/>
              <w:ind w:leftChars="0" w:left="602" w:hanging="602"/>
              <w:jc w:val="both"/>
              <w:rPr>
                <w:rFonts w:ascii="標楷體" w:eastAsia="標楷體" w:hAnsi="標楷體"/>
                <w:szCs w:val="24"/>
              </w:rPr>
            </w:pPr>
            <w:r w:rsidRPr="002C0DFB">
              <w:rPr>
                <w:rFonts w:ascii="標楷體" w:eastAsia="標楷體" w:hAnsi="標楷體" w:hint="eastAsia"/>
                <w:szCs w:val="24"/>
              </w:rPr>
              <w:t>近年來，國內工程多有因</w:t>
            </w:r>
            <w:proofErr w:type="gramStart"/>
            <w:r w:rsidRPr="002C0DFB">
              <w:rPr>
                <w:rFonts w:ascii="標楷體" w:eastAsia="標楷體" w:hAnsi="標楷體" w:hint="eastAsia"/>
                <w:szCs w:val="24"/>
              </w:rPr>
              <w:t>疫</w:t>
            </w:r>
            <w:proofErr w:type="gramEnd"/>
            <w:r w:rsidRPr="002C0DFB">
              <w:rPr>
                <w:rFonts w:ascii="標楷體" w:eastAsia="標楷體" w:hAnsi="標楷體" w:hint="eastAsia"/>
                <w:szCs w:val="24"/>
              </w:rPr>
              <w:t>情變化、物價波動、缺工或缺料等因素，影響工程進度，考量國家檔案館工程仍有遭遇前揭風險之可能，為順利於1</w:t>
            </w:r>
            <w:r w:rsidRPr="002C0DFB">
              <w:rPr>
                <w:rFonts w:ascii="標楷體" w:eastAsia="標楷體" w:hAnsi="標楷體"/>
                <w:szCs w:val="24"/>
              </w:rPr>
              <w:t>13</w:t>
            </w:r>
            <w:r w:rsidRPr="002C0DFB">
              <w:rPr>
                <w:rFonts w:ascii="標楷體" w:eastAsia="標楷體" w:hAnsi="標楷體" w:hint="eastAsia"/>
                <w:szCs w:val="24"/>
              </w:rPr>
              <w:t>年11月完工，請持續監督進度及辦理相關施工界面整合外，並瞭解施工廠商監測員工染</w:t>
            </w:r>
            <w:proofErr w:type="gramStart"/>
            <w:r w:rsidRPr="002C0DFB">
              <w:rPr>
                <w:rFonts w:ascii="標楷體" w:eastAsia="標楷體" w:hAnsi="標楷體" w:hint="eastAsia"/>
                <w:szCs w:val="24"/>
              </w:rPr>
              <w:t>疫</w:t>
            </w:r>
            <w:proofErr w:type="gramEnd"/>
            <w:r w:rsidRPr="002C0DFB">
              <w:rPr>
                <w:rFonts w:ascii="標楷體" w:eastAsia="標楷體" w:hAnsi="標楷體" w:hint="eastAsia"/>
                <w:szCs w:val="24"/>
              </w:rPr>
              <w:t>情形、出工數及物料進場狀況，</w:t>
            </w:r>
            <w:proofErr w:type="gramStart"/>
            <w:r w:rsidRPr="002C0DFB">
              <w:rPr>
                <w:rFonts w:ascii="標楷體" w:eastAsia="標楷體" w:hAnsi="標楷體" w:hint="eastAsia"/>
                <w:szCs w:val="24"/>
              </w:rPr>
              <w:t>俾</w:t>
            </w:r>
            <w:proofErr w:type="gramEnd"/>
            <w:r w:rsidRPr="002C0DFB">
              <w:rPr>
                <w:rFonts w:ascii="標楷體" w:eastAsia="標楷體" w:hAnsi="標楷體" w:hint="eastAsia"/>
                <w:szCs w:val="24"/>
              </w:rPr>
              <w:t>預作協調及處置，降低風險發生或危害。</w:t>
            </w:r>
          </w:p>
        </w:tc>
      </w:tr>
    </w:tbl>
    <w:p w14:paraId="57FDFDA6" w14:textId="08084035" w:rsidR="000613B4" w:rsidRDefault="000613B4" w:rsidP="00DE7CA0">
      <w:pPr>
        <w:jc w:val="center"/>
        <w:rPr>
          <w:rFonts w:ascii="標楷體" w:eastAsia="標楷體" w:hAnsi="標楷體"/>
          <w:szCs w:val="24"/>
        </w:rPr>
      </w:pPr>
    </w:p>
    <w:p w14:paraId="2881D196" w14:textId="77777777" w:rsidR="008A4095" w:rsidRPr="008A4095" w:rsidRDefault="008A4095" w:rsidP="008A4095">
      <w:pPr>
        <w:spacing w:after="160" w:line="278" w:lineRule="auto"/>
        <w:jc w:val="center"/>
        <w:rPr>
          <w:rFonts w:ascii="標楷體" w:eastAsia="標楷體" w:hAnsi="標楷體" w:cs="Times New Roman"/>
          <w:sz w:val="28"/>
          <w:szCs w:val="28"/>
          <w14:ligatures w14:val="standardContextual"/>
        </w:rPr>
      </w:pPr>
      <w:r w:rsidRPr="008A4095">
        <w:rPr>
          <w:rFonts w:ascii="標楷體" w:eastAsia="標楷體" w:hAnsi="標楷體" w:cs="Times New Roman" w:hint="eastAsia"/>
          <w:sz w:val="32"/>
          <w:szCs w:val="32"/>
          <w14:ligatures w14:val="standardContextual"/>
        </w:rPr>
        <w:t>本會</w:t>
      </w:r>
      <w:proofErr w:type="gramStart"/>
      <w:r w:rsidRPr="008A4095">
        <w:rPr>
          <w:rFonts w:ascii="標楷體" w:eastAsia="標楷體" w:hAnsi="標楷體" w:cs="Times New Roman"/>
          <w:sz w:val="32"/>
          <w:szCs w:val="32"/>
          <w14:ligatures w14:val="standardContextual"/>
        </w:rPr>
        <w:t>11</w:t>
      </w:r>
      <w:r w:rsidRPr="008A4095">
        <w:rPr>
          <w:rFonts w:ascii="標楷體" w:eastAsia="標楷體" w:hAnsi="標楷體" w:cs="Times New Roman" w:hint="eastAsia"/>
          <w:sz w:val="32"/>
          <w:szCs w:val="32"/>
          <w14:ligatures w14:val="standardContextual"/>
        </w:rPr>
        <w:t>2</w:t>
      </w:r>
      <w:proofErr w:type="gramEnd"/>
      <w:r w:rsidRPr="008A4095">
        <w:rPr>
          <w:rFonts w:ascii="標楷體" w:eastAsia="標楷體" w:hAnsi="標楷體" w:cs="Times New Roman" w:hint="eastAsia"/>
          <w:sz w:val="32"/>
          <w:szCs w:val="32"/>
          <w14:ligatures w14:val="standardContextual"/>
        </w:rPr>
        <w:t>年度自行管制計畫評核結果</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1"/>
        <w:gridCol w:w="567"/>
        <w:gridCol w:w="850"/>
        <w:gridCol w:w="709"/>
        <w:gridCol w:w="6520"/>
      </w:tblGrid>
      <w:tr w:rsidR="008A4095" w:rsidRPr="008A4095" w14:paraId="225106FB" w14:textId="77777777" w:rsidTr="008A4095">
        <w:trPr>
          <w:trHeight w:val="442"/>
          <w:jc w:val="center"/>
        </w:trPr>
        <w:tc>
          <w:tcPr>
            <w:tcW w:w="421" w:type="dxa"/>
            <w:vMerge w:val="restart"/>
            <w:vAlign w:val="center"/>
          </w:tcPr>
          <w:p w14:paraId="17521D5E" w14:textId="77777777" w:rsidR="008A4095" w:rsidRPr="008A4095" w:rsidRDefault="008A4095" w:rsidP="008A4095">
            <w:pPr>
              <w:autoSpaceDE w:val="0"/>
              <w:autoSpaceDN w:val="0"/>
              <w:adjustRightInd w:val="0"/>
              <w:snapToGrid w:val="0"/>
              <w:spacing w:line="480" w:lineRule="exact"/>
              <w:jc w:val="center"/>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項次</w:t>
            </w:r>
          </w:p>
        </w:tc>
        <w:tc>
          <w:tcPr>
            <w:tcW w:w="567" w:type="dxa"/>
            <w:vMerge w:val="restart"/>
            <w:vAlign w:val="center"/>
          </w:tcPr>
          <w:p w14:paraId="443D69A1"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主辦單位</w:t>
            </w:r>
          </w:p>
        </w:tc>
        <w:tc>
          <w:tcPr>
            <w:tcW w:w="850" w:type="dxa"/>
            <w:vMerge w:val="restart"/>
            <w:vAlign w:val="center"/>
          </w:tcPr>
          <w:p w14:paraId="030A0E19"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計畫名稱</w:t>
            </w:r>
          </w:p>
        </w:tc>
        <w:tc>
          <w:tcPr>
            <w:tcW w:w="7229" w:type="dxa"/>
            <w:gridSpan w:val="2"/>
            <w:vAlign w:val="center"/>
          </w:tcPr>
          <w:p w14:paraId="33CB88EF" w14:textId="77777777" w:rsidR="008A4095" w:rsidRPr="008A4095" w:rsidRDefault="008A4095" w:rsidP="008A4095">
            <w:pPr>
              <w:autoSpaceDE w:val="0"/>
              <w:autoSpaceDN w:val="0"/>
              <w:adjustRightInd w:val="0"/>
              <w:snapToGrid w:val="0"/>
              <w:spacing w:line="480" w:lineRule="exact"/>
              <w:jc w:val="center"/>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評核結果</w:t>
            </w:r>
          </w:p>
        </w:tc>
      </w:tr>
      <w:tr w:rsidR="008A4095" w:rsidRPr="008A4095" w14:paraId="613CDEC5" w14:textId="77777777" w:rsidTr="008A4095">
        <w:trPr>
          <w:trHeight w:val="442"/>
          <w:jc w:val="center"/>
        </w:trPr>
        <w:tc>
          <w:tcPr>
            <w:tcW w:w="421" w:type="dxa"/>
            <w:vMerge/>
            <w:vAlign w:val="center"/>
          </w:tcPr>
          <w:p w14:paraId="1985809C"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p>
        </w:tc>
        <w:tc>
          <w:tcPr>
            <w:tcW w:w="567" w:type="dxa"/>
            <w:vMerge/>
            <w:vAlign w:val="center"/>
          </w:tcPr>
          <w:p w14:paraId="31A3A7B5"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p>
        </w:tc>
        <w:tc>
          <w:tcPr>
            <w:tcW w:w="850" w:type="dxa"/>
            <w:vMerge/>
            <w:vAlign w:val="center"/>
          </w:tcPr>
          <w:p w14:paraId="6E6585B8"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p>
        </w:tc>
        <w:tc>
          <w:tcPr>
            <w:tcW w:w="709" w:type="dxa"/>
            <w:vAlign w:val="center"/>
          </w:tcPr>
          <w:p w14:paraId="47C7E22C"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等第</w:t>
            </w:r>
          </w:p>
        </w:tc>
        <w:tc>
          <w:tcPr>
            <w:tcW w:w="6520" w:type="dxa"/>
            <w:vAlign w:val="center"/>
          </w:tcPr>
          <w:p w14:paraId="5A3C956A" w14:textId="77777777" w:rsidR="008A4095" w:rsidRPr="008A4095" w:rsidRDefault="008A4095" w:rsidP="008A4095">
            <w:pPr>
              <w:autoSpaceDE w:val="0"/>
              <w:autoSpaceDN w:val="0"/>
              <w:adjustRightInd w:val="0"/>
              <w:snapToGrid w:val="0"/>
              <w:spacing w:line="480" w:lineRule="exact"/>
              <w:jc w:val="center"/>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評核意見</w:t>
            </w:r>
          </w:p>
        </w:tc>
      </w:tr>
      <w:tr w:rsidR="008A4095" w:rsidRPr="008A4095" w14:paraId="1BE6A240" w14:textId="77777777" w:rsidTr="008A4095">
        <w:trPr>
          <w:trHeight w:val="442"/>
          <w:jc w:val="center"/>
        </w:trPr>
        <w:tc>
          <w:tcPr>
            <w:tcW w:w="421" w:type="dxa"/>
          </w:tcPr>
          <w:p w14:paraId="773B0E8B" w14:textId="77777777" w:rsidR="008A4095" w:rsidRPr="008A4095" w:rsidRDefault="008A4095" w:rsidP="008A4095">
            <w:pPr>
              <w:autoSpaceDE w:val="0"/>
              <w:autoSpaceDN w:val="0"/>
              <w:adjustRightInd w:val="0"/>
              <w:snapToGrid w:val="0"/>
              <w:spacing w:line="480" w:lineRule="exact"/>
              <w:jc w:val="center"/>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1</w:t>
            </w:r>
          </w:p>
        </w:tc>
        <w:tc>
          <w:tcPr>
            <w:tcW w:w="567" w:type="dxa"/>
          </w:tcPr>
          <w:p w14:paraId="2FA9E8AD"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產業處</w:t>
            </w:r>
          </w:p>
        </w:tc>
        <w:tc>
          <w:tcPr>
            <w:tcW w:w="850" w:type="dxa"/>
          </w:tcPr>
          <w:p w14:paraId="24500A31"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proofErr w:type="gramStart"/>
            <w:r w:rsidRPr="008A4095">
              <w:rPr>
                <w:rFonts w:ascii="標楷體" w:eastAsia="標楷體" w:hAnsi="Aptos" w:cs="標楷體" w:hint="eastAsia"/>
                <w:color w:val="000000"/>
                <w:kern w:val="0"/>
                <w:szCs w:val="24"/>
                <w14:ligatures w14:val="standardContextual"/>
              </w:rPr>
              <w:t>112</w:t>
            </w:r>
            <w:proofErr w:type="gramEnd"/>
            <w:r w:rsidRPr="008A4095">
              <w:rPr>
                <w:rFonts w:ascii="標楷體" w:eastAsia="標楷體" w:hAnsi="Aptos" w:cs="標楷體" w:hint="eastAsia"/>
                <w:color w:val="000000"/>
                <w:kern w:val="0"/>
                <w:szCs w:val="24"/>
                <w14:ligatures w14:val="standardContextual"/>
              </w:rPr>
              <w:t>年度亞洲</w:t>
            </w:r>
            <w:proofErr w:type="gramStart"/>
            <w:r w:rsidRPr="008A4095">
              <w:rPr>
                <w:rFonts w:ascii="標楷體" w:eastAsia="標楷體" w:hAnsi="Aptos" w:cs="標楷體" w:hint="eastAsia"/>
                <w:color w:val="000000"/>
                <w:kern w:val="0"/>
                <w:szCs w:val="24"/>
                <w14:ligatures w14:val="standardContextual"/>
              </w:rPr>
              <w:t>‧</w:t>
            </w:r>
            <w:proofErr w:type="gramEnd"/>
            <w:r w:rsidRPr="008A4095">
              <w:rPr>
                <w:rFonts w:ascii="標楷體" w:eastAsia="標楷體" w:hAnsi="Aptos" w:cs="標楷體" w:hint="eastAsia"/>
                <w:color w:val="000000"/>
                <w:kern w:val="0"/>
                <w:szCs w:val="24"/>
                <w14:ligatures w14:val="standardContextual"/>
              </w:rPr>
              <w:t>矽谷創新應用整合平台計畫</w:t>
            </w:r>
          </w:p>
        </w:tc>
        <w:tc>
          <w:tcPr>
            <w:tcW w:w="709" w:type="dxa"/>
          </w:tcPr>
          <w:p w14:paraId="2DA3CF5F" w14:textId="77777777" w:rsidR="008A4095" w:rsidRPr="008A4095" w:rsidRDefault="008A4095" w:rsidP="008A4095">
            <w:pPr>
              <w:autoSpaceDE w:val="0"/>
              <w:autoSpaceDN w:val="0"/>
              <w:adjustRightInd w:val="0"/>
              <w:snapToGrid w:val="0"/>
              <w:spacing w:line="480" w:lineRule="exact"/>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優</w:t>
            </w:r>
          </w:p>
        </w:tc>
        <w:tc>
          <w:tcPr>
            <w:tcW w:w="6520" w:type="dxa"/>
          </w:tcPr>
          <w:p w14:paraId="005733A0" w14:textId="77777777" w:rsidR="008A4095" w:rsidRPr="008A4095" w:rsidRDefault="008A4095" w:rsidP="008A4095">
            <w:pPr>
              <w:autoSpaceDE w:val="0"/>
              <w:autoSpaceDN w:val="0"/>
              <w:adjustRightInd w:val="0"/>
              <w:snapToGrid w:val="0"/>
              <w:spacing w:line="480" w:lineRule="exact"/>
              <w:ind w:left="480" w:hangingChars="200" w:hanging="480"/>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一、本計畫推廣</w:t>
            </w:r>
            <w:proofErr w:type="gramStart"/>
            <w:r w:rsidRPr="008A4095">
              <w:rPr>
                <w:rFonts w:ascii="標楷體" w:eastAsia="標楷體" w:hAnsi="Aptos" w:cs="標楷體" w:hint="eastAsia"/>
                <w:color w:val="000000"/>
                <w:kern w:val="0"/>
                <w:szCs w:val="24"/>
                <w14:ligatures w14:val="standardContextual"/>
              </w:rPr>
              <w:t>亞矽執行</w:t>
            </w:r>
            <w:proofErr w:type="gramEnd"/>
            <w:r w:rsidRPr="008A4095">
              <w:rPr>
                <w:rFonts w:ascii="標楷體" w:eastAsia="標楷體" w:hAnsi="Aptos" w:cs="標楷體" w:hint="eastAsia"/>
                <w:color w:val="000000"/>
                <w:kern w:val="0"/>
                <w:szCs w:val="24"/>
                <w14:ligatures w14:val="standardContextual"/>
              </w:rPr>
              <w:t>成果與我國優秀創新應用，擴大政策綜效；且因應全球產業、科技快速變革，計畫執行中心發揮整合平台之功能，邀集相關部會</w:t>
            </w:r>
            <w:proofErr w:type="gramStart"/>
            <w:r w:rsidRPr="008A4095">
              <w:rPr>
                <w:rFonts w:ascii="標楷體" w:eastAsia="標楷體" w:hAnsi="Aptos" w:cs="標楷體" w:hint="eastAsia"/>
                <w:color w:val="000000"/>
                <w:kern w:val="0"/>
                <w:szCs w:val="24"/>
                <w14:ligatures w14:val="standardContextual"/>
              </w:rPr>
              <w:t>研</w:t>
            </w:r>
            <w:proofErr w:type="gramEnd"/>
            <w:r w:rsidRPr="008A4095">
              <w:rPr>
                <w:rFonts w:ascii="標楷體" w:eastAsia="標楷體" w:hAnsi="Aptos" w:cs="標楷體" w:hint="eastAsia"/>
                <w:color w:val="000000"/>
                <w:kern w:val="0"/>
                <w:szCs w:val="24"/>
                <w14:ligatures w14:val="standardContextual"/>
              </w:rPr>
              <w:t>商下階段發展精進方向，</w:t>
            </w:r>
            <w:proofErr w:type="gramStart"/>
            <w:r w:rsidRPr="008A4095">
              <w:rPr>
                <w:rFonts w:ascii="標楷體" w:eastAsia="標楷體" w:hAnsi="Aptos" w:cs="標楷體" w:hint="eastAsia"/>
                <w:color w:val="000000"/>
                <w:kern w:val="0"/>
                <w:szCs w:val="24"/>
                <w14:ligatures w14:val="standardContextual"/>
              </w:rPr>
              <w:t>研</w:t>
            </w:r>
            <w:proofErr w:type="gramEnd"/>
            <w:r w:rsidRPr="008A4095">
              <w:rPr>
                <w:rFonts w:ascii="標楷體" w:eastAsia="標楷體" w:hAnsi="Aptos" w:cs="標楷體" w:hint="eastAsia"/>
                <w:color w:val="000000"/>
                <w:kern w:val="0"/>
                <w:szCs w:val="24"/>
                <w14:ligatures w14:val="standardContextual"/>
              </w:rPr>
              <w:t>擬「亞洲．矽谷3.0推動方案」(草案)，值得肯定。</w:t>
            </w:r>
          </w:p>
          <w:p w14:paraId="2C6438E0" w14:textId="77777777" w:rsidR="008A4095" w:rsidRPr="008A4095" w:rsidRDefault="008A4095" w:rsidP="008A4095">
            <w:pPr>
              <w:autoSpaceDE w:val="0"/>
              <w:autoSpaceDN w:val="0"/>
              <w:adjustRightInd w:val="0"/>
              <w:snapToGrid w:val="0"/>
              <w:spacing w:line="480" w:lineRule="exact"/>
              <w:ind w:left="480" w:hangingChars="200" w:hanging="480"/>
              <w:rPr>
                <w:rFonts w:ascii="標楷體" w:eastAsia="標楷體" w:hAnsi="Aptos" w:cs="標楷體"/>
                <w:color w:val="000000"/>
                <w:kern w:val="0"/>
                <w:szCs w:val="24"/>
                <w14:ligatures w14:val="standardContextual"/>
              </w:rPr>
            </w:pPr>
            <w:r w:rsidRPr="008A4095">
              <w:rPr>
                <w:rFonts w:ascii="標楷體" w:eastAsia="標楷體" w:hAnsi="Aptos" w:cs="標楷體" w:hint="eastAsia"/>
                <w:color w:val="000000"/>
                <w:kern w:val="0"/>
                <w:szCs w:val="24"/>
                <w14:ligatures w14:val="standardContextual"/>
              </w:rPr>
              <w:t>二、未來應持續強化跨部會橫向聯繫及協作、促進資源整合共享，以掌握各部會工作之階段性成果，落實整體方案之達成。</w:t>
            </w:r>
          </w:p>
        </w:tc>
      </w:tr>
    </w:tbl>
    <w:p w14:paraId="3F93E6C1" w14:textId="77777777" w:rsidR="008A4095" w:rsidRPr="008A4095" w:rsidRDefault="008A4095" w:rsidP="00DE7CA0">
      <w:pPr>
        <w:jc w:val="center"/>
        <w:rPr>
          <w:rFonts w:ascii="標楷體" w:eastAsia="標楷體" w:hAnsi="標楷體" w:hint="eastAsia"/>
          <w:szCs w:val="24"/>
        </w:rPr>
      </w:pPr>
    </w:p>
    <w:sectPr w:rsidR="008A4095" w:rsidRPr="008A409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4128" w14:textId="77777777" w:rsidR="00CF3F6B" w:rsidRDefault="00CF3F6B" w:rsidP="0075571F">
      <w:r>
        <w:separator/>
      </w:r>
    </w:p>
  </w:endnote>
  <w:endnote w:type="continuationSeparator" w:id="0">
    <w:p w14:paraId="65042A7D" w14:textId="77777777" w:rsidR="00CF3F6B" w:rsidRDefault="00CF3F6B" w:rsidP="0075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095816"/>
      <w:docPartObj>
        <w:docPartGallery w:val="Page Numbers (Bottom of Page)"/>
        <w:docPartUnique/>
      </w:docPartObj>
    </w:sdtPr>
    <w:sdtEndPr/>
    <w:sdtContent>
      <w:p w14:paraId="23552AA1" w14:textId="77777777" w:rsidR="0075571F" w:rsidRDefault="0075571F">
        <w:pPr>
          <w:pStyle w:val="a7"/>
          <w:jc w:val="center"/>
        </w:pPr>
        <w:r>
          <w:fldChar w:fldCharType="begin"/>
        </w:r>
        <w:r>
          <w:instrText>PAGE   \* MERGEFORMAT</w:instrText>
        </w:r>
        <w:r>
          <w:fldChar w:fldCharType="separate"/>
        </w:r>
        <w:r w:rsidR="00656F7A" w:rsidRPr="00656F7A">
          <w:rPr>
            <w:noProof/>
            <w:lang w:val="zh-TW"/>
          </w:rPr>
          <w:t>2</w:t>
        </w:r>
        <w:r>
          <w:fldChar w:fldCharType="end"/>
        </w:r>
      </w:p>
    </w:sdtContent>
  </w:sdt>
  <w:p w14:paraId="15512BB2" w14:textId="77777777" w:rsidR="0075571F" w:rsidRDefault="007557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8D47" w14:textId="77777777" w:rsidR="00CF3F6B" w:rsidRDefault="00CF3F6B" w:rsidP="0075571F">
      <w:r>
        <w:separator/>
      </w:r>
    </w:p>
  </w:footnote>
  <w:footnote w:type="continuationSeparator" w:id="0">
    <w:p w14:paraId="44431C8C" w14:textId="77777777" w:rsidR="00CF3F6B" w:rsidRDefault="00CF3F6B" w:rsidP="0075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6B3"/>
    <w:multiLevelType w:val="hybridMultilevel"/>
    <w:tmpl w:val="1CA8C2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6F7173"/>
    <w:multiLevelType w:val="hybridMultilevel"/>
    <w:tmpl w:val="9A589376"/>
    <w:lvl w:ilvl="0" w:tplc="0C440E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2E2F25"/>
    <w:multiLevelType w:val="hybridMultilevel"/>
    <w:tmpl w:val="97843C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A655C5"/>
    <w:multiLevelType w:val="hybridMultilevel"/>
    <w:tmpl w:val="77AA575A"/>
    <w:lvl w:ilvl="0" w:tplc="A39653D6">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4326D"/>
    <w:multiLevelType w:val="hybridMultilevel"/>
    <w:tmpl w:val="6C80D99A"/>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1D01D9"/>
    <w:multiLevelType w:val="hybridMultilevel"/>
    <w:tmpl w:val="A3EC09F8"/>
    <w:lvl w:ilvl="0" w:tplc="E4D8F1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067994"/>
    <w:multiLevelType w:val="hybridMultilevel"/>
    <w:tmpl w:val="055875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877BF3"/>
    <w:multiLevelType w:val="hybridMultilevel"/>
    <w:tmpl w:val="FB1E5F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2738AA"/>
    <w:multiLevelType w:val="hybridMultilevel"/>
    <w:tmpl w:val="8DF457AE"/>
    <w:lvl w:ilvl="0" w:tplc="277040C4">
      <w:start w:val="1"/>
      <w:numFmt w:val="taiwaneseCountingThousand"/>
      <w:lvlText w:val="%1、"/>
      <w:lvlJc w:val="left"/>
      <w:pPr>
        <w:ind w:left="530" w:hanging="504"/>
      </w:pPr>
      <w:rPr>
        <w:rFonts w:hint="default"/>
        <w:sz w:val="28"/>
        <w:szCs w:val="28"/>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9" w15:restartNumberingAfterBreak="0">
    <w:nsid w:val="5D2E7F71"/>
    <w:multiLevelType w:val="hybridMultilevel"/>
    <w:tmpl w:val="F628F26A"/>
    <w:lvl w:ilvl="0" w:tplc="7A5A526E">
      <w:start w:val="1"/>
      <w:numFmt w:val="taiwaneseCountingThousand"/>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7AD15CB"/>
    <w:multiLevelType w:val="hybridMultilevel"/>
    <w:tmpl w:val="62165F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3"/>
  </w:num>
  <w:num w:numId="4">
    <w:abstractNumId w:val="5"/>
  </w:num>
  <w:num w:numId="5">
    <w:abstractNumId w:val="1"/>
  </w:num>
  <w:num w:numId="6">
    <w:abstractNumId w:val="7"/>
  </w:num>
  <w:num w:numId="7">
    <w:abstractNumId w:val="0"/>
  </w:num>
  <w:num w:numId="8">
    <w:abstractNumId w:val="10"/>
  </w:num>
  <w:num w:numId="9">
    <w:abstractNumId w:val="6"/>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D"/>
    <w:rsid w:val="00011A40"/>
    <w:rsid w:val="00012D2B"/>
    <w:rsid w:val="000133E5"/>
    <w:rsid w:val="000153ED"/>
    <w:rsid w:val="00017561"/>
    <w:rsid w:val="00024C6B"/>
    <w:rsid w:val="000329B6"/>
    <w:rsid w:val="00037252"/>
    <w:rsid w:val="0004215D"/>
    <w:rsid w:val="000421D7"/>
    <w:rsid w:val="0004780A"/>
    <w:rsid w:val="00047CAA"/>
    <w:rsid w:val="00060871"/>
    <w:rsid w:val="000613B4"/>
    <w:rsid w:val="00094E82"/>
    <w:rsid w:val="000A6114"/>
    <w:rsid w:val="000B4EAA"/>
    <w:rsid w:val="000D1AAB"/>
    <w:rsid w:val="000D51C5"/>
    <w:rsid w:val="000E7130"/>
    <w:rsid w:val="00101BC8"/>
    <w:rsid w:val="00105D0A"/>
    <w:rsid w:val="00106BA9"/>
    <w:rsid w:val="001215A5"/>
    <w:rsid w:val="0012564C"/>
    <w:rsid w:val="00126ABD"/>
    <w:rsid w:val="0013741B"/>
    <w:rsid w:val="001821EB"/>
    <w:rsid w:val="00183A83"/>
    <w:rsid w:val="00194A7A"/>
    <w:rsid w:val="00197A68"/>
    <w:rsid w:val="001A4B18"/>
    <w:rsid w:val="001A7BB7"/>
    <w:rsid w:val="001D50F3"/>
    <w:rsid w:val="001E3DD0"/>
    <w:rsid w:val="00230A3A"/>
    <w:rsid w:val="00236C82"/>
    <w:rsid w:val="002401A2"/>
    <w:rsid w:val="00244CC5"/>
    <w:rsid w:val="0024556B"/>
    <w:rsid w:val="002717C1"/>
    <w:rsid w:val="002758EF"/>
    <w:rsid w:val="00280FAD"/>
    <w:rsid w:val="00282D87"/>
    <w:rsid w:val="00284CE8"/>
    <w:rsid w:val="00287256"/>
    <w:rsid w:val="00292CA9"/>
    <w:rsid w:val="002B130C"/>
    <w:rsid w:val="002B432C"/>
    <w:rsid w:val="002C0DFB"/>
    <w:rsid w:val="002D6D0F"/>
    <w:rsid w:val="002F19FB"/>
    <w:rsid w:val="002F7A29"/>
    <w:rsid w:val="00311D41"/>
    <w:rsid w:val="00342AF4"/>
    <w:rsid w:val="0035244D"/>
    <w:rsid w:val="00356D03"/>
    <w:rsid w:val="003A7AB4"/>
    <w:rsid w:val="003B267A"/>
    <w:rsid w:val="003B33DF"/>
    <w:rsid w:val="003D4721"/>
    <w:rsid w:val="003E1558"/>
    <w:rsid w:val="003E56C7"/>
    <w:rsid w:val="003F1F39"/>
    <w:rsid w:val="003F2EA1"/>
    <w:rsid w:val="003F425B"/>
    <w:rsid w:val="003F7C21"/>
    <w:rsid w:val="00405896"/>
    <w:rsid w:val="00406949"/>
    <w:rsid w:val="0045005E"/>
    <w:rsid w:val="00464CAF"/>
    <w:rsid w:val="004B4A7C"/>
    <w:rsid w:val="004C7BAE"/>
    <w:rsid w:val="004E68C5"/>
    <w:rsid w:val="0050164F"/>
    <w:rsid w:val="005110C6"/>
    <w:rsid w:val="00513490"/>
    <w:rsid w:val="005331BF"/>
    <w:rsid w:val="00534D83"/>
    <w:rsid w:val="0055038A"/>
    <w:rsid w:val="00550FC9"/>
    <w:rsid w:val="005603DC"/>
    <w:rsid w:val="00561757"/>
    <w:rsid w:val="005647A5"/>
    <w:rsid w:val="00572B1C"/>
    <w:rsid w:val="00573B1E"/>
    <w:rsid w:val="00574BCC"/>
    <w:rsid w:val="00580443"/>
    <w:rsid w:val="005B7BF3"/>
    <w:rsid w:val="005C2DF1"/>
    <w:rsid w:val="005D123D"/>
    <w:rsid w:val="005D1458"/>
    <w:rsid w:val="005D5A6F"/>
    <w:rsid w:val="005E21B8"/>
    <w:rsid w:val="005E23DB"/>
    <w:rsid w:val="005E265C"/>
    <w:rsid w:val="005E5B05"/>
    <w:rsid w:val="006029A1"/>
    <w:rsid w:val="006276A4"/>
    <w:rsid w:val="00634063"/>
    <w:rsid w:val="00650BA7"/>
    <w:rsid w:val="006541E0"/>
    <w:rsid w:val="00656F7A"/>
    <w:rsid w:val="00675692"/>
    <w:rsid w:val="00682B5E"/>
    <w:rsid w:val="006878E8"/>
    <w:rsid w:val="00691F17"/>
    <w:rsid w:val="00694C26"/>
    <w:rsid w:val="006A3865"/>
    <w:rsid w:val="006A4261"/>
    <w:rsid w:val="006A45E8"/>
    <w:rsid w:val="006C3DD4"/>
    <w:rsid w:val="006C5D51"/>
    <w:rsid w:val="006D3571"/>
    <w:rsid w:val="007007E9"/>
    <w:rsid w:val="0070758A"/>
    <w:rsid w:val="007226AA"/>
    <w:rsid w:val="007235F9"/>
    <w:rsid w:val="0072493C"/>
    <w:rsid w:val="00724C9A"/>
    <w:rsid w:val="007343CF"/>
    <w:rsid w:val="00752381"/>
    <w:rsid w:val="0075571F"/>
    <w:rsid w:val="0076087B"/>
    <w:rsid w:val="00777D49"/>
    <w:rsid w:val="00794910"/>
    <w:rsid w:val="007B7206"/>
    <w:rsid w:val="007C1168"/>
    <w:rsid w:val="007C539D"/>
    <w:rsid w:val="007D56F4"/>
    <w:rsid w:val="007D7A78"/>
    <w:rsid w:val="007F57F5"/>
    <w:rsid w:val="00803268"/>
    <w:rsid w:val="00805131"/>
    <w:rsid w:val="00807A99"/>
    <w:rsid w:val="0081089D"/>
    <w:rsid w:val="0082044A"/>
    <w:rsid w:val="00850B6A"/>
    <w:rsid w:val="00855D4C"/>
    <w:rsid w:val="00880A9B"/>
    <w:rsid w:val="008858D2"/>
    <w:rsid w:val="00893402"/>
    <w:rsid w:val="00894C8F"/>
    <w:rsid w:val="008A3783"/>
    <w:rsid w:val="008A4095"/>
    <w:rsid w:val="008A5CE6"/>
    <w:rsid w:val="008B0143"/>
    <w:rsid w:val="008D00C6"/>
    <w:rsid w:val="008D3AF0"/>
    <w:rsid w:val="008D3ECA"/>
    <w:rsid w:val="008E3522"/>
    <w:rsid w:val="008E5A3A"/>
    <w:rsid w:val="008E6922"/>
    <w:rsid w:val="008F2273"/>
    <w:rsid w:val="008F295A"/>
    <w:rsid w:val="0090364D"/>
    <w:rsid w:val="0093018B"/>
    <w:rsid w:val="009363D6"/>
    <w:rsid w:val="009412C8"/>
    <w:rsid w:val="00956C80"/>
    <w:rsid w:val="009671FC"/>
    <w:rsid w:val="00990921"/>
    <w:rsid w:val="009A0014"/>
    <w:rsid w:val="009B1053"/>
    <w:rsid w:val="009B716C"/>
    <w:rsid w:val="009B77F2"/>
    <w:rsid w:val="009C5B95"/>
    <w:rsid w:val="009E5744"/>
    <w:rsid w:val="00A1504E"/>
    <w:rsid w:val="00A23ADE"/>
    <w:rsid w:val="00A27DD8"/>
    <w:rsid w:val="00A42DB3"/>
    <w:rsid w:val="00A43127"/>
    <w:rsid w:val="00A45D17"/>
    <w:rsid w:val="00A52739"/>
    <w:rsid w:val="00A66DC0"/>
    <w:rsid w:val="00A71E40"/>
    <w:rsid w:val="00A74DAD"/>
    <w:rsid w:val="00AA0739"/>
    <w:rsid w:val="00AA61F4"/>
    <w:rsid w:val="00AC08FE"/>
    <w:rsid w:val="00AC2C89"/>
    <w:rsid w:val="00AC6FF0"/>
    <w:rsid w:val="00AD5699"/>
    <w:rsid w:val="00AE0AFB"/>
    <w:rsid w:val="00AE248F"/>
    <w:rsid w:val="00B0128B"/>
    <w:rsid w:val="00B07A6E"/>
    <w:rsid w:val="00B11B1F"/>
    <w:rsid w:val="00B24C90"/>
    <w:rsid w:val="00B32751"/>
    <w:rsid w:val="00B40C31"/>
    <w:rsid w:val="00B51BD1"/>
    <w:rsid w:val="00B71682"/>
    <w:rsid w:val="00B7483F"/>
    <w:rsid w:val="00B774E7"/>
    <w:rsid w:val="00BA7D49"/>
    <w:rsid w:val="00BC6906"/>
    <w:rsid w:val="00BD2A92"/>
    <w:rsid w:val="00BD7CB2"/>
    <w:rsid w:val="00BF4C2D"/>
    <w:rsid w:val="00C002F5"/>
    <w:rsid w:val="00C01CC2"/>
    <w:rsid w:val="00C21F25"/>
    <w:rsid w:val="00C33994"/>
    <w:rsid w:val="00C3557D"/>
    <w:rsid w:val="00C66483"/>
    <w:rsid w:val="00C66B25"/>
    <w:rsid w:val="00C70943"/>
    <w:rsid w:val="00C71425"/>
    <w:rsid w:val="00C81A6D"/>
    <w:rsid w:val="00C853A7"/>
    <w:rsid w:val="00C97A2F"/>
    <w:rsid w:val="00CC2D6B"/>
    <w:rsid w:val="00CC3890"/>
    <w:rsid w:val="00CC744B"/>
    <w:rsid w:val="00CD4FC0"/>
    <w:rsid w:val="00CF3F6B"/>
    <w:rsid w:val="00D03F83"/>
    <w:rsid w:val="00D21B01"/>
    <w:rsid w:val="00D2555F"/>
    <w:rsid w:val="00D2735E"/>
    <w:rsid w:val="00D30660"/>
    <w:rsid w:val="00D342AE"/>
    <w:rsid w:val="00D44C89"/>
    <w:rsid w:val="00D75FA3"/>
    <w:rsid w:val="00D90BA5"/>
    <w:rsid w:val="00D922F2"/>
    <w:rsid w:val="00D95A54"/>
    <w:rsid w:val="00D96A16"/>
    <w:rsid w:val="00DA27BD"/>
    <w:rsid w:val="00DB736B"/>
    <w:rsid w:val="00DD1D85"/>
    <w:rsid w:val="00DD35BB"/>
    <w:rsid w:val="00DD46BB"/>
    <w:rsid w:val="00DE7CA0"/>
    <w:rsid w:val="00E075C4"/>
    <w:rsid w:val="00E32959"/>
    <w:rsid w:val="00E55A46"/>
    <w:rsid w:val="00E70A1B"/>
    <w:rsid w:val="00EA0A53"/>
    <w:rsid w:val="00EB5A44"/>
    <w:rsid w:val="00EB6C91"/>
    <w:rsid w:val="00ED399E"/>
    <w:rsid w:val="00F018D2"/>
    <w:rsid w:val="00F03327"/>
    <w:rsid w:val="00F101A6"/>
    <w:rsid w:val="00F15264"/>
    <w:rsid w:val="00F1683F"/>
    <w:rsid w:val="00F2417C"/>
    <w:rsid w:val="00F40821"/>
    <w:rsid w:val="00F53DCE"/>
    <w:rsid w:val="00F73404"/>
    <w:rsid w:val="00F81928"/>
    <w:rsid w:val="00FA365D"/>
    <w:rsid w:val="00FB5371"/>
    <w:rsid w:val="00FD220A"/>
    <w:rsid w:val="00FD4D06"/>
    <w:rsid w:val="00FF51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F1975D"/>
  <w15:chartTrackingRefBased/>
  <w15:docId w15:val="{A3F10DE9-D696-4326-B83E-23EE9E4C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539D"/>
    <w:pPr>
      <w:ind w:leftChars="200" w:left="480"/>
    </w:pPr>
    <w:rPr>
      <w:rFonts w:ascii="Calibri" w:eastAsia="新細明體" w:hAnsi="Calibri" w:cs="Times New Roman"/>
    </w:rPr>
  </w:style>
  <w:style w:type="paragraph" w:styleId="a5">
    <w:name w:val="header"/>
    <w:basedOn w:val="a"/>
    <w:link w:val="a6"/>
    <w:uiPriority w:val="99"/>
    <w:unhideWhenUsed/>
    <w:rsid w:val="0075571F"/>
    <w:pPr>
      <w:tabs>
        <w:tab w:val="center" w:pos="4153"/>
        <w:tab w:val="right" w:pos="8306"/>
      </w:tabs>
      <w:snapToGrid w:val="0"/>
    </w:pPr>
    <w:rPr>
      <w:sz w:val="20"/>
      <w:szCs w:val="20"/>
    </w:rPr>
  </w:style>
  <w:style w:type="character" w:customStyle="1" w:styleId="a6">
    <w:name w:val="頁首 字元"/>
    <w:basedOn w:val="a0"/>
    <w:link w:val="a5"/>
    <w:uiPriority w:val="99"/>
    <w:rsid w:val="0075571F"/>
    <w:rPr>
      <w:sz w:val="20"/>
      <w:szCs w:val="20"/>
    </w:rPr>
  </w:style>
  <w:style w:type="paragraph" w:styleId="a7">
    <w:name w:val="footer"/>
    <w:basedOn w:val="a"/>
    <w:link w:val="a8"/>
    <w:uiPriority w:val="99"/>
    <w:unhideWhenUsed/>
    <w:rsid w:val="0075571F"/>
    <w:pPr>
      <w:tabs>
        <w:tab w:val="center" w:pos="4153"/>
        <w:tab w:val="right" w:pos="8306"/>
      </w:tabs>
      <w:snapToGrid w:val="0"/>
    </w:pPr>
    <w:rPr>
      <w:sz w:val="20"/>
      <w:szCs w:val="20"/>
    </w:rPr>
  </w:style>
  <w:style w:type="character" w:customStyle="1" w:styleId="a8">
    <w:name w:val="頁尾 字元"/>
    <w:basedOn w:val="a0"/>
    <w:link w:val="a7"/>
    <w:uiPriority w:val="99"/>
    <w:rsid w:val="0075571F"/>
    <w:rPr>
      <w:sz w:val="20"/>
      <w:szCs w:val="20"/>
    </w:rPr>
  </w:style>
  <w:style w:type="paragraph" w:styleId="a9">
    <w:name w:val="Balloon Text"/>
    <w:basedOn w:val="a"/>
    <w:link w:val="aa"/>
    <w:uiPriority w:val="99"/>
    <w:semiHidden/>
    <w:unhideWhenUsed/>
    <w:rsid w:val="007D7A7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7A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5C123-991A-4665-98BD-6B3D311E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盛淑華</dc:creator>
  <cp:keywords/>
  <dc:description/>
  <cp:lastModifiedBy>盛淑華</cp:lastModifiedBy>
  <cp:revision>3</cp:revision>
  <cp:lastPrinted>2024-03-26T01:32:00Z</cp:lastPrinted>
  <dcterms:created xsi:type="dcterms:W3CDTF">2024-04-08T04:06:00Z</dcterms:created>
  <dcterms:modified xsi:type="dcterms:W3CDTF">2024-04-11T08:41:00Z</dcterms:modified>
</cp:coreProperties>
</file>