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B8" w:rsidRPr="004547B8" w:rsidRDefault="00D3711E" w:rsidP="004547B8">
      <w:pPr>
        <w:rPr>
          <w:rFonts w:ascii="Calibri" w:eastAsia="標楷體" w:hAnsi="Calibri" w:cs="Times New Roman"/>
          <w:b/>
          <w:sz w:val="27"/>
        </w:rPr>
      </w:pPr>
      <w:r w:rsidRPr="004547B8">
        <w:rPr>
          <w:rFonts w:ascii="Calibri" w:eastAsia="新細明體" w:hAnsi="Calibri" w:cs="Times New Roman"/>
          <w:noProof/>
        </w:rPr>
        <w:drawing>
          <wp:inline distT="0" distB="0" distL="0" distR="0" wp14:anchorId="218B31E5" wp14:editId="7405D51C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4547B8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98E4D7" wp14:editId="0B8FDE9B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Pr="00896F96" w:rsidRDefault="004547B8" w:rsidP="004547B8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4547B8" w:rsidRPr="00896F96" w:rsidRDefault="004547B8" w:rsidP="004547B8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7B8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4547B8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4547B8" w:rsidRPr="004547B8" w:rsidRDefault="004547B8" w:rsidP="004547B8">
      <w:pPr>
        <w:spacing w:line="520" w:lineRule="exact"/>
        <w:jc w:val="center"/>
        <w:rPr>
          <w:rFonts w:ascii="Calibri" w:eastAsia="標楷體" w:hAnsi="Calibri" w:cs="Times New Roman"/>
          <w:b/>
          <w:bCs/>
          <w:color w:val="FF0000"/>
          <w:sz w:val="36"/>
          <w:szCs w:val="36"/>
        </w:rPr>
      </w:pPr>
    </w:p>
    <w:p w:rsidR="004547B8" w:rsidRPr="004547B8" w:rsidRDefault="004547B8" w:rsidP="004547B8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 w:rsidRPr="004547B8">
        <w:rPr>
          <w:rFonts w:ascii="Calibri" w:eastAsia="標楷體" w:hAnsi="Calibri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5B9343" wp14:editId="392D3899">
                <wp:simplePos x="0" y="0"/>
                <wp:positionH relativeFrom="column">
                  <wp:posOffset>3377565</wp:posOffset>
                </wp:positionH>
                <wp:positionV relativeFrom="paragraph">
                  <wp:posOffset>27305</wp:posOffset>
                </wp:positionV>
                <wp:extent cx="2628900" cy="645795"/>
                <wp:effectExtent l="1270" t="0" r="0" b="38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141DCC">
                              <w:rPr>
                                <w:rFonts w:eastAsia="標楷體" w:hint="eastAsia"/>
                                <w:color w:val="000000"/>
                              </w:rPr>
                              <w:t>10</w:t>
                            </w:r>
                            <w:r w:rsidR="00F6087D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F6087D">
                              <w:rPr>
                                <w:rFonts w:eastAsia="標楷體" w:hint="eastAsia"/>
                                <w:color w:val="000000"/>
                              </w:rPr>
                              <w:t>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F6087D">
                              <w:rPr>
                                <w:rFonts w:eastAsia="標楷體" w:hint="eastAsia"/>
                                <w:color w:val="000000"/>
                              </w:rPr>
                              <w:t>24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聯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</w:rPr>
                              <w:t>絡</w:t>
                            </w:r>
                            <w:r>
                              <w:rPr>
                                <w:rFonts w:eastAsia="標楷體"/>
                              </w:rPr>
                              <w:t xml:space="preserve"> </w:t>
                            </w:r>
                            <w:r w:rsidR="00141DCC">
                              <w:rPr>
                                <w:rFonts w:eastAsia="標楷體" w:hint="eastAsia"/>
                              </w:rPr>
                              <w:t>人：</w:t>
                            </w:r>
                            <w:proofErr w:type="gramStart"/>
                            <w:r w:rsidR="001C4EF0">
                              <w:rPr>
                                <w:rFonts w:eastAsia="標楷體" w:hint="eastAsia"/>
                              </w:rPr>
                              <w:t>郭翡</w:t>
                            </w:r>
                            <w:proofErr w:type="gramEnd"/>
                            <w:r w:rsidR="001C4EF0">
                              <w:rPr>
                                <w:rFonts w:eastAsia="標楷體" w:hint="eastAsia"/>
                              </w:rPr>
                              <w:t>玉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C9253B">
                              <w:rPr>
                                <w:rFonts w:eastAsia="標楷體" w:hint="eastAsia"/>
                              </w:rPr>
                              <w:t>陳威志</w:t>
                            </w:r>
                          </w:p>
                          <w:p w:rsidR="004547B8" w:rsidRDefault="004547B8" w:rsidP="004547B8">
                            <w:pPr>
                              <w:spacing w:line="280" w:lineRule="exact"/>
                            </w:pPr>
                            <w:r>
                              <w:rPr>
                                <w:rFonts w:eastAsia="標楷體" w:hint="eastAsia"/>
                              </w:rPr>
                              <w:t>聯絡電話：</w:t>
                            </w:r>
                            <w:r w:rsidR="00141DCC">
                              <w:rPr>
                                <w:rFonts w:eastAsia="標楷體" w:hint="eastAsia"/>
                              </w:rPr>
                              <w:t>2316</w:t>
                            </w:r>
                            <w:r w:rsidR="00D666B7">
                              <w:rPr>
                                <w:rFonts w:eastAsia="標楷體" w:hint="eastAsia"/>
                              </w:rPr>
                              <w:t>535</w:t>
                            </w:r>
                            <w:r w:rsidR="00141DCC">
                              <w:rPr>
                                <w:rFonts w:eastAsia="標楷體" w:hint="eastAsia"/>
                              </w:rPr>
                              <w:t>1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="00141DCC">
                              <w:rPr>
                                <w:rFonts w:eastAsia="標楷體" w:hint="eastAsia"/>
                              </w:rPr>
                              <w:t>2316</w:t>
                            </w:r>
                            <w:r w:rsidR="005E203A">
                              <w:rPr>
                                <w:rFonts w:eastAsia="標楷體" w:hint="eastAsia"/>
                              </w:rPr>
                              <w:t>5</w:t>
                            </w:r>
                            <w:r w:rsidR="00C9253B">
                              <w:rPr>
                                <w:rFonts w:eastAsia="標楷體" w:hint="eastAsia"/>
                              </w:rPr>
                              <w:t>324</w:t>
                            </w:r>
                          </w:p>
                          <w:p w:rsidR="004547B8" w:rsidRPr="000D71B8" w:rsidRDefault="004547B8" w:rsidP="00454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7" type="#_x0000_t202" style="position:absolute;margin-left:265.95pt;margin-top:2.15pt;width:207pt;height:5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" stroked="f">
                <v:textbox>
                  <w:txbxContent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141DCC">
                        <w:rPr>
                          <w:rFonts w:eastAsia="標楷體" w:hint="eastAsia"/>
                          <w:color w:val="000000"/>
                        </w:rPr>
                        <w:t>10</w:t>
                      </w:r>
                      <w:r w:rsidR="00F6087D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F6087D">
                        <w:rPr>
                          <w:rFonts w:eastAsia="標楷體" w:hint="eastAsia"/>
                          <w:color w:val="000000"/>
                        </w:rPr>
                        <w:t>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F6087D">
                        <w:rPr>
                          <w:rFonts w:eastAsia="標楷體" w:hint="eastAsia"/>
                          <w:color w:val="000000"/>
                        </w:rPr>
                        <w:t>24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:rsidR="004547B8" w:rsidRDefault="004547B8" w:rsidP="004547B8">
                      <w:pPr>
                        <w:spacing w:line="280" w:lineRule="exac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聯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</w:rPr>
                        <w:t>絡</w:t>
                      </w:r>
                      <w:r>
                        <w:rPr>
                          <w:rFonts w:eastAsia="標楷體"/>
                        </w:rPr>
                        <w:t xml:space="preserve"> </w:t>
                      </w:r>
                      <w:r w:rsidR="00141DCC">
                        <w:rPr>
                          <w:rFonts w:eastAsia="標楷體" w:hint="eastAsia"/>
                        </w:rPr>
                        <w:t>人：</w:t>
                      </w:r>
                      <w:proofErr w:type="gramStart"/>
                      <w:r w:rsidR="001C4EF0">
                        <w:rPr>
                          <w:rFonts w:eastAsia="標楷體" w:hint="eastAsia"/>
                        </w:rPr>
                        <w:t>郭翡</w:t>
                      </w:r>
                      <w:proofErr w:type="gramEnd"/>
                      <w:r w:rsidR="001C4EF0">
                        <w:rPr>
                          <w:rFonts w:eastAsia="標楷體" w:hint="eastAsia"/>
                        </w:rPr>
                        <w:t>玉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C9253B">
                        <w:rPr>
                          <w:rFonts w:eastAsia="標楷體" w:hint="eastAsia"/>
                        </w:rPr>
                        <w:t>陳威志</w:t>
                      </w:r>
                    </w:p>
                    <w:p w:rsidR="004547B8" w:rsidRDefault="004547B8" w:rsidP="004547B8">
                      <w:pPr>
                        <w:spacing w:line="280" w:lineRule="exact"/>
                      </w:pPr>
                      <w:r>
                        <w:rPr>
                          <w:rFonts w:eastAsia="標楷體" w:hint="eastAsia"/>
                        </w:rPr>
                        <w:t>聯絡電話：</w:t>
                      </w:r>
                      <w:r w:rsidR="00141DCC">
                        <w:rPr>
                          <w:rFonts w:eastAsia="標楷體" w:hint="eastAsia"/>
                        </w:rPr>
                        <w:t>2316</w:t>
                      </w:r>
                      <w:r w:rsidR="00D666B7">
                        <w:rPr>
                          <w:rFonts w:eastAsia="標楷體" w:hint="eastAsia"/>
                        </w:rPr>
                        <w:t>535</w:t>
                      </w:r>
                      <w:r w:rsidR="00141DCC">
                        <w:rPr>
                          <w:rFonts w:eastAsia="標楷體" w:hint="eastAsia"/>
                        </w:rPr>
                        <w:t>1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="00141DCC">
                        <w:rPr>
                          <w:rFonts w:eastAsia="標楷體" w:hint="eastAsia"/>
                        </w:rPr>
                        <w:t>2316</w:t>
                      </w:r>
                      <w:r w:rsidR="005E203A">
                        <w:rPr>
                          <w:rFonts w:eastAsia="標楷體" w:hint="eastAsia"/>
                        </w:rPr>
                        <w:t>5</w:t>
                      </w:r>
                      <w:r w:rsidR="00C9253B">
                        <w:rPr>
                          <w:rFonts w:eastAsia="標楷體" w:hint="eastAsia"/>
                        </w:rPr>
                        <w:t>324</w:t>
                      </w:r>
                    </w:p>
                    <w:p w:rsidR="004547B8" w:rsidRPr="000D71B8" w:rsidRDefault="004547B8" w:rsidP="004547B8"/>
                  </w:txbxContent>
                </v:textbox>
              </v:shape>
            </w:pict>
          </mc:Fallback>
        </mc:AlternateContent>
      </w:r>
      <w:r w:rsidRPr="004547B8">
        <w:rPr>
          <w:rFonts w:ascii="Calibri" w:eastAsia="標楷體" w:hAnsi="Calibri" w:cs="Times New Roman"/>
        </w:rPr>
        <w:tab/>
      </w:r>
    </w:p>
    <w:p w:rsidR="004547B8" w:rsidRPr="004547B8" w:rsidRDefault="004547B8" w:rsidP="004547B8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4547B8" w:rsidRPr="004547B8" w:rsidRDefault="004547B8" w:rsidP="004547B8">
      <w:pPr>
        <w:snapToGrid w:val="0"/>
        <w:spacing w:line="240" w:lineRule="atLeast"/>
        <w:ind w:leftChars="2250" w:left="5400"/>
        <w:rPr>
          <w:rFonts w:ascii="標楷體" w:eastAsia="標楷體" w:hAnsi="標楷體" w:cs="Times New Roman"/>
          <w:bCs/>
          <w:color w:val="0070C0"/>
          <w:kern w:val="0"/>
          <w:sz w:val="28"/>
          <w:szCs w:val="28"/>
        </w:rPr>
      </w:pPr>
    </w:p>
    <w:p w:rsidR="003F2971" w:rsidRPr="003F2971" w:rsidRDefault="00141DCC" w:rsidP="00D37179">
      <w:pPr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kern w:val="0"/>
          <w:sz w:val="36"/>
          <w:szCs w:val="36"/>
        </w:rPr>
      </w:pPr>
      <w:r w:rsidRPr="00141DCC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國</w:t>
      </w:r>
      <w:r w:rsidR="00E615E4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發</w:t>
      </w:r>
      <w:bookmarkStart w:id="0" w:name="_GoBack"/>
      <w:bookmarkEnd w:id="0"/>
      <w:r w:rsidRPr="00141DCC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會舉辦「</w:t>
      </w:r>
      <w:r w:rsid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未來城鄉發展</w:t>
      </w:r>
      <w:r w:rsidRPr="00141DCC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」</w:t>
      </w:r>
      <w:r w:rsid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跨校規劃成果聯展</w:t>
      </w:r>
      <w:r w:rsidRPr="00141DCC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，</w:t>
      </w:r>
      <w:r w:rsid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邀請年輕</w:t>
      </w:r>
      <w:r w:rsidR="00F6087D" w:rsidRP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學子</w:t>
      </w:r>
      <w:r w:rsidR="00752C2B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描繪</w:t>
      </w:r>
      <w:r w:rsidR="00F6087D" w:rsidRP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2050</w:t>
      </w:r>
      <w:r w:rsid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國土空間</w:t>
      </w:r>
      <w:r w:rsidR="00F6087D" w:rsidRPr="00F6087D">
        <w:rPr>
          <w:rFonts w:ascii="標楷體" w:eastAsia="標楷體" w:hAnsi="標楷體" w:cs="Times New Roman" w:hint="eastAsia"/>
          <w:b/>
          <w:bCs/>
          <w:color w:val="000000" w:themeColor="text1"/>
          <w:kern w:val="0"/>
          <w:sz w:val="36"/>
          <w:szCs w:val="36"/>
        </w:rPr>
        <w:t>發展願景</w:t>
      </w:r>
    </w:p>
    <w:p w:rsidR="004547B8" w:rsidRPr="004547B8" w:rsidRDefault="004547B8" w:rsidP="003A7982">
      <w:pPr>
        <w:snapToGrid w:val="0"/>
        <w:spacing w:line="580" w:lineRule="exact"/>
        <w:jc w:val="both"/>
        <w:rPr>
          <w:rFonts w:ascii="Calibri" w:eastAsia="標楷體" w:hAnsi="Calibri" w:cs="Times New Roman"/>
          <w:b/>
          <w:bCs/>
          <w:color w:val="FF0000"/>
          <w:kern w:val="0"/>
          <w:sz w:val="32"/>
          <w:szCs w:val="32"/>
        </w:rPr>
      </w:pPr>
    </w:p>
    <w:p w:rsidR="004547B8" w:rsidRPr="004547B8" w:rsidRDefault="00CE79C2" w:rsidP="003A7982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  <w:r w:rsidRPr="00CE79C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國家發展委員會</w:t>
      </w:r>
      <w:r w:rsidR="00404FD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自今</w:t>
      </w:r>
      <w:r w:rsidR="007B2D3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 xml:space="preserve"> </w:t>
      </w:r>
      <w:r w:rsidR="00404FD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(24)</w:t>
      </w:r>
      <w:r w:rsidR="007B2D34" w:rsidRPr="007B2D3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 xml:space="preserve"> </w:t>
      </w:r>
      <w:r w:rsidR="007B2D34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日</w:t>
      </w:r>
      <w:r w:rsidR="00404FD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起連續三天</w:t>
      </w:r>
      <w:r w:rsidRPr="00CE79C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假</w:t>
      </w:r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TAF空總創新基地</w:t>
      </w:r>
      <w:r w:rsidR="00D233C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舉辦</w:t>
      </w:r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「未來城鄉發展」跨校規劃成果聯展</w:t>
      </w:r>
      <w:r w:rsidR="00F442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  <w:r w:rsidR="00404FD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陳主委</w:t>
      </w:r>
      <w:proofErr w:type="gramStart"/>
      <w:r w:rsidR="00404FD0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添枝於</w:t>
      </w:r>
      <w:proofErr w:type="gramEnd"/>
      <w:r w:rsid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開幕式親</w:t>
      </w:r>
      <w:r w:rsidR="00F442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臨</w:t>
      </w:r>
      <w:r w:rsid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致詞及頒發感謝狀，感謝</w:t>
      </w:r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國立</w:t>
      </w:r>
      <w:proofErr w:type="gramStart"/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臺</w:t>
      </w:r>
      <w:proofErr w:type="gramEnd"/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北大學(都市計劃研究所)、國立</w:t>
      </w:r>
      <w:proofErr w:type="gramStart"/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臺</w:t>
      </w:r>
      <w:proofErr w:type="gramEnd"/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北科技大學(建築系暨建築與都市設計研究所)、國立金門大學(都市計畫與景觀學系)、國立中山大學(公共事務研究所)、國立</w:t>
      </w:r>
      <w:proofErr w:type="gramStart"/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臺</w:t>
      </w:r>
      <w:proofErr w:type="gramEnd"/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東大學(公共與文化事務學系)、中國文化大學(建築及都市設計學系、都市計劃與開發管理學系)及逢甲大學(土地管理學系、都市計畫與空間資訊學系)等7校9系的老師及同學們共</w:t>
      </w:r>
      <w:r w:rsidR="00752C2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同</w:t>
      </w:r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參與</w:t>
      </w:r>
      <w:r w:rsidR="00752C2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國家發展委員會</w:t>
      </w:r>
      <w:r w:rsidR="00F6087D" w:rsidRPr="00F6087D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主辦之「未來城鄉發展規劃」工作</w:t>
      </w:r>
      <w:r w:rsidRPr="00CE79C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</w:p>
    <w:p w:rsidR="00470942" w:rsidRDefault="00752C2B" w:rsidP="003A7982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 w:rsidRPr="00752C2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現今自然、社會、科技、經濟及政治環境變動加快加劇，面臨種種快速變遷與挑戰，諸如：極端氣候的發生、能資源匱乏、</w:t>
      </w:r>
      <w:proofErr w:type="gramStart"/>
      <w:r w:rsidRPr="00752C2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高齡少子化</w:t>
      </w:r>
      <w:proofErr w:type="gramEnd"/>
      <w:r w:rsidRPr="00752C2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社會、</w:t>
      </w:r>
      <w:r w:rsidR="0044738A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自駕</w:t>
      </w:r>
      <w:r w:rsidRPr="00752C2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車的發明、</w:t>
      </w:r>
      <w:proofErr w:type="gramStart"/>
      <w:r w:rsidRPr="00752C2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物聯網</w:t>
      </w:r>
      <w:proofErr w:type="gramEnd"/>
      <w:r w:rsidRPr="00752C2B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運用等</w:t>
      </w:r>
      <w:r w:rsidR="004709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。國家發展委員會</w:t>
      </w:r>
      <w:r w:rsidR="00470942" w:rsidRPr="004709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為國土空間發展政策</w:t>
      </w:r>
      <w:proofErr w:type="gramStart"/>
      <w:r w:rsidR="00470942" w:rsidRPr="004709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擘</w:t>
      </w:r>
      <w:proofErr w:type="gramEnd"/>
      <w:r w:rsidR="00470942" w:rsidRPr="004709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劃機關，更需因應外在環境的快速變化，從國家發展高度，綜觀世界發展趨勢，進</w:t>
      </w:r>
      <w:r w:rsidR="00470942" w:rsidRPr="0047094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lastRenderedPageBreak/>
        <w:t>行國家長期發展策略及國家建設投資相關規劃。</w:t>
      </w:r>
    </w:p>
    <w:p w:rsidR="000F5529" w:rsidRDefault="000F5529" w:rsidP="003A7982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未來的城鄉是年輕人的城鄉，未來的國土空間發展將由現在的年輕</w:t>
      </w:r>
      <w:r w:rsidR="00F442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一代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領航</w:t>
      </w:r>
      <w:r w:rsidR="00F442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因此，本次</w:t>
      </w:r>
      <w:r w:rsidR="00827E5C" w:rsidRPr="00827E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國家發展委員會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主辦之「未來城鄉發展」規劃工作，有別於傳統國土空間規劃</w:t>
      </w:r>
      <w:r w:rsidR="00F442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由上而下的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形式，將參與對象擴大</w:t>
      </w:r>
      <w:r w:rsidR="00F442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深化至年輕族群，結合學校課程，</w:t>
      </w:r>
      <w:r w:rsidR="00827E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以及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與在校老師、同學們一系列的對談交流，提前讓年輕學子參與規劃國家未來城鄉發展</w:t>
      </w:r>
      <w:r w:rsidR="00382A3E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願景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，增加年輕世代對國家未來國土空間發展的參與感及認同感，同時並藉由年輕學子的朝氣活力與創意能量，激發</w:t>
      </w:r>
      <w:r w:rsidR="00F442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對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未來國土空間發展</w:t>
      </w:r>
      <w:r w:rsidR="00F4429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嶄新</w:t>
      </w:r>
      <w:r w:rsidRPr="000F5529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的靈感與思考。</w:t>
      </w:r>
    </w:p>
    <w:p w:rsidR="002D0CF3" w:rsidRDefault="0007235C" w:rsidP="003A7982">
      <w:pPr>
        <w:autoSpaceDE w:val="0"/>
        <w:autoSpaceDN w:val="0"/>
        <w:adjustRightInd w:val="0"/>
        <w:snapToGrid w:val="0"/>
        <w:spacing w:line="580" w:lineRule="exact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</w:rPr>
      </w:pP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經過</w:t>
      </w:r>
      <w:r w:rsidR="00827E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7校9系</w:t>
      </w: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師</w:t>
      </w:r>
      <w:r w:rsidR="00827E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生</w:t>
      </w: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們從今年2月到6月一整個學期的</w:t>
      </w:r>
      <w:r w:rsidR="00827E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創意發想</w:t>
      </w: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，描繪出我</w:t>
      </w:r>
      <w:r w:rsidR="003704D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國</w:t>
      </w: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城鄉環境未來2050年的發展景象，並在</w:t>
      </w:r>
      <w:r w:rsidR="003D39BE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本次</w:t>
      </w:r>
      <w:r w:rsidR="003704D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為期</w:t>
      </w: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3日的跨校規劃成果聯展，從「未來城鄉與社會創新」、「未來再生能資源永續利用」、「氣候變遷與基地規劃」、「智慧科技與城鄉發展」等4個面向提出</w:t>
      </w:r>
      <w:r w:rsidR="006A06F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一百多件</w:t>
      </w:r>
      <w:r w:rsidR="006A06F7"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提案</w:t>
      </w:r>
      <w:r w:rsidR="00CF66D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，例如：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因應未來海平面上升趨勢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所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提出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海上浮動城市構想及耐洪城市決策支援平台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因應能資源短缺趨勢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所提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出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循環經濟城鄉發展規劃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、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因應高齡少子化趨勢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所提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出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高齡友善智慧運輸願景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，以及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因應整體</w:t>
      </w:r>
      <w:r w:rsidR="00D847D6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環境</w:t>
      </w:r>
      <w:r w:rsidR="003440C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變遷趨勢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所提</w:t>
      </w:r>
      <w:r w:rsidR="003A798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出</w:t>
      </w:r>
      <w:r w:rsidR="002B511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</w:t>
      </w:r>
      <w:r w:rsidR="003A798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綜合性城鄉</w:t>
      </w:r>
      <w:r w:rsidR="004077E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空間</w:t>
      </w:r>
      <w:r w:rsidR="003A798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發展規劃等</w:t>
      </w:r>
      <w:r w:rsidR="00CF66D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不同面向的</w:t>
      </w:r>
      <w:r w:rsidR="006A06F7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未來城鄉發展願景</w:t>
      </w:r>
      <w:r w:rsidR="003A7982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3704D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並</w:t>
      </w: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以A0海報、建築及基地規劃模型、規劃報告、模擬短片、互動式規劃軟體等</w:t>
      </w:r>
      <w:r w:rsidR="00CF66D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多樣</w:t>
      </w: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方式展現規劃成果</w:t>
      </w:r>
      <w:r w:rsidR="003704D5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，</w:t>
      </w:r>
      <w:r w:rsidR="00220C1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為我國國土空間發展規劃注入</w:t>
      </w:r>
      <w:r w:rsidR="00827E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年輕</w:t>
      </w:r>
      <w:r w:rsidR="00220C1F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的朝氣與活力</w:t>
      </w:r>
      <w:r w:rsidRPr="0007235C">
        <w:rPr>
          <w:rFonts w:ascii="標楷體" w:eastAsia="標楷體" w:hAnsi="標楷體" w:cs="Times New Roman" w:hint="eastAsia"/>
          <w:bCs/>
          <w:kern w:val="0"/>
          <w:sz w:val="32"/>
          <w:szCs w:val="32"/>
        </w:rPr>
        <w:t>。</w:t>
      </w:r>
      <w:r w:rsidR="002D0CF3">
        <w:rPr>
          <w:rFonts w:ascii="標楷體" w:eastAsia="標楷體" w:hAnsi="標楷體" w:cs="Times New Roman"/>
          <w:bCs/>
          <w:kern w:val="0"/>
          <w:sz w:val="32"/>
          <w:szCs w:val="32"/>
        </w:rPr>
        <w:br w:type="page"/>
      </w:r>
    </w:p>
    <w:p w:rsidR="002D0CF3" w:rsidRDefault="002D0CF3" w:rsidP="002D0CF3">
      <w:pPr>
        <w:autoSpaceDE w:val="0"/>
        <w:autoSpaceDN w:val="0"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  <w:r w:rsidRPr="002D0CF3">
        <w:rPr>
          <w:rFonts w:ascii="標楷體" w:eastAsia="標楷體" w:hAnsi="標楷體" w:cs="Times New Roman" w:hint="eastAsia"/>
          <w:b/>
          <w:bCs/>
          <w:kern w:val="0"/>
          <w:sz w:val="32"/>
          <w:szCs w:val="32"/>
        </w:rPr>
        <w:lastRenderedPageBreak/>
        <w:t>附件  「未來城鄉發展」跨校規劃成果聯展時間表</w:t>
      </w:r>
    </w:p>
    <w:p w:rsidR="00C120CD" w:rsidRDefault="00C120CD" w:rsidP="002D0CF3">
      <w:pPr>
        <w:autoSpaceDE w:val="0"/>
        <w:autoSpaceDN w:val="0"/>
        <w:adjustRightInd w:val="0"/>
        <w:snapToGrid w:val="0"/>
        <w:spacing w:line="360" w:lineRule="auto"/>
        <w:jc w:val="both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3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5"/>
        <w:gridCol w:w="2279"/>
        <w:gridCol w:w="46"/>
        <w:gridCol w:w="2326"/>
        <w:gridCol w:w="2264"/>
      </w:tblGrid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時間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第一日(6/24)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第二日(6/25)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第三日(6/26)</w:t>
            </w: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1000-1030</w:t>
            </w:r>
          </w:p>
        </w:tc>
        <w:tc>
          <w:tcPr>
            <w:tcW w:w="4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開放民眾、媒體自由參觀</w:t>
            </w: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1030-1040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pStyle w:val="ac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活動開場</w:t>
            </w:r>
          </w:p>
        </w:tc>
        <w:tc>
          <w:tcPr>
            <w:tcW w:w="279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自由參觀</w:t>
            </w: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1040-1050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2229D8">
            <w:pPr>
              <w:pStyle w:val="ac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  <w:lang w:eastAsia="zh-CN"/>
              </w:rPr>
            </w:pPr>
            <w:r>
              <w:rPr>
                <w:rFonts w:ascii="標楷體" w:hAnsi="標楷體" w:hint="eastAsia"/>
                <w:szCs w:val="28"/>
              </w:rPr>
              <w:t>陳</w:t>
            </w:r>
            <w:r w:rsidR="00A92E28">
              <w:rPr>
                <w:rFonts w:ascii="標楷體" w:hAnsi="標楷體" w:hint="eastAsia"/>
                <w:szCs w:val="28"/>
              </w:rPr>
              <w:t>主委</w:t>
            </w:r>
            <w:r>
              <w:rPr>
                <w:rFonts w:ascii="標楷體" w:hAnsi="標楷體" w:hint="eastAsia"/>
                <w:szCs w:val="28"/>
              </w:rPr>
              <w:t>添枝</w:t>
            </w:r>
            <w:r w:rsidR="00A92E28">
              <w:rPr>
                <w:rFonts w:ascii="標楷體" w:hAnsi="標楷體" w:hint="eastAsia"/>
                <w:szCs w:val="28"/>
              </w:rPr>
              <w:t>致詞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1050-1100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pStyle w:val="ac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頒發感謝狀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1100-1130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pStyle w:val="ac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展場導</w:t>
            </w:r>
            <w:proofErr w:type="gramStart"/>
            <w:r>
              <w:rPr>
                <w:rFonts w:ascii="標楷體" w:hAnsi="標楷體" w:hint="eastAsia"/>
                <w:szCs w:val="28"/>
              </w:rPr>
              <w:t>覽</w:t>
            </w:r>
            <w:proofErr w:type="gramEnd"/>
            <w:r>
              <w:rPr>
                <w:rFonts w:ascii="標楷體" w:hAnsi="標楷體" w:hint="eastAsia"/>
                <w:szCs w:val="28"/>
              </w:rPr>
              <w:t>簡介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1130-1200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pStyle w:val="ac"/>
              <w:snapToGrid w:val="0"/>
              <w:spacing w:line="240" w:lineRule="auto"/>
              <w:jc w:val="center"/>
              <w:rPr>
                <w:rFonts w:ascii="標楷體" w:hAnsi="標楷體"/>
                <w:szCs w:val="28"/>
              </w:rPr>
            </w:pPr>
            <w:r>
              <w:rPr>
                <w:rFonts w:ascii="標楷體" w:hAnsi="標楷體" w:hint="eastAsia"/>
                <w:szCs w:val="28"/>
              </w:rPr>
              <w:t>茶敘</w:t>
            </w: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1200-1300</w:t>
            </w:r>
          </w:p>
        </w:tc>
        <w:tc>
          <w:tcPr>
            <w:tcW w:w="41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午休</w:t>
            </w: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1300-1400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文化大學發表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中山大學發表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逢甲大學發表</w:t>
            </w: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1400-1430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成果導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成果導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成果導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1430-1530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北大學發表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北科大發表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東大學發表</w:t>
            </w: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1530-1600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成果導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成果導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成果導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1600-1700</w:t>
            </w:r>
          </w:p>
        </w:tc>
        <w:tc>
          <w:tcPr>
            <w:tcW w:w="14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自由參觀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金門大學發表</w:t>
            </w:r>
          </w:p>
        </w:tc>
        <w:tc>
          <w:tcPr>
            <w:tcW w:w="1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展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場撤收</w:t>
            </w:r>
            <w:proofErr w:type="gramEnd"/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1700-1730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成果導</w:t>
            </w: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A92E28" w:rsidTr="00A92E28">
        <w:trPr>
          <w:trHeight w:val="404"/>
        </w:trPr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1730-1800</w:t>
            </w:r>
          </w:p>
        </w:tc>
        <w:tc>
          <w:tcPr>
            <w:tcW w:w="28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E28" w:rsidRDefault="00A92E28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休展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E28" w:rsidRDefault="00A92E2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1088D" w:rsidRPr="004547B8" w:rsidRDefault="00F1088D" w:rsidP="00CE79C2">
      <w:pPr>
        <w:autoSpaceDE w:val="0"/>
        <w:autoSpaceDN w:val="0"/>
        <w:adjustRightInd w:val="0"/>
        <w:snapToGrid w:val="0"/>
        <w:spacing w:line="360" w:lineRule="auto"/>
        <w:ind w:firstLineChars="192" w:firstLine="614"/>
        <w:jc w:val="both"/>
        <w:textAlignment w:val="baseline"/>
        <w:rPr>
          <w:rFonts w:ascii="標楷體" w:eastAsia="標楷體" w:hAnsi="標楷體" w:cs="Times New Roman"/>
          <w:bCs/>
          <w:kern w:val="0"/>
          <w:sz w:val="32"/>
          <w:szCs w:val="32"/>
          <w:lang w:val="x-none"/>
        </w:rPr>
      </w:pPr>
    </w:p>
    <w:sectPr w:rsidR="00F1088D" w:rsidRPr="004547B8" w:rsidSect="00C120CD">
      <w:footerReference w:type="default" r:id="rId9"/>
      <w:pgSz w:w="11906" w:h="16838"/>
      <w:pgMar w:top="1560" w:right="1800" w:bottom="184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CCC" w:rsidRDefault="00026CCC" w:rsidP="00AD17CF">
      <w:r>
        <w:separator/>
      </w:r>
    </w:p>
  </w:endnote>
  <w:endnote w:type="continuationSeparator" w:id="0">
    <w:p w:rsidR="00026CCC" w:rsidRDefault="00026CCC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078973"/>
      <w:docPartObj>
        <w:docPartGallery w:val="Page Numbers (Bottom of Page)"/>
        <w:docPartUnique/>
      </w:docPartObj>
    </w:sdtPr>
    <w:sdtEndPr/>
    <w:sdtContent>
      <w:p w:rsidR="00C24AC6" w:rsidRDefault="00C24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E4" w:rsidRPr="00E615E4">
          <w:rPr>
            <w:noProof/>
            <w:lang w:val="zh-TW"/>
          </w:rPr>
          <w:t>1</w:t>
        </w:r>
        <w:r>
          <w:fldChar w:fldCharType="end"/>
        </w:r>
      </w:p>
    </w:sdtContent>
  </w:sdt>
  <w:p w:rsidR="00C24AC6" w:rsidRDefault="00C24AC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CCC" w:rsidRDefault="00026CCC" w:rsidP="00AD17CF">
      <w:r>
        <w:separator/>
      </w:r>
    </w:p>
  </w:footnote>
  <w:footnote w:type="continuationSeparator" w:id="0">
    <w:p w:rsidR="00026CCC" w:rsidRDefault="00026CCC" w:rsidP="00AD1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7B8"/>
    <w:rsid w:val="000176EA"/>
    <w:rsid w:val="00026CCC"/>
    <w:rsid w:val="0007235C"/>
    <w:rsid w:val="000F5529"/>
    <w:rsid w:val="00104C3F"/>
    <w:rsid w:val="00141DCC"/>
    <w:rsid w:val="001C4EF0"/>
    <w:rsid w:val="00220C1F"/>
    <w:rsid w:val="002229D8"/>
    <w:rsid w:val="00260B15"/>
    <w:rsid w:val="00291957"/>
    <w:rsid w:val="002B5115"/>
    <w:rsid w:val="002C3B70"/>
    <w:rsid w:val="002D0CF3"/>
    <w:rsid w:val="003440C5"/>
    <w:rsid w:val="003704D5"/>
    <w:rsid w:val="00382A3E"/>
    <w:rsid w:val="003A7982"/>
    <w:rsid w:val="003D39BE"/>
    <w:rsid w:val="003F2971"/>
    <w:rsid w:val="003F3254"/>
    <w:rsid w:val="00404FD0"/>
    <w:rsid w:val="004077EF"/>
    <w:rsid w:val="0044738A"/>
    <w:rsid w:val="004547B8"/>
    <w:rsid w:val="0046270D"/>
    <w:rsid w:val="00470942"/>
    <w:rsid w:val="00493AC6"/>
    <w:rsid w:val="004E4597"/>
    <w:rsid w:val="00565C36"/>
    <w:rsid w:val="005C6813"/>
    <w:rsid w:val="005E203A"/>
    <w:rsid w:val="00660713"/>
    <w:rsid w:val="006A06F7"/>
    <w:rsid w:val="006F09D3"/>
    <w:rsid w:val="00740FC1"/>
    <w:rsid w:val="00752C2B"/>
    <w:rsid w:val="007B2D34"/>
    <w:rsid w:val="007D114B"/>
    <w:rsid w:val="00826C9D"/>
    <w:rsid w:val="00827E5C"/>
    <w:rsid w:val="008515B0"/>
    <w:rsid w:val="00856C03"/>
    <w:rsid w:val="00865949"/>
    <w:rsid w:val="008E5A5D"/>
    <w:rsid w:val="00936C94"/>
    <w:rsid w:val="00954A13"/>
    <w:rsid w:val="00980380"/>
    <w:rsid w:val="009866AF"/>
    <w:rsid w:val="00A054A3"/>
    <w:rsid w:val="00A92E28"/>
    <w:rsid w:val="00AC613C"/>
    <w:rsid w:val="00AD17CF"/>
    <w:rsid w:val="00AD31F8"/>
    <w:rsid w:val="00AF5B98"/>
    <w:rsid w:val="00B13BEC"/>
    <w:rsid w:val="00B31DD7"/>
    <w:rsid w:val="00B31EF6"/>
    <w:rsid w:val="00BF32CA"/>
    <w:rsid w:val="00C111C5"/>
    <w:rsid w:val="00C120CD"/>
    <w:rsid w:val="00C24AC6"/>
    <w:rsid w:val="00C9253B"/>
    <w:rsid w:val="00CE355A"/>
    <w:rsid w:val="00CE79C2"/>
    <w:rsid w:val="00CF037C"/>
    <w:rsid w:val="00CF66DC"/>
    <w:rsid w:val="00D233C9"/>
    <w:rsid w:val="00D353F8"/>
    <w:rsid w:val="00D3711E"/>
    <w:rsid w:val="00D37179"/>
    <w:rsid w:val="00D53C38"/>
    <w:rsid w:val="00D666B7"/>
    <w:rsid w:val="00D847D6"/>
    <w:rsid w:val="00E07231"/>
    <w:rsid w:val="00E57B99"/>
    <w:rsid w:val="00E60EA5"/>
    <w:rsid w:val="00E615E4"/>
    <w:rsid w:val="00EE7F4E"/>
    <w:rsid w:val="00EF5786"/>
    <w:rsid w:val="00F1088D"/>
    <w:rsid w:val="00F44295"/>
    <w:rsid w:val="00F6087D"/>
    <w:rsid w:val="00F67A4C"/>
    <w:rsid w:val="00F82F05"/>
    <w:rsid w:val="00FE4E78"/>
    <w:rsid w:val="00FE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customStyle="1" w:styleId="ab">
    <w:name w:val="表文小 字元"/>
    <w:basedOn w:val="a0"/>
    <w:link w:val="ac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c">
    <w:name w:val="表文小"/>
    <w:basedOn w:val="a"/>
    <w:link w:val="ab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character" w:customStyle="1" w:styleId="ab">
    <w:name w:val="表文小 字元"/>
    <w:basedOn w:val="a0"/>
    <w:link w:val="ac"/>
    <w:locked/>
    <w:rsid w:val="00A92E28"/>
    <w:rPr>
      <w:rFonts w:ascii="Times New Roman" w:eastAsia="標楷體" w:hAnsi="Times New Roman" w:cs="Times New Roman"/>
      <w:sz w:val="28"/>
      <w:szCs w:val="24"/>
      <w:lang w:val="x-none"/>
    </w:rPr>
  </w:style>
  <w:style w:type="paragraph" w:customStyle="1" w:styleId="ac">
    <w:name w:val="表文小"/>
    <w:basedOn w:val="a"/>
    <w:link w:val="ab"/>
    <w:qFormat/>
    <w:rsid w:val="00A92E28"/>
    <w:pPr>
      <w:spacing w:line="400" w:lineRule="exact"/>
    </w:pPr>
    <w:rPr>
      <w:rFonts w:ascii="Times New Roman" w:eastAsia="標楷體" w:hAnsi="Times New Roman" w:cs="Times New Roman"/>
      <w:sz w:val="28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F8458-E9E7-4099-88D1-709BCACC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2017-06-23T05:25:00Z</cp:lastPrinted>
  <dcterms:created xsi:type="dcterms:W3CDTF">2017-06-22T09:37:00Z</dcterms:created>
  <dcterms:modified xsi:type="dcterms:W3CDTF">2017-06-24T04:23:00Z</dcterms:modified>
</cp:coreProperties>
</file>